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EBCC3" w14:textId="77777777" w:rsidR="007E661C" w:rsidRPr="00487FCD" w:rsidRDefault="007E661C" w:rsidP="006A2A73">
      <w:pPr>
        <w:pStyle w:val="Heading1"/>
        <w:spacing w:before="0"/>
        <w:rPr>
          <w:rFonts w:ascii="Arial" w:hAnsi="Arial" w:cs="Arial"/>
          <w:i/>
          <w:color w:val="000080"/>
          <w:szCs w:val="24"/>
        </w:rPr>
      </w:pPr>
      <w:bookmarkStart w:id="0" w:name="OLE_LINK2"/>
      <w:bookmarkStart w:id="1" w:name="OLE_LINK1"/>
      <w:r w:rsidRPr="00487FCD">
        <w:rPr>
          <w:rFonts w:ascii="Arial" w:hAnsi="Arial" w:cs="Arial"/>
          <w:i/>
          <w:color w:val="000080"/>
          <w:szCs w:val="24"/>
        </w:rPr>
        <w:t>Part I – Agency Profile</w:t>
      </w:r>
    </w:p>
    <w:p w14:paraId="7D8C69EA" w14:textId="77777777" w:rsidR="00F02905" w:rsidRPr="00B006FB" w:rsidRDefault="00F02905" w:rsidP="00B006FB">
      <w:pPr>
        <w:autoSpaceDE w:val="0"/>
        <w:autoSpaceDN w:val="0"/>
        <w:adjustRightInd w:val="0"/>
        <w:jc w:val="both"/>
        <w:rPr>
          <w:rFonts w:ascii="Arial" w:hAnsi="Arial" w:cs="Arial"/>
          <w:sz w:val="20"/>
          <w:szCs w:val="20"/>
        </w:rPr>
      </w:pPr>
    </w:p>
    <w:p w14:paraId="0EC8377D" w14:textId="77777777" w:rsidR="00056C76" w:rsidRPr="005159FC" w:rsidRDefault="00056C76" w:rsidP="0002715D">
      <w:pPr>
        <w:spacing w:after="240"/>
        <w:rPr>
          <w:rFonts w:ascii="Arial" w:hAnsi="Arial" w:cs="Arial"/>
          <w:b/>
          <w:i/>
          <w:iCs/>
          <w:color w:val="000080"/>
          <w:sz w:val="20"/>
          <w:szCs w:val="28"/>
        </w:rPr>
      </w:pPr>
      <w:r w:rsidRPr="005159FC">
        <w:rPr>
          <w:rFonts w:ascii="Arial" w:hAnsi="Arial" w:cs="Arial"/>
          <w:b/>
        </w:rPr>
        <w:t>Agency Overview</w:t>
      </w:r>
    </w:p>
    <w:p w14:paraId="32056517" w14:textId="2F439D19" w:rsidR="00C4548C" w:rsidRDefault="005C5781" w:rsidP="002237AF">
      <w:pPr>
        <w:autoSpaceDE w:val="0"/>
        <w:autoSpaceDN w:val="0"/>
        <w:adjustRightInd w:val="0"/>
        <w:jc w:val="both"/>
        <w:rPr>
          <w:rFonts w:ascii="Arial" w:hAnsi="Arial" w:cs="Arial"/>
          <w:sz w:val="20"/>
          <w:szCs w:val="20"/>
        </w:rPr>
      </w:pPr>
      <w:r w:rsidRPr="005C5781">
        <w:rPr>
          <w:rFonts w:ascii="Arial" w:hAnsi="Arial" w:cs="Arial"/>
          <w:sz w:val="20"/>
          <w:szCs w:val="20"/>
        </w:rPr>
        <w:t>The Idaho Division of Veterans Services is dedicated to serving Idaho's Veterans and their families by delivering superior long-term care and enhanced quality of life for residents in the Boise, Lewiston</w:t>
      </w:r>
      <w:r w:rsidR="00DF2305">
        <w:rPr>
          <w:rFonts w:ascii="Arial" w:hAnsi="Arial" w:cs="Arial"/>
          <w:sz w:val="20"/>
          <w:szCs w:val="20"/>
        </w:rPr>
        <w:t>,</w:t>
      </w:r>
      <w:r w:rsidRPr="005C5781">
        <w:rPr>
          <w:rFonts w:ascii="Arial" w:hAnsi="Arial" w:cs="Arial"/>
          <w:sz w:val="20"/>
          <w:szCs w:val="20"/>
        </w:rPr>
        <w:t xml:space="preserve"> Pocatello</w:t>
      </w:r>
      <w:r w:rsidR="003535E0">
        <w:rPr>
          <w:rFonts w:ascii="Arial" w:hAnsi="Arial" w:cs="Arial"/>
          <w:sz w:val="20"/>
          <w:szCs w:val="20"/>
        </w:rPr>
        <w:t>, and Post Falls</w:t>
      </w:r>
      <w:r w:rsidRPr="005C5781">
        <w:rPr>
          <w:rFonts w:ascii="Arial" w:hAnsi="Arial" w:cs="Arial"/>
          <w:sz w:val="20"/>
          <w:szCs w:val="20"/>
        </w:rPr>
        <w:t xml:space="preserve"> Idaho S</w:t>
      </w:r>
      <w:r w:rsidR="00455434">
        <w:rPr>
          <w:rFonts w:ascii="Arial" w:hAnsi="Arial" w:cs="Arial"/>
          <w:sz w:val="20"/>
          <w:szCs w:val="20"/>
        </w:rPr>
        <w:t>t</w:t>
      </w:r>
      <w:r w:rsidRPr="005C5781">
        <w:rPr>
          <w:rFonts w:ascii="Arial" w:hAnsi="Arial" w:cs="Arial"/>
          <w:sz w:val="20"/>
          <w:szCs w:val="20"/>
        </w:rPr>
        <w:t>ate Veterans Homes; maintaining the Office of Veterans Advocacy to provide high quality advocacy and assistance with obtaining earned federal benefits to all Idaho Veterans and their families, and training and guidance for all state and county Service Officers; extending emergency financial assistance to disabled or destitute Veterans and their families; operating the State Veterans Cemeter</w:t>
      </w:r>
      <w:r w:rsidR="003535E0">
        <w:rPr>
          <w:rFonts w:ascii="Arial" w:hAnsi="Arial" w:cs="Arial"/>
          <w:sz w:val="20"/>
          <w:szCs w:val="20"/>
        </w:rPr>
        <w:t>ies</w:t>
      </w:r>
      <w:r w:rsidRPr="005C5781">
        <w:rPr>
          <w:rFonts w:ascii="Arial" w:hAnsi="Arial" w:cs="Arial"/>
          <w:sz w:val="20"/>
          <w:szCs w:val="20"/>
        </w:rPr>
        <w:t xml:space="preserve"> </w:t>
      </w:r>
      <w:r w:rsidR="00897855">
        <w:rPr>
          <w:rFonts w:ascii="Arial" w:hAnsi="Arial" w:cs="Arial"/>
          <w:sz w:val="20"/>
          <w:szCs w:val="20"/>
        </w:rPr>
        <w:t xml:space="preserve">in Boise and Blackfoot </w:t>
      </w:r>
      <w:r w:rsidRPr="005C5781">
        <w:rPr>
          <w:rFonts w:ascii="Arial" w:hAnsi="Arial" w:cs="Arial"/>
          <w:sz w:val="20"/>
          <w:szCs w:val="20"/>
        </w:rPr>
        <w:t>to honor Idaho Veterans and their families with respectful interment services in a dignified final resting place, and provide a place of remembrance and reflection for all Idaho citizens; certifying Idaho Veterans have high quality, well managed education and training programs available that meet the criteria for funding under federal Veterans education programs</w:t>
      </w:r>
      <w:r w:rsidR="00EB52A2">
        <w:rPr>
          <w:rFonts w:ascii="Arial" w:hAnsi="Arial" w:cs="Arial"/>
          <w:sz w:val="20"/>
          <w:szCs w:val="20"/>
        </w:rPr>
        <w:t>;</w:t>
      </w:r>
      <w:r w:rsidRPr="005C5781">
        <w:rPr>
          <w:rFonts w:ascii="Arial" w:hAnsi="Arial" w:cs="Arial"/>
          <w:sz w:val="20"/>
          <w:szCs w:val="20"/>
        </w:rPr>
        <w:t xml:space="preserve"> and providing outreach</w:t>
      </w:r>
      <w:r w:rsidR="00EB52A2">
        <w:rPr>
          <w:rFonts w:ascii="Arial" w:hAnsi="Arial" w:cs="Arial"/>
          <w:sz w:val="20"/>
          <w:szCs w:val="20"/>
        </w:rPr>
        <w:t>, support programs, and resources concerning</w:t>
      </w:r>
      <w:r w:rsidRPr="005C5781">
        <w:rPr>
          <w:rFonts w:ascii="Arial" w:hAnsi="Arial" w:cs="Arial"/>
          <w:sz w:val="20"/>
          <w:szCs w:val="20"/>
        </w:rPr>
        <w:t xml:space="preserve">  benefits</w:t>
      </w:r>
      <w:r w:rsidR="00EB52A2">
        <w:rPr>
          <w:rFonts w:ascii="Arial" w:hAnsi="Arial" w:cs="Arial"/>
          <w:sz w:val="20"/>
          <w:szCs w:val="20"/>
        </w:rPr>
        <w:t>, financial assistance, healthcare, transportation,</w:t>
      </w:r>
      <w:r w:rsidRPr="005C5781">
        <w:rPr>
          <w:rFonts w:ascii="Arial" w:hAnsi="Arial" w:cs="Arial"/>
          <w:sz w:val="20"/>
          <w:szCs w:val="20"/>
        </w:rPr>
        <w:t xml:space="preserve"> and job opportunities to</w:t>
      </w:r>
      <w:r w:rsidR="00EB52A2">
        <w:rPr>
          <w:rFonts w:ascii="Arial" w:hAnsi="Arial" w:cs="Arial"/>
          <w:sz w:val="20"/>
          <w:szCs w:val="20"/>
        </w:rPr>
        <w:t xml:space="preserve"> all Idaho Veterans across the state as well as to</w:t>
      </w:r>
      <w:r w:rsidRPr="005C5781">
        <w:rPr>
          <w:rFonts w:ascii="Arial" w:hAnsi="Arial" w:cs="Arial"/>
          <w:sz w:val="20"/>
          <w:szCs w:val="20"/>
        </w:rPr>
        <w:t xml:space="preserve"> active duty personnel who are considering returning or locating to Idaho.</w:t>
      </w:r>
    </w:p>
    <w:p w14:paraId="1404036B" w14:textId="77777777" w:rsidR="00A43D1B" w:rsidRPr="002237AF" w:rsidRDefault="00A43D1B" w:rsidP="002237AF">
      <w:pPr>
        <w:autoSpaceDE w:val="0"/>
        <w:autoSpaceDN w:val="0"/>
        <w:adjustRightInd w:val="0"/>
        <w:jc w:val="both"/>
        <w:rPr>
          <w:rFonts w:ascii="Arial" w:hAnsi="Arial" w:cs="Arial"/>
          <w:sz w:val="20"/>
          <w:szCs w:val="20"/>
        </w:rPr>
      </w:pPr>
    </w:p>
    <w:p w14:paraId="7903CE19" w14:textId="0E277930" w:rsidR="00056C76" w:rsidRPr="002237AF" w:rsidRDefault="00056C76" w:rsidP="002237AF">
      <w:pPr>
        <w:autoSpaceDE w:val="0"/>
        <w:autoSpaceDN w:val="0"/>
        <w:adjustRightInd w:val="0"/>
        <w:jc w:val="both"/>
        <w:rPr>
          <w:rFonts w:ascii="Arial" w:hAnsi="Arial" w:cs="Arial"/>
          <w:sz w:val="20"/>
          <w:szCs w:val="20"/>
        </w:rPr>
      </w:pPr>
      <w:r w:rsidRPr="002237AF">
        <w:rPr>
          <w:rFonts w:ascii="Arial" w:hAnsi="Arial" w:cs="Arial"/>
          <w:sz w:val="20"/>
          <w:szCs w:val="20"/>
        </w:rPr>
        <w:t xml:space="preserve">The Division of </w:t>
      </w:r>
      <w:r w:rsidR="00D7786C" w:rsidRPr="002237AF">
        <w:rPr>
          <w:rFonts w:ascii="Arial" w:hAnsi="Arial" w:cs="Arial"/>
          <w:sz w:val="20"/>
          <w:szCs w:val="20"/>
        </w:rPr>
        <w:t>Veteran</w:t>
      </w:r>
      <w:r w:rsidRPr="002237AF">
        <w:rPr>
          <w:rFonts w:ascii="Arial" w:hAnsi="Arial" w:cs="Arial"/>
          <w:sz w:val="20"/>
          <w:szCs w:val="20"/>
        </w:rPr>
        <w:t>s Services’ revenue comes from miscellaneous funds, federal funds, endow</w:t>
      </w:r>
      <w:r w:rsidR="000E5E02" w:rsidRPr="002237AF">
        <w:rPr>
          <w:rFonts w:ascii="Arial" w:hAnsi="Arial" w:cs="Arial"/>
          <w:sz w:val="20"/>
          <w:szCs w:val="20"/>
        </w:rPr>
        <w:t xml:space="preserve">ment funds, and general funds. </w:t>
      </w:r>
      <w:r w:rsidRPr="002237AF">
        <w:rPr>
          <w:rFonts w:ascii="Arial" w:hAnsi="Arial" w:cs="Arial"/>
          <w:sz w:val="20"/>
          <w:szCs w:val="20"/>
        </w:rPr>
        <w:t>Miscellaneous funds include Medicaid receipts, pr</w:t>
      </w:r>
      <w:r w:rsidR="000E5E02" w:rsidRPr="002237AF">
        <w:rPr>
          <w:rFonts w:ascii="Arial" w:hAnsi="Arial" w:cs="Arial"/>
          <w:sz w:val="20"/>
          <w:szCs w:val="20"/>
        </w:rPr>
        <w:t xml:space="preserve">ivate </w:t>
      </w:r>
      <w:r w:rsidR="00F964D9" w:rsidRPr="002237AF">
        <w:rPr>
          <w:rFonts w:ascii="Arial" w:hAnsi="Arial" w:cs="Arial"/>
          <w:sz w:val="20"/>
          <w:szCs w:val="20"/>
        </w:rPr>
        <w:t>pay,</w:t>
      </w:r>
      <w:r w:rsidR="000E5E02" w:rsidRPr="002237AF">
        <w:rPr>
          <w:rFonts w:ascii="Arial" w:hAnsi="Arial" w:cs="Arial"/>
          <w:sz w:val="20"/>
          <w:szCs w:val="20"/>
        </w:rPr>
        <w:t xml:space="preserve"> and burial payments. </w:t>
      </w:r>
      <w:r w:rsidRPr="002237AF">
        <w:rPr>
          <w:rFonts w:ascii="Arial" w:hAnsi="Arial" w:cs="Arial"/>
          <w:sz w:val="20"/>
          <w:szCs w:val="20"/>
        </w:rPr>
        <w:t xml:space="preserve">Federal funds include </w:t>
      </w:r>
      <w:r w:rsidR="00D7786C" w:rsidRPr="002237AF">
        <w:rPr>
          <w:rFonts w:ascii="Arial" w:hAnsi="Arial" w:cs="Arial"/>
          <w:sz w:val="20"/>
          <w:szCs w:val="20"/>
        </w:rPr>
        <w:t>Veteran</w:t>
      </w:r>
      <w:r w:rsidRPr="002237AF">
        <w:rPr>
          <w:rFonts w:ascii="Arial" w:hAnsi="Arial" w:cs="Arial"/>
          <w:sz w:val="20"/>
          <w:szCs w:val="20"/>
        </w:rPr>
        <w:t>s Administration per diem allowances</w:t>
      </w:r>
      <w:r w:rsidR="00F964D9">
        <w:rPr>
          <w:rFonts w:ascii="Arial" w:hAnsi="Arial" w:cs="Arial"/>
          <w:sz w:val="20"/>
          <w:szCs w:val="20"/>
        </w:rPr>
        <w:t xml:space="preserve">, </w:t>
      </w:r>
      <w:r w:rsidRPr="002237AF">
        <w:rPr>
          <w:rFonts w:ascii="Arial" w:hAnsi="Arial" w:cs="Arial"/>
          <w:sz w:val="20"/>
          <w:szCs w:val="20"/>
        </w:rPr>
        <w:t>Medicare allowances</w:t>
      </w:r>
      <w:r w:rsidR="00F964D9">
        <w:rPr>
          <w:rFonts w:ascii="Arial" w:hAnsi="Arial" w:cs="Arial"/>
          <w:sz w:val="20"/>
          <w:szCs w:val="20"/>
        </w:rPr>
        <w:t>, CARES Act funds, and ARPA funds</w:t>
      </w:r>
      <w:r w:rsidRPr="002237AF">
        <w:rPr>
          <w:rFonts w:ascii="Arial" w:hAnsi="Arial" w:cs="Arial"/>
          <w:sz w:val="20"/>
          <w:szCs w:val="20"/>
        </w:rPr>
        <w:t xml:space="preserve">. </w:t>
      </w:r>
    </w:p>
    <w:p w14:paraId="2206980F" w14:textId="77777777" w:rsidR="00A01807" w:rsidRPr="00D76489" w:rsidRDefault="00A01807" w:rsidP="00D76489">
      <w:pPr>
        <w:autoSpaceDE w:val="0"/>
        <w:autoSpaceDN w:val="0"/>
        <w:adjustRightInd w:val="0"/>
        <w:jc w:val="both"/>
        <w:rPr>
          <w:rFonts w:ascii="Arial" w:hAnsi="Arial" w:cs="Arial"/>
          <w:sz w:val="20"/>
          <w:szCs w:val="20"/>
        </w:rPr>
      </w:pPr>
    </w:p>
    <w:p w14:paraId="72043E67" w14:textId="77777777" w:rsidR="00056C76" w:rsidRPr="002237AF" w:rsidRDefault="00056C76" w:rsidP="0002715D">
      <w:pPr>
        <w:spacing w:after="240"/>
        <w:jc w:val="both"/>
        <w:rPr>
          <w:rFonts w:ascii="Arial" w:hAnsi="Arial" w:cs="Arial"/>
        </w:rPr>
      </w:pPr>
      <w:r w:rsidRPr="002237AF">
        <w:rPr>
          <w:rFonts w:ascii="Arial" w:hAnsi="Arial" w:cs="Arial"/>
          <w:b/>
          <w:bCs/>
        </w:rPr>
        <w:t>Core Functions/Idaho Code</w:t>
      </w:r>
    </w:p>
    <w:p w14:paraId="27DAF626" w14:textId="77777777" w:rsidR="000E5E02" w:rsidRDefault="00056C76" w:rsidP="002237AF">
      <w:pPr>
        <w:jc w:val="both"/>
        <w:rPr>
          <w:rFonts w:ascii="Arial" w:hAnsi="Arial" w:cs="Arial"/>
          <w:sz w:val="20"/>
          <w:szCs w:val="20"/>
        </w:rPr>
      </w:pPr>
      <w:r w:rsidRPr="002237AF">
        <w:rPr>
          <w:rFonts w:ascii="Arial" w:hAnsi="Arial" w:cs="Arial"/>
          <w:b/>
          <w:sz w:val="20"/>
          <w:szCs w:val="20"/>
        </w:rPr>
        <w:t xml:space="preserve">Division of </w:t>
      </w:r>
      <w:r w:rsidR="00D7786C" w:rsidRPr="002237AF">
        <w:rPr>
          <w:rFonts w:ascii="Arial" w:hAnsi="Arial" w:cs="Arial"/>
          <w:b/>
          <w:sz w:val="20"/>
          <w:szCs w:val="20"/>
        </w:rPr>
        <w:t>Veteran</w:t>
      </w:r>
      <w:r w:rsidRPr="002237AF">
        <w:rPr>
          <w:rFonts w:ascii="Arial" w:hAnsi="Arial" w:cs="Arial"/>
          <w:b/>
          <w:sz w:val="20"/>
          <w:szCs w:val="20"/>
        </w:rPr>
        <w:t>s Services</w:t>
      </w:r>
      <w:r w:rsidRPr="002237AF">
        <w:rPr>
          <w:rFonts w:ascii="Arial" w:hAnsi="Arial" w:cs="Arial"/>
          <w:sz w:val="20"/>
          <w:szCs w:val="20"/>
        </w:rPr>
        <w:t xml:space="preserve"> – The Idaho Division of </w:t>
      </w:r>
      <w:r w:rsidR="00D7786C" w:rsidRPr="002237AF">
        <w:rPr>
          <w:rFonts w:ascii="Arial" w:hAnsi="Arial" w:cs="Arial"/>
          <w:sz w:val="20"/>
          <w:szCs w:val="20"/>
        </w:rPr>
        <w:t>Veteran</w:t>
      </w:r>
      <w:r w:rsidRPr="002237AF">
        <w:rPr>
          <w:rFonts w:ascii="Arial" w:hAnsi="Arial" w:cs="Arial"/>
          <w:sz w:val="20"/>
          <w:szCs w:val="20"/>
        </w:rPr>
        <w:t xml:space="preserve">s Services is one of twenty-nine agencies under the auspices of the Department of Self-Governing Agencies. The Idaho </w:t>
      </w:r>
      <w:r w:rsidR="00D7786C" w:rsidRPr="002237AF">
        <w:rPr>
          <w:rFonts w:ascii="Arial" w:hAnsi="Arial" w:cs="Arial"/>
          <w:sz w:val="20"/>
          <w:szCs w:val="20"/>
        </w:rPr>
        <w:t>Veteran</w:t>
      </w:r>
      <w:r w:rsidRPr="002237AF">
        <w:rPr>
          <w:rFonts w:ascii="Arial" w:hAnsi="Arial" w:cs="Arial"/>
          <w:sz w:val="20"/>
          <w:szCs w:val="20"/>
        </w:rPr>
        <w:t xml:space="preserve">s Affairs Commission, an advisory commission to the Idaho Division of </w:t>
      </w:r>
      <w:r w:rsidR="00D7786C" w:rsidRPr="002237AF">
        <w:rPr>
          <w:rFonts w:ascii="Arial" w:hAnsi="Arial" w:cs="Arial"/>
          <w:sz w:val="20"/>
          <w:szCs w:val="20"/>
        </w:rPr>
        <w:t>Veteran</w:t>
      </w:r>
      <w:r w:rsidRPr="002237AF">
        <w:rPr>
          <w:rFonts w:ascii="Arial" w:hAnsi="Arial" w:cs="Arial"/>
          <w:sz w:val="20"/>
          <w:szCs w:val="20"/>
        </w:rPr>
        <w:t>s Services, consists of five (5) members who are appointed by the Gov</w:t>
      </w:r>
      <w:r w:rsidR="009D2AF1" w:rsidRPr="002237AF">
        <w:rPr>
          <w:rFonts w:ascii="Arial" w:hAnsi="Arial" w:cs="Arial"/>
          <w:sz w:val="20"/>
          <w:szCs w:val="20"/>
        </w:rPr>
        <w:t xml:space="preserve">ernor. </w:t>
      </w:r>
      <w:r w:rsidRPr="002237AF">
        <w:rPr>
          <w:rFonts w:ascii="Arial" w:hAnsi="Arial" w:cs="Arial"/>
          <w:sz w:val="20"/>
          <w:szCs w:val="20"/>
        </w:rPr>
        <w:t xml:space="preserve">The Division is managed by a Division Administrator who is recommended to the Governor by the Idaho </w:t>
      </w:r>
      <w:r w:rsidR="00D7786C" w:rsidRPr="002237AF">
        <w:rPr>
          <w:rFonts w:ascii="Arial" w:hAnsi="Arial" w:cs="Arial"/>
          <w:sz w:val="20"/>
          <w:szCs w:val="20"/>
        </w:rPr>
        <w:t>Veteran</w:t>
      </w:r>
      <w:r w:rsidRPr="002237AF">
        <w:rPr>
          <w:rFonts w:ascii="Arial" w:hAnsi="Arial" w:cs="Arial"/>
          <w:sz w:val="20"/>
          <w:szCs w:val="20"/>
        </w:rPr>
        <w:t>s Affairs Commission</w:t>
      </w:r>
      <w:r w:rsidR="000E5E02" w:rsidRPr="002237AF">
        <w:rPr>
          <w:rFonts w:ascii="Arial" w:hAnsi="Arial" w:cs="Arial"/>
          <w:sz w:val="20"/>
          <w:szCs w:val="20"/>
        </w:rPr>
        <w:t xml:space="preserve"> and appointed by the Governor.</w:t>
      </w:r>
    </w:p>
    <w:p w14:paraId="1621C5AE" w14:textId="77777777" w:rsidR="00A43D1B" w:rsidRPr="002237AF" w:rsidRDefault="00A43D1B" w:rsidP="00D76489">
      <w:pPr>
        <w:autoSpaceDE w:val="0"/>
        <w:autoSpaceDN w:val="0"/>
        <w:adjustRightInd w:val="0"/>
        <w:jc w:val="both"/>
        <w:rPr>
          <w:rFonts w:ascii="Arial" w:hAnsi="Arial" w:cs="Arial"/>
          <w:sz w:val="20"/>
          <w:szCs w:val="20"/>
        </w:rPr>
      </w:pPr>
    </w:p>
    <w:p w14:paraId="28A96EB1" w14:textId="77777777" w:rsidR="00056C76" w:rsidRDefault="00056C76" w:rsidP="002237AF">
      <w:pPr>
        <w:jc w:val="both"/>
        <w:rPr>
          <w:rFonts w:ascii="Arial" w:hAnsi="Arial" w:cs="Arial"/>
          <w:sz w:val="20"/>
          <w:szCs w:val="20"/>
        </w:rPr>
      </w:pPr>
      <w:r w:rsidRPr="002237AF">
        <w:rPr>
          <w:rFonts w:ascii="Arial" w:hAnsi="Arial" w:cs="Arial"/>
          <w:sz w:val="20"/>
          <w:szCs w:val="20"/>
        </w:rPr>
        <w:t xml:space="preserve">The Division administers the provisions of Title </w:t>
      </w:r>
      <w:r w:rsidR="00D7786C" w:rsidRPr="002237AF">
        <w:rPr>
          <w:rFonts w:ascii="Arial" w:hAnsi="Arial" w:cs="Arial"/>
          <w:sz w:val="20"/>
          <w:szCs w:val="20"/>
        </w:rPr>
        <w:t>65, Chapters 1 &amp; 2 and Title 66,</w:t>
      </w:r>
      <w:r w:rsidRPr="002237AF">
        <w:rPr>
          <w:rFonts w:ascii="Arial" w:hAnsi="Arial" w:cs="Arial"/>
          <w:sz w:val="20"/>
          <w:szCs w:val="20"/>
        </w:rPr>
        <w:t xml:space="preserve"> Chapter 9, </w:t>
      </w:r>
      <w:r w:rsidRPr="002237AF">
        <w:rPr>
          <w:rFonts w:ascii="Arial" w:hAnsi="Arial" w:cs="Arial"/>
          <w:i/>
          <w:iCs/>
          <w:sz w:val="20"/>
          <w:szCs w:val="20"/>
        </w:rPr>
        <w:t>Idaho Code</w:t>
      </w:r>
      <w:r w:rsidRPr="002237AF">
        <w:rPr>
          <w:rFonts w:ascii="Arial" w:hAnsi="Arial" w:cs="Arial"/>
          <w:sz w:val="20"/>
          <w:szCs w:val="20"/>
        </w:rPr>
        <w:t>.</w:t>
      </w:r>
    </w:p>
    <w:p w14:paraId="070844E9" w14:textId="77777777" w:rsidR="00A43D1B" w:rsidRPr="002237AF" w:rsidRDefault="00A43D1B" w:rsidP="00D76489">
      <w:pPr>
        <w:autoSpaceDE w:val="0"/>
        <w:autoSpaceDN w:val="0"/>
        <w:adjustRightInd w:val="0"/>
        <w:jc w:val="both"/>
        <w:rPr>
          <w:rFonts w:ascii="Arial" w:hAnsi="Arial" w:cs="Arial"/>
          <w:sz w:val="20"/>
          <w:szCs w:val="20"/>
        </w:rPr>
      </w:pPr>
    </w:p>
    <w:p w14:paraId="6348527E" w14:textId="09B4D42A" w:rsidR="000E5E02" w:rsidRPr="002237AF" w:rsidRDefault="00D7786C" w:rsidP="006A7C8B">
      <w:pPr>
        <w:jc w:val="both"/>
        <w:rPr>
          <w:rFonts w:ascii="Arial" w:hAnsi="Arial" w:cs="Arial"/>
          <w:sz w:val="20"/>
          <w:szCs w:val="20"/>
        </w:rPr>
      </w:pPr>
      <w:r w:rsidRPr="000D21BC">
        <w:rPr>
          <w:rFonts w:ascii="Arial" w:hAnsi="Arial" w:cs="Arial"/>
          <w:b/>
          <w:sz w:val="20"/>
          <w:szCs w:val="20"/>
        </w:rPr>
        <w:t>Veteran</w:t>
      </w:r>
      <w:r w:rsidR="00056C76" w:rsidRPr="000D21BC">
        <w:rPr>
          <w:rFonts w:ascii="Arial" w:hAnsi="Arial" w:cs="Arial"/>
          <w:b/>
          <w:sz w:val="20"/>
          <w:szCs w:val="20"/>
        </w:rPr>
        <w:t>s Homes</w:t>
      </w:r>
      <w:r w:rsidR="00056C76" w:rsidRPr="002237AF">
        <w:rPr>
          <w:rFonts w:ascii="Arial" w:hAnsi="Arial" w:cs="Arial"/>
          <w:sz w:val="20"/>
          <w:szCs w:val="20"/>
        </w:rPr>
        <w:t xml:space="preserve"> – </w:t>
      </w:r>
      <w:r w:rsidRPr="002237AF">
        <w:rPr>
          <w:rFonts w:ascii="Arial" w:hAnsi="Arial" w:cs="Arial"/>
          <w:sz w:val="20"/>
          <w:szCs w:val="20"/>
        </w:rPr>
        <w:t>Residency in the</w:t>
      </w:r>
      <w:r w:rsidR="00056C76" w:rsidRPr="002237AF">
        <w:rPr>
          <w:rFonts w:ascii="Arial" w:hAnsi="Arial" w:cs="Arial"/>
          <w:sz w:val="20"/>
          <w:szCs w:val="20"/>
        </w:rPr>
        <w:t xml:space="preserve"> Idaho State </w:t>
      </w:r>
      <w:r w:rsidRPr="002237AF">
        <w:rPr>
          <w:rFonts w:ascii="Arial" w:hAnsi="Arial" w:cs="Arial"/>
          <w:sz w:val="20"/>
          <w:szCs w:val="20"/>
        </w:rPr>
        <w:t>Veteran</w:t>
      </w:r>
      <w:r w:rsidR="00056C76" w:rsidRPr="002237AF">
        <w:rPr>
          <w:rFonts w:ascii="Arial" w:hAnsi="Arial" w:cs="Arial"/>
          <w:sz w:val="20"/>
          <w:szCs w:val="20"/>
        </w:rPr>
        <w:t xml:space="preserve">s Homes </w:t>
      </w:r>
      <w:r w:rsidRPr="002237AF">
        <w:rPr>
          <w:rFonts w:ascii="Arial" w:hAnsi="Arial" w:cs="Arial"/>
          <w:sz w:val="20"/>
          <w:szCs w:val="20"/>
        </w:rPr>
        <w:t>is</w:t>
      </w:r>
      <w:r w:rsidR="00056C76" w:rsidRPr="002237AF">
        <w:rPr>
          <w:rFonts w:ascii="Arial" w:hAnsi="Arial" w:cs="Arial"/>
          <w:sz w:val="20"/>
          <w:szCs w:val="20"/>
        </w:rPr>
        <w:t xml:space="preserve"> available to </w:t>
      </w:r>
      <w:r w:rsidR="003A795E" w:rsidRPr="002237AF">
        <w:rPr>
          <w:rFonts w:ascii="Arial" w:hAnsi="Arial" w:cs="Arial"/>
          <w:sz w:val="20"/>
          <w:szCs w:val="20"/>
        </w:rPr>
        <w:t xml:space="preserve">honorably discharged </w:t>
      </w:r>
      <w:r w:rsidR="00056C76" w:rsidRPr="002237AF">
        <w:rPr>
          <w:rFonts w:ascii="Arial" w:hAnsi="Arial" w:cs="Arial"/>
          <w:sz w:val="20"/>
          <w:szCs w:val="20"/>
        </w:rPr>
        <w:t xml:space="preserve">Idaho </w:t>
      </w:r>
      <w:r w:rsidRPr="002237AF">
        <w:rPr>
          <w:rFonts w:ascii="Arial" w:hAnsi="Arial" w:cs="Arial"/>
          <w:sz w:val="20"/>
          <w:szCs w:val="20"/>
        </w:rPr>
        <w:t>Veteran</w:t>
      </w:r>
      <w:r w:rsidR="00056C76" w:rsidRPr="002237AF">
        <w:rPr>
          <w:rFonts w:ascii="Arial" w:hAnsi="Arial" w:cs="Arial"/>
          <w:sz w:val="20"/>
          <w:szCs w:val="20"/>
        </w:rPr>
        <w:t xml:space="preserve">s </w:t>
      </w:r>
      <w:r w:rsidR="003A795E" w:rsidRPr="002237AF">
        <w:rPr>
          <w:rFonts w:ascii="Arial" w:hAnsi="Arial" w:cs="Arial"/>
          <w:sz w:val="20"/>
          <w:szCs w:val="20"/>
        </w:rPr>
        <w:t>and their</w:t>
      </w:r>
      <w:r w:rsidR="009D2AF1" w:rsidRPr="002237AF">
        <w:rPr>
          <w:rFonts w:ascii="Arial" w:hAnsi="Arial" w:cs="Arial"/>
          <w:sz w:val="20"/>
          <w:szCs w:val="20"/>
        </w:rPr>
        <w:t xml:space="preserve"> spouses. </w:t>
      </w:r>
      <w:r w:rsidR="00056C76" w:rsidRPr="002237AF">
        <w:rPr>
          <w:rFonts w:ascii="Arial" w:hAnsi="Arial" w:cs="Arial"/>
          <w:sz w:val="20"/>
          <w:szCs w:val="20"/>
        </w:rPr>
        <w:t xml:space="preserve">Skilled nursing care is available to Idaho </w:t>
      </w:r>
      <w:r w:rsidRPr="002237AF">
        <w:rPr>
          <w:rFonts w:ascii="Arial" w:hAnsi="Arial" w:cs="Arial"/>
          <w:sz w:val="20"/>
          <w:szCs w:val="20"/>
        </w:rPr>
        <w:t>Veteran</w:t>
      </w:r>
      <w:r w:rsidR="00B63719" w:rsidRPr="002237AF">
        <w:rPr>
          <w:rFonts w:ascii="Arial" w:hAnsi="Arial" w:cs="Arial"/>
          <w:sz w:val="20"/>
          <w:szCs w:val="20"/>
        </w:rPr>
        <w:t xml:space="preserve">s, and their spouses, </w:t>
      </w:r>
      <w:r w:rsidR="00056C76" w:rsidRPr="002237AF">
        <w:rPr>
          <w:rFonts w:ascii="Arial" w:hAnsi="Arial" w:cs="Arial"/>
          <w:sz w:val="20"/>
          <w:szCs w:val="20"/>
        </w:rPr>
        <w:t>who are certified as needing such</w:t>
      </w:r>
      <w:r w:rsidR="009D2AF1" w:rsidRPr="002237AF">
        <w:rPr>
          <w:rFonts w:ascii="Arial" w:hAnsi="Arial" w:cs="Arial"/>
          <w:sz w:val="20"/>
          <w:szCs w:val="20"/>
        </w:rPr>
        <w:t xml:space="preserve"> care by a licensed physician. </w:t>
      </w:r>
      <w:r w:rsidR="00671130" w:rsidRPr="002237AF">
        <w:rPr>
          <w:rFonts w:ascii="Arial" w:hAnsi="Arial" w:cs="Arial"/>
          <w:sz w:val="20"/>
          <w:szCs w:val="20"/>
        </w:rPr>
        <w:t xml:space="preserve">The Homes are certified for </w:t>
      </w:r>
      <w:r w:rsidR="000A5DA1" w:rsidRPr="002237AF">
        <w:rPr>
          <w:rFonts w:ascii="Arial" w:hAnsi="Arial" w:cs="Arial"/>
          <w:sz w:val="20"/>
          <w:szCs w:val="20"/>
        </w:rPr>
        <w:t xml:space="preserve">Medicare, Medicaid, and VA Service-Connected programs. </w:t>
      </w:r>
      <w:r w:rsidR="00056C76" w:rsidRPr="002237AF">
        <w:rPr>
          <w:rFonts w:ascii="Arial" w:hAnsi="Arial" w:cs="Arial"/>
          <w:sz w:val="20"/>
          <w:szCs w:val="20"/>
        </w:rPr>
        <w:t>The Boise Home accommodates 1</w:t>
      </w:r>
      <w:r w:rsidR="00D00744">
        <w:rPr>
          <w:rFonts w:ascii="Arial" w:hAnsi="Arial" w:cs="Arial"/>
          <w:sz w:val="20"/>
          <w:szCs w:val="20"/>
        </w:rPr>
        <w:t>22</w:t>
      </w:r>
      <w:r w:rsidR="00056C76" w:rsidRPr="002237AF">
        <w:rPr>
          <w:rFonts w:ascii="Arial" w:hAnsi="Arial" w:cs="Arial"/>
          <w:sz w:val="20"/>
          <w:szCs w:val="20"/>
        </w:rPr>
        <w:t xml:space="preserve"> skilled nursing care</w:t>
      </w:r>
      <w:r w:rsidR="000D21BC">
        <w:rPr>
          <w:rFonts w:ascii="Arial" w:hAnsi="Arial" w:cs="Arial"/>
          <w:sz w:val="20"/>
          <w:szCs w:val="20"/>
        </w:rPr>
        <w:t xml:space="preserve"> </w:t>
      </w:r>
      <w:r w:rsidR="00253477" w:rsidRPr="002237AF">
        <w:rPr>
          <w:rFonts w:ascii="Arial" w:hAnsi="Arial" w:cs="Arial"/>
          <w:sz w:val="20"/>
          <w:szCs w:val="20"/>
        </w:rPr>
        <w:t>residents</w:t>
      </w:r>
      <w:r w:rsidR="009D2AF1" w:rsidRPr="002237AF">
        <w:rPr>
          <w:rFonts w:ascii="Arial" w:hAnsi="Arial" w:cs="Arial"/>
          <w:sz w:val="20"/>
          <w:szCs w:val="20"/>
        </w:rPr>
        <w:t xml:space="preserve">. </w:t>
      </w:r>
      <w:r w:rsidR="00056C76" w:rsidRPr="002237AF">
        <w:rPr>
          <w:rFonts w:ascii="Arial" w:hAnsi="Arial" w:cs="Arial"/>
          <w:sz w:val="20"/>
          <w:szCs w:val="20"/>
        </w:rPr>
        <w:t xml:space="preserve">The Pocatello and Lewiston Homes each accommodate 66 skilled nursing care </w:t>
      </w:r>
      <w:r w:rsidR="00253477" w:rsidRPr="002237AF">
        <w:rPr>
          <w:rFonts w:ascii="Arial" w:hAnsi="Arial" w:cs="Arial"/>
          <w:sz w:val="20"/>
          <w:szCs w:val="20"/>
        </w:rPr>
        <w:t>residents</w:t>
      </w:r>
      <w:r w:rsidR="000E5E02" w:rsidRPr="002237AF">
        <w:rPr>
          <w:rFonts w:ascii="Arial" w:hAnsi="Arial" w:cs="Arial"/>
          <w:sz w:val="20"/>
          <w:szCs w:val="20"/>
        </w:rPr>
        <w:t>.</w:t>
      </w:r>
      <w:r w:rsidR="00671130" w:rsidRPr="002237AF">
        <w:rPr>
          <w:rFonts w:ascii="Arial" w:hAnsi="Arial" w:cs="Arial"/>
          <w:sz w:val="20"/>
          <w:szCs w:val="20"/>
        </w:rPr>
        <w:t xml:space="preserve"> </w:t>
      </w:r>
      <w:r w:rsidR="003535E0">
        <w:rPr>
          <w:rFonts w:ascii="Arial" w:hAnsi="Arial" w:cs="Arial"/>
          <w:sz w:val="20"/>
          <w:szCs w:val="20"/>
        </w:rPr>
        <w:t>The Post Falls Home accommodate</w:t>
      </w:r>
      <w:r w:rsidR="00E20878">
        <w:rPr>
          <w:rFonts w:ascii="Arial" w:hAnsi="Arial" w:cs="Arial"/>
          <w:sz w:val="20"/>
          <w:szCs w:val="20"/>
        </w:rPr>
        <w:t>s</w:t>
      </w:r>
      <w:r w:rsidR="003535E0">
        <w:rPr>
          <w:rFonts w:ascii="Arial" w:hAnsi="Arial" w:cs="Arial"/>
          <w:sz w:val="20"/>
          <w:szCs w:val="20"/>
        </w:rPr>
        <w:t xml:space="preserve"> 64 skilled nursing care residents.</w:t>
      </w:r>
    </w:p>
    <w:p w14:paraId="6891A049" w14:textId="77777777" w:rsidR="00056C76" w:rsidRDefault="00056C76" w:rsidP="002237AF">
      <w:pPr>
        <w:rPr>
          <w:rFonts w:ascii="Arial" w:hAnsi="Arial" w:cs="Arial"/>
          <w:sz w:val="20"/>
          <w:szCs w:val="20"/>
        </w:rPr>
      </w:pPr>
      <w:r w:rsidRPr="002237AF">
        <w:rPr>
          <w:rFonts w:ascii="Arial" w:hAnsi="Arial" w:cs="Arial"/>
          <w:sz w:val="20"/>
          <w:szCs w:val="20"/>
        </w:rPr>
        <w:t>Title 66, Chapter</w:t>
      </w:r>
      <w:r w:rsidR="000E5E02" w:rsidRPr="002237AF">
        <w:rPr>
          <w:rFonts w:ascii="Arial" w:hAnsi="Arial" w:cs="Arial"/>
          <w:sz w:val="20"/>
          <w:szCs w:val="20"/>
        </w:rPr>
        <w:t> </w:t>
      </w:r>
      <w:r w:rsidRPr="002237AF">
        <w:rPr>
          <w:rFonts w:ascii="Arial" w:hAnsi="Arial" w:cs="Arial"/>
          <w:sz w:val="20"/>
          <w:szCs w:val="20"/>
        </w:rPr>
        <w:t xml:space="preserve">9, </w:t>
      </w:r>
      <w:r w:rsidRPr="002237AF">
        <w:rPr>
          <w:rFonts w:ascii="Arial" w:hAnsi="Arial" w:cs="Arial"/>
          <w:i/>
          <w:iCs/>
          <w:sz w:val="20"/>
          <w:szCs w:val="20"/>
        </w:rPr>
        <w:t>Idaho Code</w:t>
      </w:r>
      <w:r w:rsidRPr="002237AF">
        <w:rPr>
          <w:rFonts w:ascii="Arial" w:hAnsi="Arial" w:cs="Arial"/>
          <w:sz w:val="20"/>
          <w:szCs w:val="20"/>
        </w:rPr>
        <w:t>.</w:t>
      </w:r>
    </w:p>
    <w:p w14:paraId="35BEFBAB" w14:textId="77777777" w:rsidR="00A43D1B" w:rsidRPr="002237AF" w:rsidRDefault="00A43D1B" w:rsidP="00D76489">
      <w:pPr>
        <w:autoSpaceDE w:val="0"/>
        <w:autoSpaceDN w:val="0"/>
        <w:adjustRightInd w:val="0"/>
        <w:jc w:val="both"/>
        <w:rPr>
          <w:rFonts w:ascii="Arial" w:hAnsi="Arial" w:cs="Arial"/>
          <w:sz w:val="20"/>
          <w:szCs w:val="20"/>
        </w:rPr>
      </w:pPr>
    </w:p>
    <w:p w14:paraId="7AC99F37" w14:textId="0D2B3F64" w:rsidR="00A43D1B" w:rsidRPr="002237AF" w:rsidRDefault="00D7786C" w:rsidP="002237AF">
      <w:pPr>
        <w:jc w:val="both"/>
        <w:rPr>
          <w:rFonts w:ascii="Arial" w:hAnsi="Arial" w:cs="Arial"/>
          <w:sz w:val="20"/>
          <w:szCs w:val="20"/>
        </w:rPr>
      </w:pPr>
      <w:r w:rsidRPr="001C5C57">
        <w:rPr>
          <w:rFonts w:ascii="Arial" w:hAnsi="Arial" w:cs="Arial"/>
          <w:b/>
          <w:sz w:val="20"/>
          <w:szCs w:val="20"/>
        </w:rPr>
        <w:t>Veteran</w:t>
      </w:r>
      <w:r w:rsidR="00056C76" w:rsidRPr="001C5C57">
        <w:rPr>
          <w:rFonts w:ascii="Arial" w:hAnsi="Arial" w:cs="Arial"/>
          <w:b/>
          <w:sz w:val="20"/>
          <w:szCs w:val="20"/>
        </w:rPr>
        <w:t>s Cemeter</w:t>
      </w:r>
      <w:r w:rsidR="00B006FB" w:rsidRPr="001C5C57">
        <w:rPr>
          <w:rFonts w:ascii="Arial" w:hAnsi="Arial" w:cs="Arial"/>
          <w:b/>
          <w:sz w:val="20"/>
          <w:szCs w:val="20"/>
        </w:rPr>
        <w:t>ies</w:t>
      </w:r>
      <w:r w:rsidR="00056C76" w:rsidRPr="002237AF">
        <w:rPr>
          <w:rFonts w:ascii="Arial" w:hAnsi="Arial" w:cs="Arial"/>
          <w:sz w:val="20"/>
          <w:szCs w:val="20"/>
        </w:rPr>
        <w:t xml:space="preserve"> – The Division operates, manages, </w:t>
      </w:r>
      <w:r w:rsidR="00A03BC4" w:rsidRPr="002237AF">
        <w:rPr>
          <w:rFonts w:ascii="Arial" w:hAnsi="Arial" w:cs="Arial"/>
          <w:sz w:val="20"/>
          <w:szCs w:val="20"/>
        </w:rPr>
        <w:t>maintains</w:t>
      </w:r>
      <w:r w:rsidR="003535E0">
        <w:rPr>
          <w:rFonts w:ascii="Arial" w:hAnsi="Arial" w:cs="Arial"/>
          <w:sz w:val="20"/>
          <w:szCs w:val="20"/>
        </w:rPr>
        <w:t>,</w:t>
      </w:r>
      <w:r w:rsidR="00A03BC4" w:rsidRPr="002237AF">
        <w:rPr>
          <w:rFonts w:ascii="Arial" w:hAnsi="Arial" w:cs="Arial"/>
          <w:sz w:val="20"/>
          <w:szCs w:val="20"/>
        </w:rPr>
        <w:t xml:space="preserve"> and improves the land</w:t>
      </w:r>
      <w:r w:rsidR="00056C76" w:rsidRPr="002237AF">
        <w:rPr>
          <w:rFonts w:ascii="Arial" w:hAnsi="Arial" w:cs="Arial"/>
          <w:sz w:val="20"/>
          <w:szCs w:val="20"/>
        </w:rPr>
        <w:t xml:space="preserve"> and property belonging to </w:t>
      </w:r>
      <w:r w:rsidRPr="002237AF">
        <w:rPr>
          <w:rFonts w:ascii="Arial" w:hAnsi="Arial" w:cs="Arial"/>
          <w:sz w:val="20"/>
          <w:szCs w:val="20"/>
        </w:rPr>
        <w:t>or acquired by the state of Idaho</w:t>
      </w:r>
      <w:r w:rsidR="009D2AF1" w:rsidRPr="002237AF">
        <w:rPr>
          <w:rFonts w:ascii="Arial" w:hAnsi="Arial" w:cs="Arial"/>
          <w:sz w:val="20"/>
          <w:szCs w:val="20"/>
        </w:rPr>
        <w:t xml:space="preserve"> for </w:t>
      </w:r>
      <w:r w:rsidR="00E85E97" w:rsidRPr="002237AF">
        <w:rPr>
          <w:rFonts w:ascii="Arial" w:hAnsi="Arial" w:cs="Arial"/>
          <w:sz w:val="20"/>
          <w:szCs w:val="20"/>
        </w:rPr>
        <w:t xml:space="preserve">state </w:t>
      </w:r>
      <w:r w:rsidR="00F964D9" w:rsidRPr="002237AF">
        <w:rPr>
          <w:rFonts w:ascii="Arial" w:hAnsi="Arial" w:cs="Arial"/>
          <w:sz w:val="20"/>
          <w:szCs w:val="20"/>
        </w:rPr>
        <w:t>Veterans</w:t>
      </w:r>
      <w:r w:rsidRPr="002237AF">
        <w:rPr>
          <w:rFonts w:ascii="Arial" w:hAnsi="Arial" w:cs="Arial"/>
          <w:sz w:val="20"/>
          <w:szCs w:val="20"/>
        </w:rPr>
        <w:t xml:space="preserve"> cemeteries. </w:t>
      </w:r>
      <w:r w:rsidR="00AF296E">
        <w:rPr>
          <w:rFonts w:ascii="Arial" w:hAnsi="Arial" w:cs="Arial"/>
          <w:sz w:val="20"/>
          <w:szCs w:val="20"/>
        </w:rPr>
        <w:t xml:space="preserve">State </w:t>
      </w:r>
      <w:r w:rsidRPr="002237AF">
        <w:rPr>
          <w:rFonts w:ascii="Arial" w:hAnsi="Arial" w:cs="Arial"/>
          <w:sz w:val="20"/>
          <w:szCs w:val="20"/>
        </w:rPr>
        <w:t>Veterans Cemeter</w:t>
      </w:r>
      <w:r w:rsidR="00B006FB">
        <w:rPr>
          <w:rFonts w:ascii="Arial" w:hAnsi="Arial" w:cs="Arial"/>
          <w:sz w:val="20"/>
          <w:szCs w:val="20"/>
        </w:rPr>
        <w:t>ies in Boise and Blackfoot</w:t>
      </w:r>
      <w:r w:rsidR="00D76489">
        <w:rPr>
          <w:rFonts w:ascii="Arial" w:hAnsi="Arial" w:cs="Arial"/>
          <w:sz w:val="20"/>
          <w:szCs w:val="20"/>
        </w:rPr>
        <w:t xml:space="preserve"> </w:t>
      </w:r>
      <w:r w:rsidR="00E85E97" w:rsidRPr="002237AF">
        <w:rPr>
          <w:rFonts w:ascii="Arial" w:hAnsi="Arial" w:cs="Arial"/>
          <w:sz w:val="20"/>
          <w:szCs w:val="20"/>
        </w:rPr>
        <w:t>provide</w:t>
      </w:r>
      <w:r w:rsidR="00056C76" w:rsidRPr="002237AF">
        <w:rPr>
          <w:rFonts w:ascii="Arial" w:hAnsi="Arial" w:cs="Arial"/>
          <w:sz w:val="20"/>
          <w:szCs w:val="20"/>
        </w:rPr>
        <w:t xml:space="preserve"> dignified interment services to eligible </w:t>
      </w:r>
      <w:r w:rsidRPr="002237AF">
        <w:rPr>
          <w:rFonts w:ascii="Arial" w:hAnsi="Arial" w:cs="Arial"/>
          <w:sz w:val="20"/>
          <w:szCs w:val="20"/>
        </w:rPr>
        <w:t>Veteran</w:t>
      </w:r>
      <w:r w:rsidR="00E85E97" w:rsidRPr="002237AF">
        <w:rPr>
          <w:rFonts w:ascii="Arial" w:hAnsi="Arial" w:cs="Arial"/>
          <w:sz w:val="20"/>
          <w:szCs w:val="20"/>
        </w:rPr>
        <w:t>s and their families</w:t>
      </w:r>
      <w:r w:rsidRPr="002237AF">
        <w:rPr>
          <w:rFonts w:ascii="Arial" w:hAnsi="Arial" w:cs="Arial"/>
          <w:sz w:val="20"/>
          <w:szCs w:val="20"/>
        </w:rPr>
        <w:t xml:space="preserve">. The </w:t>
      </w:r>
      <w:r w:rsidR="0007555F">
        <w:rPr>
          <w:rFonts w:ascii="Arial" w:hAnsi="Arial" w:cs="Arial"/>
          <w:sz w:val="20"/>
          <w:szCs w:val="20"/>
        </w:rPr>
        <w:t>Boise</w:t>
      </w:r>
      <w:r w:rsidR="00F3385B">
        <w:rPr>
          <w:rFonts w:ascii="Arial" w:hAnsi="Arial" w:cs="Arial"/>
          <w:sz w:val="20"/>
          <w:szCs w:val="20"/>
        </w:rPr>
        <w:t xml:space="preserve"> </w:t>
      </w:r>
      <w:r w:rsidRPr="002237AF">
        <w:rPr>
          <w:rFonts w:ascii="Arial" w:hAnsi="Arial" w:cs="Arial"/>
          <w:sz w:val="20"/>
          <w:szCs w:val="20"/>
        </w:rPr>
        <w:t xml:space="preserve">Cemetery has </w:t>
      </w:r>
      <w:r w:rsidR="008D3F87" w:rsidRPr="002237AF">
        <w:rPr>
          <w:rFonts w:ascii="Arial" w:hAnsi="Arial" w:cs="Arial"/>
          <w:sz w:val="20"/>
          <w:szCs w:val="20"/>
        </w:rPr>
        <w:t xml:space="preserve">burial spaces for </w:t>
      </w:r>
      <w:r w:rsidR="001C5C57">
        <w:rPr>
          <w:rFonts w:ascii="Arial" w:hAnsi="Arial" w:cs="Arial"/>
          <w:sz w:val="20"/>
          <w:szCs w:val="20"/>
        </w:rPr>
        <w:t>17,730</w:t>
      </w:r>
      <w:r w:rsidR="00056C76" w:rsidRPr="002237AF">
        <w:rPr>
          <w:rFonts w:ascii="Arial" w:hAnsi="Arial" w:cs="Arial"/>
          <w:sz w:val="20"/>
          <w:szCs w:val="20"/>
        </w:rPr>
        <w:t xml:space="preserve"> </w:t>
      </w:r>
      <w:r w:rsidRPr="002237AF">
        <w:rPr>
          <w:rFonts w:ascii="Arial" w:hAnsi="Arial" w:cs="Arial"/>
          <w:sz w:val="20"/>
          <w:szCs w:val="20"/>
        </w:rPr>
        <w:t xml:space="preserve">Veterans and </w:t>
      </w:r>
      <w:r w:rsidR="00C326F4" w:rsidRPr="002237AF">
        <w:rPr>
          <w:rFonts w:ascii="Arial" w:hAnsi="Arial" w:cs="Arial"/>
          <w:sz w:val="20"/>
          <w:szCs w:val="20"/>
        </w:rPr>
        <w:t xml:space="preserve">their </w:t>
      </w:r>
      <w:r w:rsidRPr="002237AF">
        <w:rPr>
          <w:rFonts w:ascii="Arial" w:hAnsi="Arial" w:cs="Arial"/>
          <w:sz w:val="20"/>
          <w:szCs w:val="20"/>
        </w:rPr>
        <w:t>spouses</w:t>
      </w:r>
      <w:r w:rsidR="00C326F4" w:rsidRPr="002237AF">
        <w:rPr>
          <w:rFonts w:ascii="Arial" w:hAnsi="Arial" w:cs="Arial"/>
          <w:sz w:val="20"/>
          <w:szCs w:val="20"/>
        </w:rPr>
        <w:t xml:space="preserve"> or eligible family members</w:t>
      </w:r>
      <w:r w:rsidR="00A03BC4" w:rsidRPr="002237AF">
        <w:rPr>
          <w:rFonts w:ascii="Arial" w:hAnsi="Arial" w:cs="Arial"/>
          <w:sz w:val="20"/>
          <w:szCs w:val="20"/>
        </w:rPr>
        <w:t>.</w:t>
      </w:r>
      <w:r w:rsidR="004E4834">
        <w:rPr>
          <w:rFonts w:ascii="Arial" w:hAnsi="Arial" w:cs="Arial"/>
          <w:sz w:val="20"/>
          <w:szCs w:val="20"/>
        </w:rPr>
        <w:t xml:space="preserve"> </w:t>
      </w:r>
      <w:r w:rsidR="00B006FB">
        <w:rPr>
          <w:rFonts w:ascii="Arial" w:hAnsi="Arial" w:cs="Arial"/>
          <w:sz w:val="20"/>
          <w:szCs w:val="20"/>
        </w:rPr>
        <w:t xml:space="preserve">In December 2020, a </w:t>
      </w:r>
      <w:r w:rsidR="004E4834" w:rsidRPr="00537FF2">
        <w:rPr>
          <w:rFonts w:ascii="Arial" w:hAnsi="Arial" w:cs="Arial"/>
          <w:sz w:val="20"/>
          <w:szCs w:val="20"/>
        </w:rPr>
        <w:t>second State Veterans Cemetery</w:t>
      </w:r>
      <w:r w:rsidR="00B006FB">
        <w:rPr>
          <w:rFonts w:ascii="Arial" w:hAnsi="Arial" w:cs="Arial"/>
          <w:sz w:val="20"/>
          <w:szCs w:val="20"/>
        </w:rPr>
        <w:t>,</w:t>
      </w:r>
      <w:r w:rsidR="004E4834" w:rsidRPr="00537FF2">
        <w:rPr>
          <w:rFonts w:ascii="Arial" w:hAnsi="Arial" w:cs="Arial"/>
          <w:sz w:val="20"/>
          <w:szCs w:val="20"/>
        </w:rPr>
        <w:t xml:space="preserve"> </w:t>
      </w:r>
      <w:r w:rsidR="006F5A33">
        <w:rPr>
          <w:rFonts w:ascii="Arial" w:hAnsi="Arial" w:cs="Arial"/>
          <w:sz w:val="20"/>
          <w:szCs w:val="20"/>
        </w:rPr>
        <w:t>located in Blackfoot</w:t>
      </w:r>
      <w:r w:rsidR="00B006FB">
        <w:rPr>
          <w:rFonts w:ascii="Arial" w:hAnsi="Arial" w:cs="Arial"/>
          <w:sz w:val="20"/>
          <w:szCs w:val="20"/>
        </w:rPr>
        <w:t>,</w:t>
      </w:r>
      <w:r w:rsidR="006F5A33">
        <w:rPr>
          <w:rFonts w:ascii="Arial" w:hAnsi="Arial" w:cs="Arial"/>
          <w:sz w:val="20"/>
          <w:szCs w:val="20"/>
        </w:rPr>
        <w:t xml:space="preserve"> </w:t>
      </w:r>
      <w:r w:rsidR="00B006FB">
        <w:rPr>
          <w:rFonts w:ascii="Arial" w:hAnsi="Arial" w:cs="Arial"/>
          <w:sz w:val="20"/>
          <w:szCs w:val="20"/>
        </w:rPr>
        <w:t>opened to the public</w:t>
      </w:r>
      <w:r w:rsidR="004E4834" w:rsidRPr="00537FF2">
        <w:rPr>
          <w:rFonts w:ascii="Arial" w:hAnsi="Arial" w:cs="Arial"/>
          <w:sz w:val="20"/>
          <w:szCs w:val="20"/>
        </w:rPr>
        <w:t>.</w:t>
      </w:r>
      <w:r w:rsidR="00B006FB">
        <w:rPr>
          <w:rFonts w:ascii="Arial" w:hAnsi="Arial" w:cs="Arial"/>
          <w:sz w:val="20"/>
          <w:szCs w:val="20"/>
        </w:rPr>
        <w:t xml:space="preserve"> It has burial spaces for 1,170 Veterans and their spouses or eligible family members.</w:t>
      </w:r>
    </w:p>
    <w:p w14:paraId="23EE07DA" w14:textId="77777777" w:rsidR="00056C76" w:rsidRDefault="00056C76" w:rsidP="002237AF">
      <w:pPr>
        <w:jc w:val="both"/>
        <w:rPr>
          <w:rFonts w:ascii="Arial" w:hAnsi="Arial" w:cs="Arial"/>
          <w:i/>
          <w:iCs/>
          <w:sz w:val="20"/>
          <w:szCs w:val="20"/>
        </w:rPr>
      </w:pPr>
      <w:r w:rsidRPr="002237AF">
        <w:rPr>
          <w:rFonts w:ascii="Arial" w:hAnsi="Arial" w:cs="Arial"/>
          <w:sz w:val="20"/>
          <w:szCs w:val="20"/>
        </w:rPr>
        <w:t xml:space="preserve">Title 65, Chapter 1, </w:t>
      </w:r>
      <w:r w:rsidRPr="002237AF">
        <w:rPr>
          <w:rFonts w:ascii="Arial" w:hAnsi="Arial" w:cs="Arial"/>
          <w:i/>
          <w:iCs/>
          <w:sz w:val="20"/>
          <w:szCs w:val="20"/>
        </w:rPr>
        <w:t>Idaho Code.</w:t>
      </w:r>
    </w:p>
    <w:p w14:paraId="7DB00E3C" w14:textId="77777777" w:rsidR="00A43D1B" w:rsidRPr="00D76489" w:rsidRDefault="00A43D1B" w:rsidP="00D76489">
      <w:pPr>
        <w:autoSpaceDE w:val="0"/>
        <w:autoSpaceDN w:val="0"/>
        <w:adjustRightInd w:val="0"/>
        <w:jc w:val="both"/>
        <w:rPr>
          <w:rFonts w:ascii="Arial" w:hAnsi="Arial" w:cs="Arial"/>
          <w:sz w:val="20"/>
          <w:szCs w:val="20"/>
        </w:rPr>
      </w:pPr>
    </w:p>
    <w:p w14:paraId="661EFE0B" w14:textId="4454E9E4" w:rsidR="00A43D1B" w:rsidRPr="002237AF" w:rsidRDefault="00056C76" w:rsidP="002237AF">
      <w:pPr>
        <w:jc w:val="both"/>
        <w:rPr>
          <w:rFonts w:ascii="Arial" w:hAnsi="Arial" w:cs="Arial"/>
          <w:sz w:val="20"/>
          <w:szCs w:val="20"/>
        </w:rPr>
      </w:pPr>
      <w:r w:rsidRPr="00832598">
        <w:rPr>
          <w:rFonts w:ascii="Arial" w:hAnsi="Arial" w:cs="Arial"/>
          <w:b/>
          <w:sz w:val="20"/>
          <w:szCs w:val="20"/>
        </w:rPr>
        <w:t xml:space="preserve">Office of </w:t>
      </w:r>
      <w:r w:rsidR="00D7786C" w:rsidRPr="00832598">
        <w:rPr>
          <w:rFonts w:ascii="Arial" w:hAnsi="Arial" w:cs="Arial"/>
          <w:b/>
          <w:sz w:val="20"/>
          <w:szCs w:val="20"/>
        </w:rPr>
        <w:t>Veteran</w:t>
      </w:r>
      <w:r w:rsidRPr="00832598">
        <w:rPr>
          <w:rFonts w:ascii="Arial" w:hAnsi="Arial" w:cs="Arial"/>
          <w:b/>
          <w:sz w:val="20"/>
          <w:szCs w:val="20"/>
        </w:rPr>
        <w:t>s Advocacy</w:t>
      </w:r>
      <w:r w:rsidR="00156D9D" w:rsidRPr="00832598">
        <w:rPr>
          <w:rFonts w:ascii="Arial" w:hAnsi="Arial" w:cs="Arial"/>
          <w:b/>
          <w:sz w:val="20"/>
          <w:szCs w:val="20"/>
        </w:rPr>
        <w:t xml:space="preserve"> (OVA)</w:t>
      </w:r>
      <w:r w:rsidRPr="002237AF">
        <w:rPr>
          <w:rFonts w:ascii="Arial" w:hAnsi="Arial" w:cs="Arial"/>
          <w:sz w:val="20"/>
          <w:szCs w:val="20"/>
        </w:rPr>
        <w:t xml:space="preserve"> – </w:t>
      </w:r>
      <w:r w:rsidR="00C31AA4" w:rsidRPr="00C31AA4">
        <w:rPr>
          <w:rFonts w:ascii="Arial" w:hAnsi="Arial" w:cs="Arial"/>
          <w:sz w:val="20"/>
          <w:szCs w:val="20"/>
        </w:rPr>
        <w:t xml:space="preserve">The Division </w:t>
      </w:r>
      <w:r w:rsidR="00F964D9" w:rsidRPr="00C31AA4">
        <w:rPr>
          <w:rFonts w:ascii="Arial" w:hAnsi="Arial" w:cs="Arial"/>
          <w:sz w:val="20"/>
          <w:szCs w:val="20"/>
        </w:rPr>
        <w:t>aids</w:t>
      </w:r>
      <w:r w:rsidR="00C31AA4" w:rsidRPr="00C31AA4">
        <w:rPr>
          <w:rFonts w:ascii="Arial" w:hAnsi="Arial" w:cs="Arial"/>
          <w:sz w:val="20"/>
          <w:szCs w:val="20"/>
        </w:rPr>
        <w:t xml:space="preserve"> Veterans in the Homes, as well as outreach and assistance to all Idaho Veterans and their families, </w:t>
      </w:r>
      <w:r w:rsidR="009145DE" w:rsidRPr="00C31AA4">
        <w:rPr>
          <w:rFonts w:ascii="Arial" w:hAnsi="Arial" w:cs="Arial"/>
          <w:sz w:val="20"/>
          <w:szCs w:val="20"/>
        </w:rPr>
        <w:t>to</w:t>
      </w:r>
      <w:r w:rsidR="00C31AA4" w:rsidRPr="00C31AA4">
        <w:rPr>
          <w:rFonts w:ascii="Arial" w:hAnsi="Arial" w:cs="Arial"/>
          <w:sz w:val="20"/>
          <w:szCs w:val="20"/>
        </w:rPr>
        <w:t xml:space="preserve"> ensure they receive the benefits they are entitled. The office administers the Emergency Relief Program, which provides monetary assistance to qualified Veterans and their families. The Office of Veterans Advocacy (OVA), located at 444 Fort Street, Boise, in space furnished by the U.S. Department of Veterans Affairs, is staffed with </w:t>
      </w:r>
      <w:r w:rsidR="00BF5A46">
        <w:rPr>
          <w:rFonts w:ascii="Arial" w:hAnsi="Arial" w:cs="Arial"/>
          <w:sz w:val="20"/>
          <w:szCs w:val="20"/>
        </w:rPr>
        <w:t>six</w:t>
      </w:r>
      <w:r w:rsidR="00C31AA4" w:rsidRPr="00C31AA4">
        <w:rPr>
          <w:rFonts w:ascii="Arial" w:hAnsi="Arial" w:cs="Arial"/>
          <w:sz w:val="20"/>
          <w:szCs w:val="20"/>
        </w:rPr>
        <w:t xml:space="preserve"> (</w:t>
      </w:r>
      <w:r w:rsidR="004B7480">
        <w:rPr>
          <w:rFonts w:ascii="Arial" w:hAnsi="Arial" w:cs="Arial"/>
          <w:sz w:val="20"/>
          <w:szCs w:val="20"/>
        </w:rPr>
        <w:t>6</w:t>
      </w:r>
      <w:r w:rsidR="00C31AA4" w:rsidRPr="00C31AA4">
        <w:rPr>
          <w:rFonts w:ascii="Arial" w:hAnsi="Arial" w:cs="Arial"/>
          <w:sz w:val="20"/>
          <w:szCs w:val="20"/>
        </w:rPr>
        <w:t xml:space="preserve">) Service Officers and the Bureau Chief. </w:t>
      </w:r>
      <w:r w:rsidR="009145DE" w:rsidRPr="009145DE">
        <w:rPr>
          <w:rFonts w:ascii="Arial" w:hAnsi="Arial" w:cs="Arial"/>
          <w:sz w:val="20"/>
          <w:szCs w:val="20"/>
        </w:rPr>
        <w:t xml:space="preserve">An additional six (6) Service Officers are near and serve the Idaho State Veterans Homes – two (2) in Post Falls, two (2) in Lewiston, and two (2) in Pocatello. One (1) of the Boise Service Officers serves and supports the veterans in the Boise </w:t>
      </w:r>
      <w:r w:rsidR="009145DE" w:rsidRPr="009145DE">
        <w:rPr>
          <w:rFonts w:ascii="Arial" w:hAnsi="Arial" w:cs="Arial"/>
          <w:sz w:val="20"/>
          <w:szCs w:val="20"/>
        </w:rPr>
        <w:lastRenderedPageBreak/>
        <w:t>Veterans Home. There are three (</w:t>
      </w:r>
      <w:r w:rsidR="004B7480">
        <w:rPr>
          <w:rFonts w:ascii="Arial" w:hAnsi="Arial" w:cs="Arial"/>
          <w:sz w:val="20"/>
          <w:szCs w:val="20"/>
        </w:rPr>
        <w:t>2</w:t>
      </w:r>
      <w:r w:rsidR="009145DE" w:rsidRPr="009145DE">
        <w:rPr>
          <w:rFonts w:ascii="Arial" w:hAnsi="Arial" w:cs="Arial"/>
          <w:sz w:val="20"/>
          <w:szCs w:val="20"/>
        </w:rPr>
        <w:t>) Service Officers based in Caldwell and two (2) Service Officers based in Twin Falls</w:t>
      </w:r>
      <w:r w:rsidR="00F964D9" w:rsidRPr="00C31AA4">
        <w:rPr>
          <w:rFonts w:ascii="Arial" w:hAnsi="Arial" w:cs="Arial"/>
          <w:sz w:val="20"/>
          <w:szCs w:val="20"/>
        </w:rPr>
        <w:t>,</w:t>
      </w:r>
      <w:r w:rsidR="00C31AA4" w:rsidRPr="00C31AA4">
        <w:rPr>
          <w:rFonts w:ascii="Arial" w:hAnsi="Arial" w:cs="Arial"/>
          <w:sz w:val="20"/>
          <w:szCs w:val="20"/>
        </w:rPr>
        <w:t xml:space="preserve"> all report to the OVA Bureau Chief. The Office of Veterans Advocacy also provides training and guidance to thirty-six (36) county Service Officers, to Veterans Service Organization Post Service Officers, and to Tribal Veterans Representatives.</w:t>
      </w:r>
    </w:p>
    <w:p w14:paraId="4E04DBB7" w14:textId="5CD26046" w:rsidR="00B06252" w:rsidRDefault="00056C76" w:rsidP="002237AF">
      <w:pPr>
        <w:jc w:val="both"/>
        <w:rPr>
          <w:rFonts w:ascii="Arial" w:hAnsi="Arial" w:cs="Arial"/>
          <w:i/>
          <w:iCs/>
          <w:sz w:val="20"/>
          <w:szCs w:val="20"/>
        </w:rPr>
      </w:pPr>
      <w:r w:rsidRPr="002237AF">
        <w:rPr>
          <w:rFonts w:ascii="Arial" w:hAnsi="Arial" w:cs="Arial"/>
          <w:sz w:val="20"/>
          <w:szCs w:val="20"/>
        </w:rPr>
        <w:t xml:space="preserve">Title 65, Chapter 2, </w:t>
      </w:r>
      <w:r w:rsidRPr="002237AF">
        <w:rPr>
          <w:rFonts w:ascii="Arial" w:hAnsi="Arial" w:cs="Arial"/>
          <w:i/>
          <w:iCs/>
          <w:sz w:val="20"/>
          <w:szCs w:val="20"/>
        </w:rPr>
        <w:t>Idaho Code.</w:t>
      </w:r>
    </w:p>
    <w:p w14:paraId="0DC444FC" w14:textId="77777777" w:rsidR="001E24C5" w:rsidRPr="00D76489" w:rsidRDefault="001E24C5" w:rsidP="00D76489">
      <w:pPr>
        <w:autoSpaceDE w:val="0"/>
        <w:autoSpaceDN w:val="0"/>
        <w:adjustRightInd w:val="0"/>
        <w:jc w:val="both"/>
        <w:rPr>
          <w:rFonts w:ascii="Arial" w:hAnsi="Arial" w:cs="Arial"/>
          <w:sz w:val="20"/>
          <w:szCs w:val="20"/>
        </w:rPr>
      </w:pPr>
    </w:p>
    <w:p w14:paraId="5463676C" w14:textId="5E59CEF1" w:rsidR="00156D9D" w:rsidRDefault="00156D9D" w:rsidP="00A37897">
      <w:pPr>
        <w:jc w:val="both"/>
        <w:rPr>
          <w:rFonts w:ascii="Arial" w:hAnsi="Arial" w:cs="Arial"/>
          <w:b/>
          <w:iCs/>
          <w:sz w:val="20"/>
          <w:szCs w:val="20"/>
          <w:highlight w:val="yellow"/>
        </w:rPr>
      </w:pPr>
      <w:r w:rsidRPr="00295804">
        <w:rPr>
          <w:rFonts w:ascii="Arial" w:hAnsi="Arial" w:cs="Arial"/>
          <w:b/>
          <w:iCs/>
          <w:sz w:val="20"/>
          <w:szCs w:val="20"/>
        </w:rPr>
        <w:t xml:space="preserve">Veterans Outreach and Community Support (VOCS) </w:t>
      </w:r>
      <w:r w:rsidRPr="00156D9D">
        <w:rPr>
          <w:rFonts w:ascii="Arial" w:hAnsi="Arial" w:cs="Arial"/>
          <w:b/>
          <w:iCs/>
          <w:sz w:val="20"/>
          <w:szCs w:val="20"/>
        </w:rPr>
        <w:t xml:space="preserve">– </w:t>
      </w:r>
      <w:r w:rsidR="00295804" w:rsidRPr="00295804">
        <w:rPr>
          <w:rFonts w:ascii="Arial" w:hAnsi="Arial" w:cs="Arial"/>
          <w:bCs/>
          <w:iCs/>
          <w:sz w:val="20"/>
          <w:szCs w:val="20"/>
        </w:rPr>
        <w:t xml:space="preserve">The </w:t>
      </w:r>
      <w:r w:rsidR="007E152F">
        <w:rPr>
          <w:rFonts w:ascii="Arial" w:hAnsi="Arial" w:cs="Arial"/>
          <w:bCs/>
          <w:iCs/>
          <w:sz w:val="20"/>
          <w:szCs w:val="20"/>
        </w:rPr>
        <w:t>VOCS</w:t>
      </w:r>
      <w:r w:rsidR="00295804" w:rsidRPr="00295804">
        <w:rPr>
          <w:rFonts w:ascii="Arial" w:hAnsi="Arial" w:cs="Arial"/>
          <w:bCs/>
          <w:iCs/>
          <w:sz w:val="20"/>
          <w:szCs w:val="20"/>
        </w:rPr>
        <w:t xml:space="preserve"> priority is to </w:t>
      </w:r>
      <w:r w:rsidR="003A4551">
        <w:rPr>
          <w:rFonts w:ascii="Arial" w:hAnsi="Arial" w:cs="Arial"/>
          <w:bCs/>
          <w:iCs/>
          <w:sz w:val="20"/>
          <w:szCs w:val="20"/>
        </w:rPr>
        <w:t xml:space="preserve">meet </w:t>
      </w:r>
      <w:r w:rsidR="00295804" w:rsidRPr="00295804">
        <w:rPr>
          <w:rFonts w:ascii="Arial" w:hAnsi="Arial" w:cs="Arial"/>
          <w:bCs/>
          <w:iCs/>
          <w:sz w:val="20"/>
          <w:szCs w:val="20"/>
        </w:rPr>
        <w:t xml:space="preserve">veteran </w:t>
      </w:r>
      <w:r w:rsidR="00251ECD">
        <w:rPr>
          <w:rFonts w:ascii="Arial" w:hAnsi="Arial" w:cs="Arial"/>
          <w:bCs/>
          <w:iCs/>
          <w:sz w:val="20"/>
          <w:szCs w:val="20"/>
        </w:rPr>
        <w:t>needs beyond t</w:t>
      </w:r>
      <w:r w:rsidR="00295804" w:rsidRPr="00295804">
        <w:rPr>
          <w:rFonts w:ascii="Arial" w:hAnsi="Arial" w:cs="Arial"/>
          <w:bCs/>
          <w:iCs/>
          <w:sz w:val="20"/>
          <w:szCs w:val="20"/>
        </w:rPr>
        <w:t>he scope of traditional benefits</w:t>
      </w:r>
      <w:r w:rsidR="00251ECD">
        <w:rPr>
          <w:rFonts w:ascii="Arial" w:hAnsi="Arial" w:cs="Arial"/>
          <w:bCs/>
          <w:iCs/>
          <w:sz w:val="20"/>
          <w:szCs w:val="20"/>
        </w:rPr>
        <w:t xml:space="preserve"> through</w:t>
      </w:r>
      <w:r w:rsidR="00295804" w:rsidRPr="00295804">
        <w:rPr>
          <w:rFonts w:ascii="Arial" w:hAnsi="Arial" w:cs="Arial"/>
          <w:bCs/>
          <w:iCs/>
          <w:sz w:val="20"/>
          <w:szCs w:val="20"/>
        </w:rPr>
        <w:t xml:space="preserve"> relationships with community partners and collaborating on projects with an open network and community support mentality. Programs operated and maintained include 1) Joining Forces </w:t>
      </w:r>
      <w:proofErr w:type="gramStart"/>
      <w:r w:rsidR="00295804" w:rsidRPr="00295804">
        <w:rPr>
          <w:rFonts w:ascii="Arial" w:hAnsi="Arial" w:cs="Arial"/>
          <w:bCs/>
          <w:iCs/>
          <w:sz w:val="20"/>
          <w:szCs w:val="20"/>
        </w:rPr>
        <w:t>Idaho</w:t>
      </w:r>
      <w:proofErr w:type="gramEnd"/>
      <w:r w:rsidR="00295804" w:rsidRPr="00295804">
        <w:rPr>
          <w:rFonts w:ascii="Arial" w:hAnsi="Arial" w:cs="Arial"/>
          <w:bCs/>
          <w:iCs/>
          <w:sz w:val="20"/>
          <w:szCs w:val="20"/>
        </w:rPr>
        <w:t xml:space="preserve"> a coalition of communication and collaboration between all partners (state, local, first responders, representatives etc.) that consists of email communication for direct support, monthly presentations, and annual conference in 7 separate service areas covering all of Idaho. 2) The Idaho Veterans Guide which is a secure, open network listing of all low or no cost resources available to both veterans and their families searchable by zip code, and 3) The Ask the Question campaign through the VA and SAMSHA’s Governor’s challenge to prevent suicide among service members, veterans, and their families, educating local businesses and service providers on how to identify and support the veterans they serve connecting them to additional support and programs.</w:t>
      </w:r>
    </w:p>
    <w:p w14:paraId="413CB7C2" w14:textId="77777777" w:rsidR="00156D9D" w:rsidRDefault="00156D9D" w:rsidP="00A37897">
      <w:pPr>
        <w:jc w:val="both"/>
        <w:rPr>
          <w:rFonts w:ascii="Arial" w:hAnsi="Arial" w:cs="Arial"/>
          <w:b/>
          <w:iCs/>
          <w:sz w:val="20"/>
          <w:szCs w:val="20"/>
          <w:highlight w:val="yellow"/>
        </w:rPr>
      </w:pPr>
    </w:p>
    <w:p w14:paraId="2B6DCEA7" w14:textId="0F3DE413" w:rsidR="00A43D1B" w:rsidRPr="002237AF" w:rsidRDefault="00D7786C" w:rsidP="00A37897">
      <w:pPr>
        <w:jc w:val="both"/>
        <w:rPr>
          <w:rFonts w:ascii="Arial" w:hAnsi="Arial" w:cs="Arial"/>
          <w:iCs/>
          <w:sz w:val="20"/>
          <w:szCs w:val="20"/>
        </w:rPr>
      </w:pPr>
      <w:r w:rsidRPr="002623CF">
        <w:rPr>
          <w:rFonts w:ascii="Arial" w:hAnsi="Arial" w:cs="Arial"/>
          <w:b/>
          <w:iCs/>
          <w:sz w:val="20"/>
          <w:szCs w:val="20"/>
        </w:rPr>
        <w:t>Veteran</w:t>
      </w:r>
      <w:r w:rsidR="00B06252" w:rsidRPr="002623CF">
        <w:rPr>
          <w:rFonts w:ascii="Arial" w:hAnsi="Arial" w:cs="Arial"/>
          <w:b/>
          <w:iCs/>
          <w:sz w:val="20"/>
          <w:szCs w:val="20"/>
        </w:rPr>
        <w:t>s Education</w:t>
      </w:r>
      <w:r w:rsidR="00B06252" w:rsidRPr="002237AF">
        <w:rPr>
          <w:rFonts w:ascii="Arial" w:hAnsi="Arial" w:cs="Arial"/>
          <w:iCs/>
          <w:sz w:val="20"/>
          <w:szCs w:val="20"/>
        </w:rPr>
        <w:t xml:space="preserve"> – </w:t>
      </w:r>
      <w:r w:rsidR="00A37897" w:rsidRPr="00A37897">
        <w:rPr>
          <w:rFonts w:ascii="Arial" w:hAnsi="Arial" w:cs="Arial"/>
          <w:iCs/>
          <w:sz w:val="20"/>
          <w:szCs w:val="20"/>
        </w:rPr>
        <w:t>The Education Team functions as the Idaho State Approving Agency (SAA) under contract from the Department of Veterans Affairs (VA) tasked with ensuring approved GI Bill® programs meet all requirements of federal and state laws and regulations. The types of programs qualified for approval are education and training programs found at accredited universities and colleges, vocational schools, and Idaho employers who offer apprenticeships and on-the-job programs. Other team efforts focus on protecting the quality and integrity of the GI Bill® through the prevention of fraud, waste, and abuse. Compliance with federal and state laws and regulations is achieved by conducting Risk-Based Surveys (RBS), supervisory visits, and inspections at facilities annually. The team's work product also includes routinely providing technical assistance on GI Bill</w:t>
      </w:r>
      <w:r w:rsidR="00A37897" w:rsidRPr="00A37897">
        <w:rPr>
          <w:rFonts w:ascii="Arial" w:hAnsi="Arial" w:cs="Arial"/>
          <w:iCs/>
          <w:sz w:val="20"/>
          <w:szCs w:val="20"/>
          <w:vertAlign w:val="superscript"/>
        </w:rPr>
        <w:t>®</w:t>
      </w:r>
      <w:r w:rsidR="00A37897" w:rsidRPr="00A37897">
        <w:rPr>
          <w:rFonts w:ascii="Arial" w:hAnsi="Arial" w:cs="Arial"/>
          <w:iCs/>
          <w:sz w:val="20"/>
          <w:szCs w:val="20"/>
        </w:rPr>
        <w:t xml:space="preserve"> policies and procedures to certifying officials and beneficiaries, conducting outreach and liaison activities at Transition Assistance Program briefings, job and education fairs, and participating in stakeholder activities with other state and federal agencies, such as the U.S. and Idaho Department of Labors as well as the Idaho Workforce Develop </w:t>
      </w:r>
      <w:r w:rsidR="00D20487" w:rsidRPr="00A37897">
        <w:rPr>
          <w:rFonts w:ascii="Arial" w:hAnsi="Arial" w:cs="Arial"/>
          <w:iCs/>
          <w:sz w:val="20"/>
          <w:szCs w:val="20"/>
        </w:rPr>
        <w:t>team.</w:t>
      </w:r>
    </w:p>
    <w:p w14:paraId="2E9DA7F9" w14:textId="77777777" w:rsidR="000E5E02" w:rsidRPr="002237AF" w:rsidRDefault="000E5E02" w:rsidP="002237AF">
      <w:pPr>
        <w:jc w:val="both"/>
        <w:rPr>
          <w:rFonts w:ascii="Arial" w:hAnsi="Arial" w:cs="Arial"/>
          <w:b/>
          <w:bCs/>
        </w:rPr>
      </w:pPr>
      <w:r w:rsidRPr="002237AF">
        <w:rPr>
          <w:rFonts w:ascii="Arial" w:hAnsi="Arial" w:cs="Arial"/>
          <w:iCs/>
          <w:sz w:val="20"/>
          <w:szCs w:val="20"/>
        </w:rPr>
        <w:t>Title 65, Chapter 2</w:t>
      </w:r>
      <w:r w:rsidRPr="002237AF">
        <w:rPr>
          <w:rFonts w:ascii="Arial" w:hAnsi="Arial" w:cs="Arial"/>
          <w:i/>
          <w:iCs/>
          <w:sz w:val="20"/>
          <w:szCs w:val="20"/>
        </w:rPr>
        <w:t>, Idaho Code</w:t>
      </w:r>
      <w:r w:rsidRPr="002237AF">
        <w:rPr>
          <w:rFonts w:ascii="Arial" w:hAnsi="Arial" w:cs="Arial"/>
          <w:iCs/>
          <w:sz w:val="20"/>
          <w:szCs w:val="20"/>
        </w:rPr>
        <w:t>.</w:t>
      </w:r>
    </w:p>
    <w:p w14:paraId="7141C3FC" w14:textId="77777777" w:rsidR="009D2AF1" w:rsidRPr="00D76489" w:rsidRDefault="009D2AF1" w:rsidP="00D76489">
      <w:pPr>
        <w:autoSpaceDE w:val="0"/>
        <w:autoSpaceDN w:val="0"/>
        <w:adjustRightInd w:val="0"/>
        <w:jc w:val="both"/>
        <w:rPr>
          <w:rFonts w:ascii="Arial" w:hAnsi="Arial" w:cs="Arial"/>
          <w:sz w:val="20"/>
          <w:szCs w:val="20"/>
        </w:rPr>
      </w:pPr>
    </w:p>
    <w:p w14:paraId="03089429" w14:textId="77777777" w:rsidR="00B06252" w:rsidRPr="002237AF" w:rsidRDefault="00B06252" w:rsidP="0002715D">
      <w:pPr>
        <w:spacing w:after="240"/>
        <w:jc w:val="both"/>
        <w:rPr>
          <w:rFonts w:ascii="Arial" w:hAnsi="Arial" w:cs="Arial"/>
          <w:b/>
          <w:bCs/>
        </w:rPr>
      </w:pPr>
      <w:r w:rsidRPr="002237AF">
        <w:rPr>
          <w:rFonts w:ascii="Arial" w:hAnsi="Arial" w:cs="Arial"/>
          <w:b/>
          <w:bCs/>
        </w:rPr>
        <w:t>Revenue and Expenditures</w:t>
      </w:r>
    </w:p>
    <w:tbl>
      <w:tblPr>
        <w:tblW w:w="10080"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firstRow="0" w:lastRow="0" w:firstColumn="0" w:lastColumn="0" w:noHBand="0" w:noVBand="0"/>
      </w:tblPr>
      <w:tblGrid>
        <w:gridCol w:w="3651"/>
        <w:gridCol w:w="1639"/>
        <w:gridCol w:w="1639"/>
        <w:gridCol w:w="1639"/>
        <w:gridCol w:w="1512"/>
      </w:tblGrid>
      <w:tr w:rsidR="00A608BA" w:rsidRPr="002237AF" w14:paraId="4C3AD8C3" w14:textId="77777777" w:rsidTr="0044716D">
        <w:trPr>
          <w:trHeight w:val="41"/>
        </w:trPr>
        <w:tc>
          <w:tcPr>
            <w:tcW w:w="1811" w:type="pct"/>
            <w:shd w:val="clear" w:color="auto" w:fill="000080"/>
          </w:tcPr>
          <w:p w14:paraId="7B2894E0" w14:textId="77777777" w:rsidR="00A608BA" w:rsidRPr="002237AF" w:rsidRDefault="00A608BA" w:rsidP="00A608BA">
            <w:pPr>
              <w:rPr>
                <w:rFonts w:ascii="Arial" w:hAnsi="Arial" w:cs="Arial"/>
                <w:b/>
                <w:bCs/>
                <w:color w:val="FFFFFF"/>
                <w:sz w:val="20"/>
                <w:szCs w:val="20"/>
              </w:rPr>
            </w:pPr>
            <w:r w:rsidRPr="002237AF">
              <w:rPr>
                <w:rFonts w:ascii="Arial" w:hAnsi="Arial" w:cs="Arial"/>
                <w:b/>
                <w:bCs/>
                <w:color w:val="FFFFFF"/>
                <w:sz w:val="20"/>
                <w:szCs w:val="20"/>
              </w:rPr>
              <w:t>Revenue</w:t>
            </w:r>
          </w:p>
        </w:tc>
        <w:tc>
          <w:tcPr>
            <w:tcW w:w="813" w:type="pct"/>
            <w:shd w:val="clear" w:color="auto" w:fill="000080"/>
            <w:vAlign w:val="center"/>
          </w:tcPr>
          <w:p w14:paraId="5EE4471E" w14:textId="44E981E4" w:rsidR="00A608BA" w:rsidRPr="002237AF" w:rsidRDefault="00A608BA" w:rsidP="00A608BA">
            <w:pPr>
              <w:jc w:val="right"/>
              <w:rPr>
                <w:rFonts w:ascii="Arial" w:hAnsi="Arial" w:cs="Arial"/>
                <w:b/>
                <w:bCs/>
                <w:color w:val="FFFFFF"/>
                <w:sz w:val="20"/>
                <w:szCs w:val="20"/>
              </w:rPr>
            </w:pPr>
            <w:r>
              <w:rPr>
                <w:rFonts w:ascii="Arial" w:hAnsi="Arial" w:cs="Arial"/>
                <w:b/>
                <w:bCs/>
                <w:color w:val="FFFFFF"/>
                <w:sz w:val="20"/>
                <w:szCs w:val="20"/>
              </w:rPr>
              <w:t>FY 2022</w:t>
            </w:r>
          </w:p>
        </w:tc>
        <w:tc>
          <w:tcPr>
            <w:tcW w:w="813" w:type="pct"/>
            <w:shd w:val="clear" w:color="auto" w:fill="000080"/>
            <w:vAlign w:val="center"/>
          </w:tcPr>
          <w:p w14:paraId="76893079" w14:textId="4D28EEDB" w:rsidR="00A608BA" w:rsidRPr="002237AF" w:rsidRDefault="00A608BA" w:rsidP="00A608BA">
            <w:pPr>
              <w:jc w:val="right"/>
              <w:rPr>
                <w:rFonts w:ascii="Arial" w:hAnsi="Arial" w:cs="Arial"/>
                <w:b/>
                <w:bCs/>
                <w:color w:val="FFFFFF"/>
                <w:sz w:val="20"/>
                <w:szCs w:val="20"/>
              </w:rPr>
            </w:pPr>
            <w:r>
              <w:rPr>
                <w:rFonts w:ascii="Arial" w:hAnsi="Arial" w:cs="Arial"/>
                <w:b/>
                <w:bCs/>
                <w:color w:val="FFFFFF"/>
                <w:sz w:val="20"/>
                <w:szCs w:val="20"/>
              </w:rPr>
              <w:t>FY 2023</w:t>
            </w:r>
          </w:p>
        </w:tc>
        <w:tc>
          <w:tcPr>
            <w:tcW w:w="813" w:type="pct"/>
            <w:shd w:val="clear" w:color="auto" w:fill="000080"/>
            <w:vAlign w:val="center"/>
          </w:tcPr>
          <w:p w14:paraId="0815855A" w14:textId="36601808" w:rsidR="00A608BA" w:rsidRPr="002237AF" w:rsidRDefault="00A608BA" w:rsidP="00A608BA">
            <w:pPr>
              <w:jc w:val="right"/>
              <w:rPr>
                <w:rFonts w:ascii="Arial" w:hAnsi="Arial" w:cs="Arial"/>
                <w:b/>
                <w:bCs/>
                <w:color w:val="FFFFFF"/>
                <w:sz w:val="20"/>
                <w:szCs w:val="20"/>
              </w:rPr>
            </w:pPr>
            <w:r>
              <w:rPr>
                <w:rFonts w:ascii="Arial" w:hAnsi="Arial" w:cs="Arial"/>
                <w:b/>
                <w:bCs/>
                <w:color w:val="FFFFFF"/>
                <w:sz w:val="20"/>
                <w:szCs w:val="20"/>
              </w:rPr>
              <w:t>FY 2024</w:t>
            </w:r>
          </w:p>
        </w:tc>
        <w:tc>
          <w:tcPr>
            <w:tcW w:w="750" w:type="pct"/>
            <w:shd w:val="clear" w:color="auto" w:fill="000080"/>
            <w:vAlign w:val="center"/>
          </w:tcPr>
          <w:p w14:paraId="3CA976AE" w14:textId="734769FF" w:rsidR="00A608BA" w:rsidRPr="002237AF" w:rsidRDefault="00A608BA" w:rsidP="00A608BA">
            <w:pPr>
              <w:jc w:val="right"/>
              <w:rPr>
                <w:rFonts w:ascii="Arial" w:hAnsi="Arial" w:cs="Arial"/>
                <w:b/>
                <w:bCs/>
                <w:color w:val="FFFFFF"/>
                <w:sz w:val="20"/>
                <w:szCs w:val="20"/>
              </w:rPr>
            </w:pPr>
            <w:r>
              <w:rPr>
                <w:rFonts w:ascii="Arial" w:hAnsi="Arial" w:cs="Arial"/>
                <w:b/>
                <w:bCs/>
                <w:color w:val="FFFFFF"/>
                <w:sz w:val="20"/>
                <w:szCs w:val="20"/>
              </w:rPr>
              <w:t>FY 202</w:t>
            </w:r>
            <w:r>
              <w:rPr>
                <w:rFonts w:ascii="Arial" w:hAnsi="Arial" w:cs="Arial"/>
                <w:b/>
                <w:bCs/>
                <w:color w:val="FFFFFF"/>
                <w:sz w:val="20"/>
                <w:szCs w:val="20"/>
              </w:rPr>
              <w:t>5</w:t>
            </w:r>
          </w:p>
        </w:tc>
      </w:tr>
      <w:tr w:rsidR="00A608BA" w:rsidRPr="00B006FB" w14:paraId="3821C8C8" w14:textId="77777777" w:rsidTr="00441E86">
        <w:trPr>
          <w:trHeight w:val="51"/>
        </w:trPr>
        <w:tc>
          <w:tcPr>
            <w:tcW w:w="1811" w:type="pct"/>
            <w:vAlign w:val="center"/>
          </w:tcPr>
          <w:p w14:paraId="089A8BBB" w14:textId="77777777" w:rsidR="00A608BA" w:rsidRPr="00B006FB" w:rsidRDefault="00A608BA" w:rsidP="00A608BA">
            <w:pPr>
              <w:rPr>
                <w:rFonts w:ascii="Arial" w:eastAsia="Arial Unicode MS" w:hAnsi="Arial" w:cs="Arial"/>
                <w:color w:val="000000"/>
                <w:sz w:val="20"/>
                <w:szCs w:val="20"/>
              </w:rPr>
            </w:pPr>
            <w:r w:rsidRPr="00B006FB">
              <w:rPr>
                <w:rFonts w:ascii="Arial" w:hAnsi="Arial" w:cs="Arial"/>
                <w:color w:val="000000"/>
                <w:sz w:val="20"/>
                <w:szCs w:val="20"/>
              </w:rPr>
              <w:t>General Fund</w:t>
            </w:r>
          </w:p>
        </w:tc>
        <w:tc>
          <w:tcPr>
            <w:tcW w:w="813" w:type="pct"/>
            <w:vAlign w:val="center"/>
          </w:tcPr>
          <w:p w14:paraId="2BEF4513" w14:textId="10AF5FA1" w:rsidR="00A608BA" w:rsidRPr="00B006FB" w:rsidRDefault="00A608BA" w:rsidP="00A608BA">
            <w:pPr>
              <w:jc w:val="right"/>
              <w:rPr>
                <w:rFonts w:ascii="Arial" w:hAnsi="Arial" w:cs="Arial"/>
                <w:color w:val="000000"/>
                <w:sz w:val="20"/>
                <w:szCs w:val="20"/>
              </w:rPr>
            </w:pPr>
            <w:r w:rsidRPr="005F528F">
              <w:rPr>
                <w:rFonts w:ascii="Arial" w:hAnsi="Arial" w:cs="Arial"/>
                <w:color w:val="000000"/>
                <w:sz w:val="20"/>
                <w:szCs w:val="20"/>
              </w:rPr>
              <w:t>$1,453,100</w:t>
            </w:r>
          </w:p>
        </w:tc>
        <w:tc>
          <w:tcPr>
            <w:tcW w:w="813" w:type="pct"/>
            <w:vAlign w:val="center"/>
          </w:tcPr>
          <w:p w14:paraId="1539AFF7" w14:textId="32F4693F" w:rsidR="00A608BA" w:rsidRPr="00B006FB" w:rsidRDefault="00A608BA" w:rsidP="00A608BA">
            <w:pPr>
              <w:jc w:val="right"/>
              <w:rPr>
                <w:rFonts w:ascii="Arial" w:hAnsi="Arial" w:cs="Arial"/>
                <w:color w:val="000000"/>
                <w:sz w:val="20"/>
                <w:szCs w:val="20"/>
              </w:rPr>
            </w:pPr>
            <w:r>
              <w:rPr>
                <w:rFonts w:ascii="Arial" w:hAnsi="Arial" w:cs="Arial"/>
                <w:color w:val="000000"/>
                <w:sz w:val="20"/>
                <w:szCs w:val="20"/>
              </w:rPr>
              <w:t>$1,528,799</w:t>
            </w:r>
          </w:p>
        </w:tc>
        <w:tc>
          <w:tcPr>
            <w:tcW w:w="813" w:type="pct"/>
            <w:vAlign w:val="center"/>
          </w:tcPr>
          <w:p w14:paraId="612043D6" w14:textId="657673D8" w:rsidR="00A608BA" w:rsidRPr="00B006FB" w:rsidRDefault="00A608BA" w:rsidP="00A608BA">
            <w:pPr>
              <w:jc w:val="right"/>
              <w:rPr>
                <w:rFonts w:ascii="Arial" w:hAnsi="Arial" w:cs="Arial"/>
                <w:color w:val="000000"/>
                <w:sz w:val="20"/>
                <w:szCs w:val="20"/>
              </w:rPr>
            </w:pPr>
            <w:r>
              <w:rPr>
                <w:rFonts w:ascii="Arial" w:hAnsi="Arial" w:cs="Arial"/>
                <w:color w:val="000000"/>
                <w:sz w:val="20"/>
                <w:szCs w:val="20"/>
              </w:rPr>
              <w:t>$1,625,656</w:t>
            </w:r>
          </w:p>
        </w:tc>
        <w:tc>
          <w:tcPr>
            <w:tcW w:w="750" w:type="pct"/>
            <w:vAlign w:val="center"/>
          </w:tcPr>
          <w:p w14:paraId="2DD74FEB" w14:textId="2B424420" w:rsidR="00A608BA" w:rsidRPr="005F528F" w:rsidRDefault="00A608BA" w:rsidP="00A608BA">
            <w:pPr>
              <w:jc w:val="right"/>
              <w:rPr>
                <w:rFonts w:ascii="Arial" w:hAnsi="Arial" w:cs="Arial"/>
                <w:color w:val="000000"/>
                <w:sz w:val="20"/>
                <w:szCs w:val="20"/>
              </w:rPr>
            </w:pPr>
          </w:p>
        </w:tc>
      </w:tr>
      <w:tr w:rsidR="00A608BA" w:rsidRPr="00B006FB" w14:paraId="26A89D4D" w14:textId="77777777" w:rsidTr="00441E86">
        <w:tc>
          <w:tcPr>
            <w:tcW w:w="1811" w:type="pct"/>
            <w:vAlign w:val="center"/>
          </w:tcPr>
          <w:p w14:paraId="7DEF2CD8" w14:textId="3923B1E0" w:rsidR="00A608BA" w:rsidRPr="00B006FB" w:rsidRDefault="00A608BA" w:rsidP="00A608BA">
            <w:pPr>
              <w:rPr>
                <w:rFonts w:ascii="Arial" w:hAnsi="Arial" w:cs="Arial"/>
                <w:color w:val="000000"/>
                <w:sz w:val="20"/>
                <w:szCs w:val="20"/>
              </w:rPr>
            </w:pPr>
            <w:r w:rsidRPr="00B006FB">
              <w:rPr>
                <w:rFonts w:ascii="Arial" w:hAnsi="Arial" w:cs="Arial"/>
                <w:color w:val="000000"/>
                <w:sz w:val="20"/>
                <w:szCs w:val="20"/>
              </w:rPr>
              <w:t>CARES Act Fund</w:t>
            </w:r>
          </w:p>
        </w:tc>
        <w:tc>
          <w:tcPr>
            <w:tcW w:w="813" w:type="pct"/>
            <w:vAlign w:val="center"/>
          </w:tcPr>
          <w:p w14:paraId="5B985DF7" w14:textId="1F3557E7" w:rsidR="00A608BA" w:rsidRPr="00B006FB" w:rsidRDefault="00A608BA" w:rsidP="00A608BA">
            <w:pPr>
              <w:jc w:val="right"/>
              <w:rPr>
                <w:rFonts w:ascii="Arial" w:hAnsi="Arial" w:cs="Arial"/>
                <w:color w:val="000000"/>
                <w:sz w:val="20"/>
                <w:szCs w:val="20"/>
              </w:rPr>
            </w:pPr>
            <w:r w:rsidRPr="005F528F">
              <w:rPr>
                <w:rFonts w:ascii="Arial" w:hAnsi="Arial" w:cs="Arial"/>
                <w:color w:val="000000"/>
                <w:sz w:val="20"/>
                <w:szCs w:val="20"/>
              </w:rPr>
              <w:t>$8,618,900</w:t>
            </w:r>
          </w:p>
        </w:tc>
        <w:tc>
          <w:tcPr>
            <w:tcW w:w="813" w:type="pct"/>
            <w:vAlign w:val="center"/>
          </w:tcPr>
          <w:p w14:paraId="7F59C48A" w14:textId="5C79F562" w:rsidR="00A608BA" w:rsidRPr="00B006FB" w:rsidRDefault="00A608BA" w:rsidP="00A608BA">
            <w:pPr>
              <w:jc w:val="right"/>
              <w:rPr>
                <w:rFonts w:ascii="Arial" w:hAnsi="Arial" w:cs="Arial"/>
                <w:color w:val="000000"/>
                <w:sz w:val="20"/>
                <w:szCs w:val="20"/>
              </w:rPr>
            </w:pPr>
            <w:r>
              <w:rPr>
                <w:rFonts w:ascii="Arial" w:hAnsi="Arial" w:cs="Arial"/>
                <w:color w:val="000000"/>
                <w:sz w:val="20"/>
                <w:szCs w:val="20"/>
              </w:rPr>
              <w:t>$1,314,440</w:t>
            </w:r>
          </w:p>
        </w:tc>
        <w:tc>
          <w:tcPr>
            <w:tcW w:w="813" w:type="pct"/>
            <w:vAlign w:val="center"/>
          </w:tcPr>
          <w:p w14:paraId="31D5CCFB" w14:textId="4DC7A0D8" w:rsidR="00A608BA" w:rsidRPr="00B006FB" w:rsidRDefault="00A608BA" w:rsidP="00A608BA">
            <w:pPr>
              <w:jc w:val="right"/>
              <w:rPr>
                <w:rFonts w:ascii="Arial" w:hAnsi="Arial" w:cs="Arial"/>
                <w:color w:val="000000"/>
                <w:sz w:val="20"/>
                <w:szCs w:val="20"/>
              </w:rPr>
            </w:pPr>
            <w:r>
              <w:rPr>
                <w:rFonts w:ascii="Arial" w:hAnsi="Arial" w:cs="Arial"/>
                <w:color w:val="000000"/>
                <w:sz w:val="20"/>
                <w:szCs w:val="20"/>
              </w:rPr>
              <w:t>$9,318</w:t>
            </w:r>
          </w:p>
        </w:tc>
        <w:tc>
          <w:tcPr>
            <w:tcW w:w="750" w:type="pct"/>
            <w:vAlign w:val="center"/>
          </w:tcPr>
          <w:p w14:paraId="722593EB" w14:textId="494B6C26" w:rsidR="00A608BA" w:rsidRPr="005F528F" w:rsidRDefault="00A608BA" w:rsidP="00A608BA">
            <w:pPr>
              <w:spacing w:after="100" w:afterAutospacing="1"/>
              <w:jc w:val="right"/>
              <w:rPr>
                <w:rFonts w:ascii="Arial" w:hAnsi="Arial" w:cs="Arial"/>
                <w:color w:val="000000"/>
                <w:sz w:val="20"/>
                <w:szCs w:val="20"/>
              </w:rPr>
            </w:pPr>
          </w:p>
        </w:tc>
      </w:tr>
      <w:tr w:rsidR="00A608BA" w:rsidRPr="00B006FB" w14:paraId="20FBD760" w14:textId="77777777" w:rsidTr="00AD3E1D">
        <w:trPr>
          <w:trHeight w:val="233"/>
        </w:trPr>
        <w:tc>
          <w:tcPr>
            <w:tcW w:w="1811" w:type="pct"/>
            <w:vAlign w:val="center"/>
          </w:tcPr>
          <w:p w14:paraId="03207567" w14:textId="52BE02E2" w:rsidR="00A608BA" w:rsidRPr="00B006FB" w:rsidRDefault="00A608BA" w:rsidP="00A608BA">
            <w:pPr>
              <w:rPr>
                <w:rFonts w:ascii="Arial" w:eastAsia="Arial Unicode MS" w:hAnsi="Arial" w:cs="Arial"/>
                <w:color w:val="000000"/>
                <w:sz w:val="20"/>
                <w:szCs w:val="20"/>
              </w:rPr>
            </w:pPr>
            <w:r w:rsidRPr="00B006FB">
              <w:rPr>
                <w:rFonts w:ascii="Arial" w:hAnsi="Arial" w:cs="Arial"/>
                <w:color w:val="000000"/>
                <w:sz w:val="20"/>
                <w:szCs w:val="20"/>
              </w:rPr>
              <w:t>ARPA Fund</w:t>
            </w:r>
          </w:p>
        </w:tc>
        <w:tc>
          <w:tcPr>
            <w:tcW w:w="813" w:type="pct"/>
            <w:vAlign w:val="center"/>
          </w:tcPr>
          <w:p w14:paraId="0F44B49B" w14:textId="044259E9" w:rsidR="00A608BA" w:rsidRPr="00B006FB" w:rsidRDefault="00A608BA" w:rsidP="00A608BA">
            <w:pPr>
              <w:jc w:val="right"/>
              <w:rPr>
                <w:rFonts w:ascii="Arial" w:hAnsi="Arial" w:cs="Arial"/>
                <w:color w:val="000000"/>
                <w:sz w:val="20"/>
                <w:szCs w:val="20"/>
              </w:rPr>
            </w:pPr>
            <w:r w:rsidRPr="005F528F">
              <w:rPr>
                <w:rFonts w:ascii="Arial" w:hAnsi="Arial" w:cs="Arial"/>
                <w:color w:val="000000"/>
                <w:sz w:val="20"/>
                <w:szCs w:val="20"/>
              </w:rPr>
              <w:t>$4,324,300</w:t>
            </w:r>
          </w:p>
        </w:tc>
        <w:tc>
          <w:tcPr>
            <w:tcW w:w="813" w:type="pct"/>
            <w:vAlign w:val="center"/>
          </w:tcPr>
          <w:p w14:paraId="59D15D06" w14:textId="007FE470" w:rsidR="00A608BA" w:rsidRPr="00B006FB" w:rsidRDefault="00A608BA" w:rsidP="00A608BA">
            <w:pPr>
              <w:jc w:val="right"/>
              <w:rPr>
                <w:rFonts w:ascii="Arial" w:hAnsi="Arial" w:cs="Arial"/>
                <w:color w:val="000000"/>
                <w:sz w:val="20"/>
                <w:szCs w:val="20"/>
              </w:rPr>
            </w:pPr>
            <w:r>
              <w:rPr>
                <w:rFonts w:ascii="Arial" w:hAnsi="Arial" w:cs="Arial"/>
                <w:color w:val="000000"/>
                <w:sz w:val="20"/>
                <w:szCs w:val="20"/>
              </w:rPr>
              <w:t>$2,071,258</w:t>
            </w:r>
          </w:p>
        </w:tc>
        <w:tc>
          <w:tcPr>
            <w:tcW w:w="813" w:type="pct"/>
            <w:vAlign w:val="center"/>
          </w:tcPr>
          <w:p w14:paraId="4FEAA14B" w14:textId="456B5748" w:rsidR="00A608BA" w:rsidRPr="00B006FB" w:rsidRDefault="00A608BA" w:rsidP="00A608BA">
            <w:pPr>
              <w:jc w:val="right"/>
              <w:rPr>
                <w:rFonts w:ascii="Arial" w:hAnsi="Arial" w:cs="Arial"/>
                <w:color w:val="000000"/>
                <w:sz w:val="20"/>
                <w:szCs w:val="20"/>
              </w:rPr>
            </w:pPr>
            <w:r>
              <w:rPr>
                <w:rFonts w:ascii="Arial" w:hAnsi="Arial" w:cs="Arial"/>
                <w:color w:val="000000"/>
                <w:sz w:val="20"/>
                <w:szCs w:val="20"/>
              </w:rPr>
              <w:t>$0</w:t>
            </w:r>
          </w:p>
        </w:tc>
        <w:tc>
          <w:tcPr>
            <w:tcW w:w="750" w:type="pct"/>
            <w:vAlign w:val="center"/>
          </w:tcPr>
          <w:p w14:paraId="773AAC95" w14:textId="00DCA6AC" w:rsidR="00A608BA" w:rsidRPr="005F528F" w:rsidRDefault="00A608BA" w:rsidP="00A608BA">
            <w:pPr>
              <w:spacing w:after="100" w:afterAutospacing="1"/>
              <w:jc w:val="right"/>
              <w:rPr>
                <w:rFonts w:ascii="Arial" w:hAnsi="Arial" w:cs="Arial"/>
                <w:color w:val="000000"/>
                <w:sz w:val="20"/>
                <w:szCs w:val="20"/>
              </w:rPr>
            </w:pPr>
          </w:p>
        </w:tc>
      </w:tr>
      <w:tr w:rsidR="00A608BA" w:rsidRPr="00B006FB" w14:paraId="24D0AD09" w14:textId="77777777" w:rsidTr="00441E86">
        <w:trPr>
          <w:trHeight w:val="232"/>
        </w:trPr>
        <w:tc>
          <w:tcPr>
            <w:tcW w:w="1811" w:type="pct"/>
            <w:vAlign w:val="center"/>
          </w:tcPr>
          <w:p w14:paraId="1C55F53F" w14:textId="5E817ADB" w:rsidR="00A608BA" w:rsidRPr="00B006FB" w:rsidRDefault="00A608BA" w:rsidP="00A608BA">
            <w:pPr>
              <w:rPr>
                <w:rFonts w:ascii="Arial" w:hAnsi="Arial" w:cs="Arial"/>
                <w:color w:val="000000"/>
                <w:sz w:val="20"/>
                <w:szCs w:val="20"/>
              </w:rPr>
            </w:pPr>
            <w:r w:rsidRPr="00B006FB">
              <w:rPr>
                <w:rFonts w:ascii="Arial" w:hAnsi="Arial" w:cs="Arial"/>
                <w:color w:val="000000"/>
                <w:sz w:val="20"/>
                <w:szCs w:val="20"/>
              </w:rPr>
              <w:t>Federal Funds</w:t>
            </w:r>
          </w:p>
        </w:tc>
        <w:tc>
          <w:tcPr>
            <w:tcW w:w="813" w:type="pct"/>
            <w:vAlign w:val="center"/>
          </w:tcPr>
          <w:p w14:paraId="28AE316D" w14:textId="1EBCD6EE" w:rsidR="00A608BA" w:rsidRPr="00B006FB" w:rsidRDefault="00A608BA" w:rsidP="00A608BA">
            <w:pPr>
              <w:jc w:val="right"/>
              <w:rPr>
                <w:rFonts w:ascii="Arial" w:hAnsi="Arial" w:cs="Arial"/>
                <w:color w:val="000000"/>
                <w:sz w:val="20"/>
                <w:szCs w:val="20"/>
              </w:rPr>
            </w:pPr>
            <w:r w:rsidRPr="005F528F">
              <w:rPr>
                <w:rFonts w:ascii="Arial" w:hAnsi="Arial" w:cs="Arial"/>
                <w:color w:val="000000"/>
                <w:sz w:val="20"/>
                <w:szCs w:val="20"/>
              </w:rPr>
              <w:t>$25,300,100</w:t>
            </w:r>
          </w:p>
        </w:tc>
        <w:tc>
          <w:tcPr>
            <w:tcW w:w="813" w:type="pct"/>
            <w:vAlign w:val="center"/>
          </w:tcPr>
          <w:p w14:paraId="3DAAFDA3" w14:textId="4D8E2BE5" w:rsidR="00A608BA" w:rsidRPr="00B006FB" w:rsidRDefault="00A608BA" w:rsidP="00A608BA">
            <w:pPr>
              <w:jc w:val="right"/>
              <w:rPr>
                <w:rFonts w:ascii="Arial" w:hAnsi="Arial" w:cs="Arial"/>
                <w:color w:val="000000"/>
                <w:sz w:val="20"/>
                <w:szCs w:val="20"/>
              </w:rPr>
            </w:pPr>
            <w:r>
              <w:rPr>
                <w:rFonts w:ascii="Arial" w:hAnsi="Arial" w:cs="Arial"/>
                <w:color w:val="000000"/>
                <w:sz w:val="20"/>
                <w:szCs w:val="20"/>
              </w:rPr>
              <w:t>$26,643,150</w:t>
            </w:r>
          </w:p>
        </w:tc>
        <w:tc>
          <w:tcPr>
            <w:tcW w:w="813" w:type="pct"/>
            <w:vAlign w:val="center"/>
          </w:tcPr>
          <w:p w14:paraId="63D1244A" w14:textId="6236DC50" w:rsidR="00A608BA" w:rsidRPr="00B006FB" w:rsidRDefault="00A608BA" w:rsidP="00A608BA">
            <w:pPr>
              <w:jc w:val="right"/>
              <w:rPr>
                <w:rFonts w:ascii="Arial" w:hAnsi="Arial" w:cs="Arial"/>
                <w:color w:val="000000"/>
                <w:sz w:val="20"/>
                <w:szCs w:val="20"/>
              </w:rPr>
            </w:pPr>
            <w:r>
              <w:rPr>
                <w:rFonts w:ascii="Arial" w:hAnsi="Arial" w:cs="Arial"/>
                <w:color w:val="000000"/>
                <w:sz w:val="20"/>
                <w:szCs w:val="20"/>
              </w:rPr>
              <w:t>$23,427,511</w:t>
            </w:r>
          </w:p>
        </w:tc>
        <w:tc>
          <w:tcPr>
            <w:tcW w:w="750" w:type="pct"/>
            <w:vAlign w:val="center"/>
          </w:tcPr>
          <w:p w14:paraId="696A0F0F" w14:textId="0BC46C0F" w:rsidR="00A608BA" w:rsidRPr="005F528F" w:rsidRDefault="00A608BA" w:rsidP="00A608BA">
            <w:pPr>
              <w:spacing w:after="100" w:afterAutospacing="1"/>
              <w:jc w:val="right"/>
              <w:rPr>
                <w:rFonts w:ascii="Arial" w:hAnsi="Arial" w:cs="Arial"/>
                <w:color w:val="000000"/>
                <w:sz w:val="20"/>
                <w:szCs w:val="20"/>
              </w:rPr>
            </w:pPr>
          </w:p>
        </w:tc>
      </w:tr>
      <w:tr w:rsidR="00A608BA" w:rsidRPr="00B006FB" w14:paraId="6FDD420B" w14:textId="77777777" w:rsidTr="00441E86">
        <w:tc>
          <w:tcPr>
            <w:tcW w:w="1811" w:type="pct"/>
            <w:vAlign w:val="center"/>
          </w:tcPr>
          <w:p w14:paraId="78825277" w14:textId="4CC10FBE" w:rsidR="00A608BA" w:rsidRPr="00B006FB" w:rsidRDefault="00A608BA" w:rsidP="00A608BA">
            <w:pPr>
              <w:rPr>
                <w:rFonts w:ascii="Arial" w:eastAsia="Arial Unicode MS" w:hAnsi="Arial" w:cs="Arial"/>
                <w:color w:val="000000"/>
                <w:sz w:val="20"/>
                <w:szCs w:val="20"/>
              </w:rPr>
            </w:pPr>
            <w:r w:rsidRPr="00B006FB">
              <w:rPr>
                <w:rFonts w:ascii="Arial" w:hAnsi="Arial" w:cs="Arial"/>
                <w:color w:val="000000"/>
                <w:sz w:val="20"/>
                <w:szCs w:val="20"/>
              </w:rPr>
              <w:t>Miscellaneous Funds</w:t>
            </w:r>
          </w:p>
        </w:tc>
        <w:tc>
          <w:tcPr>
            <w:tcW w:w="813" w:type="pct"/>
            <w:vAlign w:val="center"/>
          </w:tcPr>
          <w:p w14:paraId="3AA2A235" w14:textId="6516027A" w:rsidR="00A608BA" w:rsidRPr="00B006FB" w:rsidRDefault="00A608BA" w:rsidP="00A608BA">
            <w:pPr>
              <w:jc w:val="right"/>
              <w:rPr>
                <w:rFonts w:ascii="Arial" w:hAnsi="Arial" w:cs="Arial"/>
                <w:color w:val="000000"/>
                <w:sz w:val="20"/>
                <w:szCs w:val="20"/>
              </w:rPr>
            </w:pPr>
            <w:r w:rsidRPr="005F528F">
              <w:rPr>
                <w:rFonts w:ascii="Arial" w:hAnsi="Arial" w:cs="Arial"/>
                <w:color w:val="000000"/>
                <w:sz w:val="20"/>
                <w:szCs w:val="20"/>
              </w:rPr>
              <w:t>$19,958,600</w:t>
            </w:r>
          </w:p>
        </w:tc>
        <w:tc>
          <w:tcPr>
            <w:tcW w:w="813" w:type="pct"/>
            <w:vAlign w:val="center"/>
          </w:tcPr>
          <w:p w14:paraId="0C359237" w14:textId="1869DF4F" w:rsidR="00A608BA" w:rsidRPr="00B006FB" w:rsidRDefault="00A608BA" w:rsidP="00A608BA">
            <w:pPr>
              <w:jc w:val="right"/>
              <w:rPr>
                <w:rFonts w:ascii="Arial" w:hAnsi="Arial" w:cs="Arial"/>
                <w:color w:val="000000"/>
                <w:sz w:val="20"/>
                <w:szCs w:val="20"/>
              </w:rPr>
            </w:pPr>
            <w:r>
              <w:rPr>
                <w:rFonts w:ascii="Arial" w:hAnsi="Arial" w:cs="Arial"/>
                <w:color w:val="000000"/>
                <w:sz w:val="20"/>
                <w:szCs w:val="20"/>
              </w:rPr>
              <w:t>$15,058,823</w:t>
            </w:r>
          </w:p>
        </w:tc>
        <w:tc>
          <w:tcPr>
            <w:tcW w:w="813" w:type="pct"/>
            <w:vAlign w:val="center"/>
          </w:tcPr>
          <w:p w14:paraId="7E36FBFA" w14:textId="30A89D23" w:rsidR="00A608BA" w:rsidRPr="00B006FB" w:rsidRDefault="00A608BA" w:rsidP="00A608BA">
            <w:pPr>
              <w:jc w:val="right"/>
              <w:rPr>
                <w:rFonts w:ascii="Arial" w:hAnsi="Arial" w:cs="Arial"/>
                <w:color w:val="000000"/>
                <w:sz w:val="20"/>
                <w:szCs w:val="20"/>
              </w:rPr>
            </w:pPr>
            <w:r>
              <w:rPr>
                <w:rFonts w:ascii="Arial" w:hAnsi="Arial" w:cs="Arial"/>
                <w:color w:val="000000"/>
                <w:sz w:val="20"/>
                <w:szCs w:val="20"/>
              </w:rPr>
              <w:t>$19,084,444</w:t>
            </w:r>
          </w:p>
        </w:tc>
        <w:tc>
          <w:tcPr>
            <w:tcW w:w="750" w:type="pct"/>
            <w:vAlign w:val="center"/>
          </w:tcPr>
          <w:p w14:paraId="1E6DA846" w14:textId="7BD62A2E" w:rsidR="00A608BA" w:rsidRPr="005F528F" w:rsidRDefault="00A608BA" w:rsidP="00A608BA">
            <w:pPr>
              <w:jc w:val="right"/>
              <w:rPr>
                <w:rFonts w:ascii="Arial" w:hAnsi="Arial" w:cs="Arial"/>
                <w:color w:val="000000"/>
                <w:sz w:val="20"/>
                <w:szCs w:val="20"/>
              </w:rPr>
            </w:pPr>
          </w:p>
        </w:tc>
      </w:tr>
      <w:tr w:rsidR="00A608BA" w:rsidRPr="00B006FB" w14:paraId="6F15A9BE" w14:textId="77777777" w:rsidTr="00441E86">
        <w:tc>
          <w:tcPr>
            <w:tcW w:w="1811" w:type="pct"/>
            <w:vAlign w:val="center"/>
          </w:tcPr>
          <w:p w14:paraId="163B9E2E" w14:textId="77777777" w:rsidR="00A608BA" w:rsidRPr="00B006FB" w:rsidRDefault="00A608BA" w:rsidP="00A608BA">
            <w:pPr>
              <w:rPr>
                <w:rFonts w:ascii="Arial" w:eastAsia="Arial Unicode MS" w:hAnsi="Arial" w:cs="Arial"/>
                <w:color w:val="000000"/>
                <w:sz w:val="20"/>
                <w:szCs w:val="20"/>
              </w:rPr>
            </w:pPr>
            <w:r w:rsidRPr="00B006FB">
              <w:rPr>
                <w:rFonts w:ascii="Arial" w:hAnsi="Arial" w:cs="Arial"/>
                <w:color w:val="000000"/>
                <w:sz w:val="20"/>
                <w:szCs w:val="20"/>
              </w:rPr>
              <w:t>Endowment Fund</w:t>
            </w:r>
          </w:p>
        </w:tc>
        <w:tc>
          <w:tcPr>
            <w:tcW w:w="813" w:type="pct"/>
            <w:vAlign w:val="center"/>
          </w:tcPr>
          <w:p w14:paraId="082FF9B2" w14:textId="708EB8EA" w:rsidR="00A608BA" w:rsidRPr="00B006FB" w:rsidRDefault="00A608BA" w:rsidP="00A608BA">
            <w:pPr>
              <w:jc w:val="right"/>
              <w:rPr>
                <w:rFonts w:ascii="Arial" w:hAnsi="Arial" w:cs="Arial"/>
                <w:color w:val="000000"/>
                <w:sz w:val="20"/>
                <w:szCs w:val="20"/>
              </w:rPr>
            </w:pPr>
            <w:r w:rsidRPr="005F528F">
              <w:rPr>
                <w:rFonts w:ascii="Arial" w:hAnsi="Arial" w:cs="Arial"/>
                <w:color w:val="000000"/>
                <w:sz w:val="20"/>
                <w:szCs w:val="20"/>
              </w:rPr>
              <w:t>1,495,100</w:t>
            </w:r>
          </w:p>
        </w:tc>
        <w:tc>
          <w:tcPr>
            <w:tcW w:w="813" w:type="pct"/>
            <w:vAlign w:val="center"/>
          </w:tcPr>
          <w:p w14:paraId="338AD0DF" w14:textId="2E58E0AB" w:rsidR="00A608BA" w:rsidRPr="00B006FB" w:rsidRDefault="00A608BA" w:rsidP="00A608BA">
            <w:pPr>
              <w:jc w:val="right"/>
              <w:rPr>
                <w:rFonts w:ascii="Arial" w:hAnsi="Arial" w:cs="Arial"/>
                <w:color w:val="000000"/>
                <w:sz w:val="20"/>
                <w:szCs w:val="20"/>
              </w:rPr>
            </w:pPr>
            <w:r>
              <w:rPr>
                <w:rFonts w:ascii="Arial" w:hAnsi="Arial" w:cs="Arial"/>
                <w:color w:val="000000"/>
                <w:sz w:val="20"/>
                <w:szCs w:val="20"/>
              </w:rPr>
              <w:t>$1,568,651</w:t>
            </w:r>
          </w:p>
        </w:tc>
        <w:tc>
          <w:tcPr>
            <w:tcW w:w="813" w:type="pct"/>
            <w:vAlign w:val="center"/>
          </w:tcPr>
          <w:p w14:paraId="6F7BBF1E" w14:textId="22AFDD1C" w:rsidR="00A608BA" w:rsidRPr="00B006FB" w:rsidRDefault="00A608BA" w:rsidP="00A608BA">
            <w:pPr>
              <w:jc w:val="right"/>
              <w:rPr>
                <w:rFonts w:ascii="Arial" w:hAnsi="Arial" w:cs="Arial"/>
                <w:color w:val="000000"/>
                <w:sz w:val="20"/>
                <w:szCs w:val="20"/>
              </w:rPr>
            </w:pPr>
            <w:r>
              <w:rPr>
                <w:rFonts w:ascii="Arial" w:hAnsi="Arial" w:cs="Arial"/>
                <w:color w:val="000000"/>
                <w:sz w:val="20"/>
                <w:szCs w:val="20"/>
              </w:rPr>
              <w:t>$1,198,432</w:t>
            </w:r>
          </w:p>
        </w:tc>
        <w:tc>
          <w:tcPr>
            <w:tcW w:w="750" w:type="pct"/>
            <w:vAlign w:val="center"/>
          </w:tcPr>
          <w:p w14:paraId="795FE65E" w14:textId="67FAD17D" w:rsidR="00A608BA" w:rsidRPr="005F528F" w:rsidRDefault="00A608BA" w:rsidP="00A608BA">
            <w:pPr>
              <w:jc w:val="right"/>
              <w:rPr>
                <w:rFonts w:ascii="Arial" w:hAnsi="Arial" w:cs="Arial"/>
                <w:color w:val="000000"/>
                <w:sz w:val="20"/>
                <w:szCs w:val="20"/>
              </w:rPr>
            </w:pPr>
          </w:p>
        </w:tc>
      </w:tr>
      <w:tr w:rsidR="00A608BA" w:rsidRPr="00B006FB" w14:paraId="7EA80E28" w14:textId="77777777" w:rsidTr="00441E86">
        <w:tc>
          <w:tcPr>
            <w:tcW w:w="1811" w:type="pct"/>
            <w:vAlign w:val="center"/>
          </w:tcPr>
          <w:p w14:paraId="2D1DD922" w14:textId="77777777" w:rsidR="00A608BA" w:rsidRPr="00B006FB" w:rsidRDefault="00A608BA" w:rsidP="00A608BA">
            <w:pPr>
              <w:rPr>
                <w:rFonts w:ascii="Arial" w:hAnsi="Arial" w:cs="Arial"/>
                <w:color w:val="000000"/>
                <w:sz w:val="20"/>
                <w:szCs w:val="20"/>
              </w:rPr>
            </w:pPr>
            <w:r w:rsidRPr="00B006FB">
              <w:rPr>
                <w:rFonts w:ascii="Arial" w:hAnsi="Arial" w:cs="Arial"/>
                <w:color w:val="000000"/>
                <w:sz w:val="20"/>
                <w:szCs w:val="20"/>
              </w:rPr>
              <w:t>Cemetery Maintenance Fund</w:t>
            </w:r>
          </w:p>
        </w:tc>
        <w:tc>
          <w:tcPr>
            <w:tcW w:w="813" w:type="pct"/>
            <w:vAlign w:val="center"/>
          </w:tcPr>
          <w:p w14:paraId="6D1FB19C" w14:textId="69E8AC6E" w:rsidR="00A608BA" w:rsidRPr="00B006FB" w:rsidRDefault="00A608BA" w:rsidP="00A608BA">
            <w:pPr>
              <w:jc w:val="right"/>
              <w:rPr>
                <w:rFonts w:ascii="Arial" w:hAnsi="Arial" w:cs="Arial"/>
                <w:sz w:val="20"/>
                <w:szCs w:val="20"/>
              </w:rPr>
            </w:pPr>
            <w:r w:rsidRPr="005F528F">
              <w:rPr>
                <w:rFonts w:ascii="Arial" w:hAnsi="Arial" w:cs="Arial"/>
                <w:sz w:val="20"/>
                <w:szCs w:val="20"/>
              </w:rPr>
              <w:t>$141,791</w:t>
            </w:r>
          </w:p>
        </w:tc>
        <w:tc>
          <w:tcPr>
            <w:tcW w:w="813" w:type="pct"/>
            <w:vAlign w:val="center"/>
          </w:tcPr>
          <w:p w14:paraId="73ED99B7" w14:textId="1E2BD5EC" w:rsidR="00A608BA" w:rsidRPr="00B006FB" w:rsidRDefault="00A608BA" w:rsidP="00A608BA">
            <w:pPr>
              <w:jc w:val="right"/>
              <w:rPr>
                <w:rFonts w:ascii="Arial" w:hAnsi="Arial" w:cs="Arial"/>
                <w:color w:val="000000"/>
                <w:sz w:val="20"/>
                <w:szCs w:val="20"/>
              </w:rPr>
            </w:pPr>
            <w:r>
              <w:rPr>
                <w:rFonts w:ascii="Arial" w:hAnsi="Arial" w:cs="Arial"/>
                <w:sz w:val="20"/>
                <w:szCs w:val="20"/>
              </w:rPr>
              <w:t>$163,703</w:t>
            </w:r>
          </w:p>
        </w:tc>
        <w:tc>
          <w:tcPr>
            <w:tcW w:w="813" w:type="pct"/>
            <w:vAlign w:val="center"/>
          </w:tcPr>
          <w:p w14:paraId="7D2EFEFB" w14:textId="12BA9009" w:rsidR="00A608BA" w:rsidRPr="00B006FB" w:rsidRDefault="00A608BA" w:rsidP="00A608BA">
            <w:pPr>
              <w:jc w:val="right"/>
              <w:rPr>
                <w:rFonts w:ascii="Arial" w:hAnsi="Arial" w:cs="Arial"/>
                <w:sz w:val="20"/>
                <w:szCs w:val="20"/>
              </w:rPr>
            </w:pPr>
            <w:r>
              <w:rPr>
                <w:rFonts w:ascii="Arial" w:hAnsi="Arial" w:cs="Arial"/>
                <w:sz w:val="20"/>
                <w:szCs w:val="20"/>
              </w:rPr>
              <w:t>$191,726</w:t>
            </w:r>
          </w:p>
        </w:tc>
        <w:tc>
          <w:tcPr>
            <w:tcW w:w="750" w:type="pct"/>
            <w:vAlign w:val="center"/>
          </w:tcPr>
          <w:p w14:paraId="0EF8ECFB" w14:textId="15F6BD44" w:rsidR="00A608BA" w:rsidRPr="005F528F" w:rsidRDefault="00A608BA" w:rsidP="00A608BA">
            <w:pPr>
              <w:jc w:val="right"/>
              <w:rPr>
                <w:rFonts w:ascii="Arial" w:hAnsi="Arial" w:cs="Arial"/>
                <w:sz w:val="20"/>
                <w:szCs w:val="20"/>
              </w:rPr>
            </w:pPr>
          </w:p>
        </w:tc>
      </w:tr>
      <w:tr w:rsidR="00A608BA" w:rsidRPr="00B006FB" w14:paraId="7F334693" w14:textId="77777777" w:rsidTr="00441E86">
        <w:tc>
          <w:tcPr>
            <w:tcW w:w="1811" w:type="pct"/>
            <w:vAlign w:val="center"/>
          </w:tcPr>
          <w:p w14:paraId="1033FE7C" w14:textId="77777777" w:rsidR="00A608BA" w:rsidRPr="00B006FB" w:rsidRDefault="00A608BA" w:rsidP="00A608BA">
            <w:pPr>
              <w:rPr>
                <w:rFonts w:ascii="Arial" w:hAnsi="Arial" w:cs="Arial"/>
                <w:color w:val="000000"/>
                <w:sz w:val="20"/>
                <w:szCs w:val="20"/>
              </w:rPr>
            </w:pPr>
            <w:r w:rsidRPr="00B006FB">
              <w:rPr>
                <w:rFonts w:ascii="Arial" w:hAnsi="Arial" w:cs="Arial"/>
                <w:color w:val="000000"/>
                <w:sz w:val="20"/>
                <w:szCs w:val="20"/>
              </w:rPr>
              <w:t>Veterans Support Fund</w:t>
            </w:r>
          </w:p>
        </w:tc>
        <w:tc>
          <w:tcPr>
            <w:tcW w:w="813" w:type="pct"/>
            <w:vAlign w:val="center"/>
          </w:tcPr>
          <w:p w14:paraId="35B68888" w14:textId="664CB7C1" w:rsidR="00A608BA" w:rsidRPr="00B006FB" w:rsidRDefault="00A608BA" w:rsidP="00A608BA">
            <w:pPr>
              <w:jc w:val="right"/>
              <w:rPr>
                <w:rFonts w:ascii="Arial" w:hAnsi="Arial" w:cs="Arial"/>
                <w:sz w:val="20"/>
                <w:szCs w:val="20"/>
              </w:rPr>
            </w:pPr>
            <w:r w:rsidRPr="005F528F">
              <w:rPr>
                <w:rFonts w:ascii="Arial" w:hAnsi="Arial" w:cs="Arial"/>
                <w:sz w:val="20"/>
                <w:szCs w:val="20"/>
              </w:rPr>
              <w:t>$85,679</w:t>
            </w:r>
          </w:p>
        </w:tc>
        <w:tc>
          <w:tcPr>
            <w:tcW w:w="813" w:type="pct"/>
            <w:vAlign w:val="center"/>
          </w:tcPr>
          <w:p w14:paraId="36A086B3" w14:textId="2832575C" w:rsidR="00A608BA" w:rsidRPr="00B006FB" w:rsidRDefault="00A608BA" w:rsidP="00A608BA">
            <w:pPr>
              <w:jc w:val="right"/>
              <w:rPr>
                <w:rFonts w:ascii="Arial" w:hAnsi="Arial" w:cs="Arial"/>
                <w:color w:val="000000"/>
                <w:sz w:val="20"/>
                <w:szCs w:val="20"/>
              </w:rPr>
            </w:pPr>
            <w:r>
              <w:rPr>
                <w:rFonts w:ascii="Arial" w:hAnsi="Arial" w:cs="Arial"/>
                <w:sz w:val="20"/>
                <w:szCs w:val="20"/>
              </w:rPr>
              <w:t>$93,029</w:t>
            </w:r>
          </w:p>
        </w:tc>
        <w:tc>
          <w:tcPr>
            <w:tcW w:w="813" w:type="pct"/>
            <w:vAlign w:val="center"/>
          </w:tcPr>
          <w:p w14:paraId="475C4AD5" w14:textId="2E4E1BA5" w:rsidR="00A608BA" w:rsidRPr="00B006FB" w:rsidRDefault="00A608BA" w:rsidP="00A608BA">
            <w:pPr>
              <w:jc w:val="right"/>
              <w:rPr>
                <w:rFonts w:ascii="Arial" w:hAnsi="Arial" w:cs="Arial"/>
                <w:sz w:val="20"/>
                <w:szCs w:val="20"/>
              </w:rPr>
            </w:pPr>
            <w:r>
              <w:rPr>
                <w:rFonts w:ascii="Arial" w:hAnsi="Arial" w:cs="Arial"/>
                <w:sz w:val="20"/>
                <w:szCs w:val="20"/>
              </w:rPr>
              <w:t>$132,788</w:t>
            </w:r>
          </w:p>
        </w:tc>
        <w:tc>
          <w:tcPr>
            <w:tcW w:w="750" w:type="pct"/>
            <w:vAlign w:val="center"/>
          </w:tcPr>
          <w:p w14:paraId="3AAFA3FF" w14:textId="26084392" w:rsidR="00A608BA" w:rsidRPr="005F528F" w:rsidRDefault="00A608BA" w:rsidP="00A608BA">
            <w:pPr>
              <w:jc w:val="right"/>
              <w:rPr>
                <w:rFonts w:ascii="Arial" w:hAnsi="Arial" w:cs="Arial"/>
                <w:sz w:val="20"/>
                <w:szCs w:val="20"/>
              </w:rPr>
            </w:pPr>
          </w:p>
        </w:tc>
      </w:tr>
      <w:tr w:rsidR="00A608BA" w:rsidRPr="00B006FB" w14:paraId="67DF203F" w14:textId="77777777" w:rsidTr="00441E86">
        <w:tc>
          <w:tcPr>
            <w:tcW w:w="1811" w:type="pct"/>
            <w:vAlign w:val="center"/>
          </w:tcPr>
          <w:p w14:paraId="6D27668B" w14:textId="2F496573" w:rsidR="00A608BA" w:rsidRPr="00B006FB" w:rsidRDefault="00A608BA" w:rsidP="00A608BA">
            <w:pPr>
              <w:rPr>
                <w:rFonts w:ascii="Arial" w:hAnsi="Arial" w:cs="Arial"/>
                <w:b/>
                <w:bCs/>
                <w:color w:val="000000"/>
                <w:sz w:val="20"/>
                <w:szCs w:val="20"/>
              </w:rPr>
            </w:pPr>
            <w:r w:rsidRPr="00B006FB">
              <w:rPr>
                <w:rFonts w:ascii="Arial" w:hAnsi="Arial" w:cs="Arial"/>
                <w:color w:val="000000"/>
                <w:sz w:val="20"/>
                <w:szCs w:val="20"/>
              </w:rPr>
              <w:t>Veterans Recognition Fund</w:t>
            </w:r>
          </w:p>
        </w:tc>
        <w:tc>
          <w:tcPr>
            <w:tcW w:w="813" w:type="pct"/>
            <w:vAlign w:val="center"/>
          </w:tcPr>
          <w:p w14:paraId="1B95C721" w14:textId="3524CCFE" w:rsidR="00A608BA" w:rsidRPr="00B006FB" w:rsidRDefault="00A608BA" w:rsidP="00A608BA">
            <w:pPr>
              <w:jc w:val="right"/>
              <w:rPr>
                <w:rFonts w:ascii="Arial" w:hAnsi="Arial" w:cs="Arial"/>
                <w:bCs/>
                <w:sz w:val="20"/>
                <w:szCs w:val="20"/>
                <w:u w:val="single"/>
              </w:rPr>
            </w:pPr>
            <w:r w:rsidRPr="005F528F">
              <w:rPr>
                <w:rFonts w:ascii="Arial" w:hAnsi="Arial" w:cs="Arial"/>
                <w:color w:val="000000"/>
                <w:sz w:val="20"/>
                <w:szCs w:val="20"/>
                <w:u w:val="single"/>
              </w:rPr>
              <w:t>$219,658</w:t>
            </w:r>
          </w:p>
        </w:tc>
        <w:tc>
          <w:tcPr>
            <w:tcW w:w="813" w:type="pct"/>
            <w:vAlign w:val="center"/>
          </w:tcPr>
          <w:p w14:paraId="5C04EE5D" w14:textId="5FD90D3B" w:rsidR="00A608BA" w:rsidRPr="00B006FB" w:rsidRDefault="00A608BA" w:rsidP="00A608BA">
            <w:pPr>
              <w:jc w:val="right"/>
              <w:rPr>
                <w:rFonts w:ascii="Arial" w:hAnsi="Arial" w:cs="Arial"/>
                <w:color w:val="000000"/>
                <w:sz w:val="20"/>
                <w:szCs w:val="20"/>
                <w:u w:val="single"/>
              </w:rPr>
            </w:pPr>
            <w:r>
              <w:rPr>
                <w:rFonts w:ascii="Arial" w:hAnsi="Arial" w:cs="Arial"/>
                <w:color w:val="000000"/>
                <w:sz w:val="20"/>
                <w:szCs w:val="20"/>
                <w:u w:val="single"/>
              </w:rPr>
              <w:t>$19,381</w:t>
            </w:r>
          </w:p>
        </w:tc>
        <w:tc>
          <w:tcPr>
            <w:tcW w:w="813" w:type="pct"/>
            <w:vAlign w:val="center"/>
          </w:tcPr>
          <w:p w14:paraId="44395A86" w14:textId="24DD6BEC" w:rsidR="00A608BA" w:rsidRPr="00B006FB" w:rsidRDefault="00A608BA" w:rsidP="00A608BA">
            <w:pPr>
              <w:jc w:val="right"/>
              <w:rPr>
                <w:rFonts w:ascii="Arial" w:hAnsi="Arial" w:cs="Arial"/>
                <w:color w:val="000000"/>
                <w:sz w:val="20"/>
                <w:szCs w:val="20"/>
                <w:u w:val="single"/>
              </w:rPr>
            </w:pPr>
            <w:r>
              <w:rPr>
                <w:rFonts w:ascii="Arial" w:hAnsi="Arial" w:cs="Arial"/>
                <w:color w:val="000000"/>
                <w:sz w:val="20"/>
                <w:szCs w:val="20"/>
                <w:u w:val="single"/>
              </w:rPr>
              <w:t>$142,398</w:t>
            </w:r>
          </w:p>
        </w:tc>
        <w:tc>
          <w:tcPr>
            <w:tcW w:w="750" w:type="pct"/>
            <w:vAlign w:val="center"/>
          </w:tcPr>
          <w:p w14:paraId="6752A05E" w14:textId="69AC1C5C" w:rsidR="00A608BA" w:rsidRPr="005F528F" w:rsidRDefault="00A608BA" w:rsidP="00A608BA">
            <w:pPr>
              <w:jc w:val="right"/>
              <w:rPr>
                <w:rFonts w:ascii="Arial" w:hAnsi="Arial" w:cs="Arial"/>
                <w:color w:val="000000"/>
                <w:sz w:val="20"/>
                <w:szCs w:val="20"/>
                <w:u w:val="single"/>
              </w:rPr>
            </w:pPr>
          </w:p>
        </w:tc>
      </w:tr>
      <w:tr w:rsidR="00A608BA" w:rsidRPr="00B006FB" w14:paraId="4182F3A3" w14:textId="77777777" w:rsidTr="00441E86">
        <w:tc>
          <w:tcPr>
            <w:tcW w:w="1811" w:type="pct"/>
            <w:vAlign w:val="bottom"/>
          </w:tcPr>
          <w:p w14:paraId="75E4F284" w14:textId="77777777" w:rsidR="00A608BA" w:rsidRPr="00B006FB" w:rsidRDefault="00A608BA" w:rsidP="00A608BA">
            <w:pPr>
              <w:rPr>
                <w:rFonts w:ascii="Arial" w:eastAsia="Arial Unicode MS" w:hAnsi="Arial" w:cs="Arial"/>
                <w:b/>
                <w:bCs/>
                <w:color w:val="000000"/>
                <w:sz w:val="20"/>
                <w:szCs w:val="20"/>
              </w:rPr>
            </w:pPr>
            <w:r w:rsidRPr="00B006FB">
              <w:rPr>
                <w:rFonts w:ascii="Arial" w:hAnsi="Arial" w:cs="Arial"/>
                <w:b/>
                <w:bCs/>
                <w:color w:val="000000"/>
                <w:sz w:val="20"/>
                <w:szCs w:val="20"/>
              </w:rPr>
              <w:t>Total</w:t>
            </w:r>
          </w:p>
        </w:tc>
        <w:tc>
          <w:tcPr>
            <w:tcW w:w="813" w:type="pct"/>
            <w:vAlign w:val="center"/>
          </w:tcPr>
          <w:p w14:paraId="6B38A5CA" w14:textId="6169C56D" w:rsidR="00A608BA" w:rsidRPr="00B006FB" w:rsidRDefault="00A608BA" w:rsidP="00A608BA">
            <w:pPr>
              <w:jc w:val="right"/>
              <w:rPr>
                <w:rFonts w:ascii="Arial" w:hAnsi="Arial" w:cs="Arial"/>
                <w:b/>
                <w:bCs/>
                <w:sz w:val="20"/>
                <w:szCs w:val="20"/>
              </w:rPr>
            </w:pPr>
            <w:r w:rsidRPr="005F528F">
              <w:rPr>
                <w:rFonts w:ascii="Arial" w:hAnsi="Arial" w:cs="Arial"/>
                <w:b/>
                <w:bCs/>
                <w:sz w:val="20"/>
                <w:szCs w:val="20"/>
              </w:rPr>
              <w:t>$61,597,228</w:t>
            </w:r>
          </w:p>
        </w:tc>
        <w:tc>
          <w:tcPr>
            <w:tcW w:w="813" w:type="pct"/>
            <w:vAlign w:val="center"/>
          </w:tcPr>
          <w:p w14:paraId="773D2FB0" w14:textId="31C7E36E" w:rsidR="00A608BA" w:rsidRPr="00B006FB" w:rsidRDefault="00A608BA" w:rsidP="00A608BA">
            <w:pPr>
              <w:jc w:val="right"/>
              <w:rPr>
                <w:rFonts w:ascii="Arial" w:hAnsi="Arial" w:cs="Arial"/>
                <w:b/>
                <w:color w:val="000000"/>
                <w:sz w:val="20"/>
                <w:szCs w:val="20"/>
              </w:rPr>
            </w:pPr>
            <w:r>
              <w:rPr>
                <w:rFonts w:ascii="Arial" w:hAnsi="Arial" w:cs="Arial"/>
                <w:b/>
                <w:bCs/>
                <w:sz w:val="20"/>
                <w:szCs w:val="20"/>
              </w:rPr>
              <w:t>$48,461,234</w:t>
            </w:r>
          </w:p>
        </w:tc>
        <w:tc>
          <w:tcPr>
            <w:tcW w:w="813" w:type="pct"/>
            <w:vAlign w:val="center"/>
          </w:tcPr>
          <w:p w14:paraId="015B7624" w14:textId="5C6CBDF6" w:rsidR="00A608BA" w:rsidRPr="00B006FB" w:rsidRDefault="00A608BA" w:rsidP="00A608BA">
            <w:pPr>
              <w:jc w:val="right"/>
              <w:rPr>
                <w:rFonts w:ascii="Arial" w:hAnsi="Arial" w:cs="Arial"/>
                <w:b/>
                <w:bCs/>
                <w:sz w:val="20"/>
                <w:szCs w:val="20"/>
              </w:rPr>
            </w:pPr>
            <w:r>
              <w:rPr>
                <w:rFonts w:ascii="Arial" w:hAnsi="Arial" w:cs="Arial"/>
                <w:b/>
                <w:bCs/>
                <w:sz w:val="20"/>
                <w:szCs w:val="20"/>
              </w:rPr>
              <w:t>$45,812,273</w:t>
            </w:r>
          </w:p>
        </w:tc>
        <w:tc>
          <w:tcPr>
            <w:tcW w:w="750" w:type="pct"/>
            <w:vAlign w:val="center"/>
          </w:tcPr>
          <w:p w14:paraId="2CCFF8A7" w14:textId="6C2596AA" w:rsidR="00A608BA" w:rsidRPr="005F528F" w:rsidRDefault="00A608BA" w:rsidP="00A608BA">
            <w:pPr>
              <w:jc w:val="right"/>
              <w:rPr>
                <w:rFonts w:ascii="Arial" w:hAnsi="Arial" w:cs="Arial"/>
                <w:b/>
                <w:bCs/>
                <w:sz w:val="20"/>
                <w:szCs w:val="20"/>
              </w:rPr>
            </w:pPr>
          </w:p>
        </w:tc>
      </w:tr>
      <w:tr w:rsidR="00A608BA" w:rsidRPr="00B006FB" w14:paraId="49B4169D" w14:textId="77777777" w:rsidTr="0044716D">
        <w:tc>
          <w:tcPr>
            <w:tcW w:w="1811" w:type="pct"/>
            <w:shd w:val="clear" w:color="auto" w:fill="000080"/>
            <w:vAlign w:val="bottom"/>
          </w:tcPr>
          <w:p w14:paraId="57C998CE" w14:textId="77777777" w:rsidR="00A608BA" w:rsidRPr="00B006FB" w:rsidRDefault="00A608BA" w:rsidP="00A608BA">
            <w:pPr>
              <w:rPr>
                <w:rFonts w:ascii="Arial" w:hAnsi="Arial" w:cs="Arial"/>
                <w:b/>
                <w:bCs/>
                <w:color w:val="FFFFFF"/>
                <w:sz w:val="20"/>
                <w:szCs w:val="20"/>
              </w:rPr>
            </w:pPr>
            <w:r w:rsidRPr="00B006FB">
              <w:rPr>
                <w:rFonts w:ascii="Arial" w:hAnsi="Arial" w:cs="Arial"/>
                <w:b/>
                <w:bCs/>
                <w:color w:val="FFFFFF"/>
                <w:sz w:val="20"/>
                <w:szCs w:val="20"/>
              </w:rPr>
              <w:t>Expenditures</w:t>
            </w:r>
          </w:p>
        </w:tc>
        <w:tc>
          <w:tcPr>
            <w:tcW w:w="813" w:type="pct"/>
            <w:shd w:val="clear" w:color="auto" w:fill="000080"/>
            <w:vAlign w:val="center"/>
          </w:tcPr>
          <w:p w14:paraId="6BF7FE3C" w14:textId="62A16515" w:rsidR="00A608BA" w:rsidRPr="00B006FB" w:rsidRDefault="00A608BA" w:rsidP="00A608BA">
            <w:pPr>
              <w:jc w:val="right"/>
              <w:rPr>
                <w:rFonts w:ascii="Arial" w:hAnsi="Arial" w:cs="Arial"/>
                <w:b/>
                <w:bCs/>
                <w:color w:val="FFFFFF"/>
                <w:sz w:val="20"/>
                <w:szCs w:val="20"/>
              </w:rPr>
            </w:pPr>
            <w:r>
              <w:rPr>
                <w:rFonts w:ascii="Arial" w:hAnsi="Arial" w:cs="Arial"/>
                <w:b/>
                <w:bCs/>
                <w:color w:val="FFFFFF"/>
                <w:sz w:val="20"/>
                <w:szCs w:val="20"/>
              </w:rPr>
              <w:t>FY 2022</w:t>
            </w:r>
          </w:p>
        </w:tc>
        <w:tc>
          <w:tcPr>
            <w:tcW w:w="813" w:type="pct"/>
            <w:shd w:val="clear" w:color="auto" w:fill="000080"/>
            <w:vAlign w:val="center"/>
          </w:tcPr>
          <w:p w14:paraId="23E1371D" w14:textId="64AFAFDE" w:rsidR="00A608BA" w:rsidRPr="00B006FB" w:rsidRDefault="00A608BA" w:rsidP="00A608BA">
            <w:pPr>
              <w:jc w:val="right"/>
              <w:rPr>
                <w:rFonts w:ascii="Arial" w:hAnsi="Arial" w:cs="Arial"/>
                <w:b/>
                <w:bCs/>
                <w:color w:val="FFFFFF"/>
                <w:sz w:val="20"/>
                <w:szCs w:val="20"/>
              </w:rPr>
            </w:pPr>
            <w:r>
              <w:rPr>
                <w:rFonts w:ascii="Arial" w:hAnsi="Arial" w:cs="Arial"/>
                <w:b/>
                <w:bCs/>
                <w:color w:val="FFFFFF"/>
                <w:sz w:val="20"/>
                <w:szCs w:val="20"/>
              </w:rPr>
              <w:t>FY 2023</w:t>
            </w:r>
          </w:p>
        </w:tc>
        <w:tc>
          <w:tcPr>
            <w:tcW w:w="813" w:type="pct"/>
            <w:shd w:val="clear" w:color="auto" w:fill="000080"/>
            <w:vAlign w:val="center"/>
          </w:tcPr>
          <w:p w14:paraId="120C1BFE" w14:textId="42FABE4D" w:rsidR="00A608BA" w:rsidRPr="00B006FB" w:rsidRDefault="00A608BA" w:rsidP="00A608BA">
            <w:pPr>
              <w:jc w:val="right"/>
              <w:rPr>
                <w:rFonts w:ascii="Arial" w:hAnsi="Arial" w:cs="Arial"/>
                <w:b/>
                <w:bCs/>
                <w:color w:val="FFFFFF"/>
                <w:sz w:val="20"/>
                <w:szCs w:val="20"/>
              </w:rPr>
            </w:pPr>
            <w:r>
              <w:rPr>
                <w:rFonts w:ascii="Arial" w:hAnsi="Arial" w:cs="Arial"/>
                <w:b/>
                <w:bCs/>
                <w:color w:val="FFFFFF"/>
                <w:sz w:val="20"/>
                <w:szCs w:val="20"/>
              </w:rPr>
              <w:t>FY 2024</w:t>
            </w:r>
          </w:p>
        </w:tc>
        <w:tc>
          <w:tcPr>
            <w:tcW w:w="750" w:type="pct"/>
            <w:shd w:val="clear" w:color="auto" w:fill="000080"/>
            <w:vAlign w:val="center"/>
          </w:tcPr>
          <w:p w14:paraId="759AAB8C" w14:textId="0FA0D60D" w:rsidR="00A608BA" w:rsidRPr="005F528F" w:rsidRDefault="00A608BA" w:rsidP="00A608BA">
            <w:pPr>
              <w:jc w:val="right"/>
              <w:rPr>
                <w:rFonts w:ascii="Arial" w:hAnsi="Arial" w:cs="Arial"/>
                <w:b/>
                <w:bCs/>
                <w:color w:val="FFFFFF"/>
                <w:sz w:val="20"/>
                <w:szCs w:val="20"/>
              </w:rPr>
            </w:pPr>
            <w:r>
              <w:rPr>
                <w:rFonts w:ascii="Arial" w:hAnsi="Arial" w:cs="Arial"/>
                <w:b/>
                <w:bCs/>
                <w:color w:val="FFFFFF"/>
                <w:sz w:val="20"/>
                <w:szCs w:val="20"/>
              </w:rPr>
              <w:t>FY 202</w:t>
            </w:r>
            <w:r>
              <w:rPr>
                <w:rFonts w:ascii="Arial" w:hAnsi="Arial" w:cs="Arial"/>
                <w:b/>
                <w:bCs/>
                <w:color w:val="FFFFFF"/>
                <w:sz w:val="20"/>
                <w:szCs w:val="20"/>
              </w:rPr>
              <w:t>5</w:t>
            </w:r>
          </w:p>
        </w:tc>
      </w:tr>
      <w:tr w:rsidR="00A608BA" w:rsidRPr="00B006FB" w14:paraId="28924F9C" w14:textId="77777777" w:rsidTr="000175EC">
        <w:tc>
          <w:tcPr>
            <w:tcW w:w="1811" w:type="pct"/>
            <w:vAlign w:val="center"/>
          </w:tcPr>
          <w:p w14:paraId="1CD46F83" w14:textId="77777777" w:rsidR="00A608BA" w:rsidRPr="00B006FB" w:rsidRDefault="00A608BA" w:rsidP="00A608BA">
            <w:pPr>
              <w:rPr>
                <w:rFonts w:ascii="Arial" w:hAnsi="Arial" w:cs="Arial"/>
                <w:sz w:val="20"/>
                <w:szCs w:val="20"/>
              </w:rPr>
            </w:pPr>
            <w:r w:rsidRPr="00B006FB">
              <w:rPr>
                <w:rFonts w:ascii="Arial" w:hAnsi="Arial" w:cs="Arial"/>
                <w:sz w:val="20"/>
                <w:szCs w:val="20"/>
              </w:rPr>
              <w:t>Personnel Costs</w:t>
            </w:r>
          </w:p>
        </w:tc>
        <w:tc>
          <w:tcPr>
            <w:tcW w:w="813" w:type="pct"/>
            <w:vAlign w:val="center"/>
          </w:tcPr>
          <w:p w14:paraId="1CC6AC57" w14:textId="07FEEC53" w:rsidR="00A608BA" w:rsidRPr="00B006FB" w:rsidRDefault="00A608BA" w:rsidP="00A608BA">
            <w:pPr>
              <w:jc w:val="right"/>
              <w:rPr>
                <w:rFonts w:ascii="Arial" w:hAnsi="Arial" w:cs="Arial"/>
                <w:sz w:val="20"/>
                <w:szCs w:val="20"/>
              </w:rPr>
            </w:pPr>
            <w:r w:rsidRPr="005F528F">
              <w:rPr>
                <w:rFonts w:ascii="Arial" w:hAnsi="Arial" w:cs="Arial"/>
                <w:sz w:val="20"/>
                <w:szCs w:val="20"/>
              </w:rPr>
              <w:t>$23,769,639</w:t>
            </w:r>
          </w:p>
        </w:tc>
        <w:tc>
          <w:tcPr>
            <w:tcW w:w="813" w:type="pct"/>
            <w:vAlign w:val="center"/>
          </w:tcPr>
          <w:p w14:paraId="0CCE3E7B" w14:textId="59BCEDB7" w:rsidR="00A608BA" w:rsidRPr="00B006FB" w:rsidRDefault="00A608BA" w:rsidP="00A608BA">
            <w:pPr>
              <w:jc w:val="right"/>
              <w:rPr>
                <w:rFonts w:ascii="Arial" w:hAnsi="Arial" w:cs="Arial"/>
                <w:color w:val="000000"/>
                <w:sz w:val="20"/>
                <w:szCs w:val="20"/>
              </w:rPr>
            </w:pPr>
            <w:r>
              <w:rPr>
                <w:rFonts w:ascii="Arial" w:hAnsi="Arial" w:cs="Arial"/>
                <w:sz w:val="20"/>
                <w:szCs w:val="20"/>
              </w:rPr>
              <w:t>$27,372,294</w:t>
            </w:r>
          </w:p>
        </w:tc>
        <w:tc>
          <w:tcPr>
            <w:tcW w:w="813" w:type="pct"/>
            <w:vAlign w:val="center"/>
          </w:tcPr>
          <w:p w14:paraId="5F3FA2FD" w14:textId="3FF85CD9" w:rsidR="00A608BA" w:rsidRPr="00B006FB" w:rsidRDefault="00A608BA" w:rsidP="00A608BA">
            <w:pPr>
              <w:jc w:val="right"/>
              <w:rPr>
                <w:rFonts w:ascii="Arial" w:hAnsi="Arial" w:cs="Arial"/>
                <w:sz w:val="20"/>
                <w:szCs w:val="20"/>
              </w:rPr>
            </w:pPr>
            <w:r>
              <w:rPr>
                <w:rFonts w:ascii="Arial" w:hAnsi="Arial" w:cs="Arial"/>
                <w:sz w:val="20"/>
                <w:szCs w:val="20"/>
              </w:rPr>
              <w:t>$31,364,854</w:t>
            </w:r>
          </w:p>
        </w:tc>
        <w:tc>
          <w:tcPr>
            <w:tcW w:w="750" w:type="pct"/>
            <w:vAlign w:val="center"/>
          </w:tcPr>
          <w:p w14:paraId="275CA77E" w14:textId="2BDDE360" w:rsidR="00A608BA" w:rsidRPr="005F528F" w:rsidRDefault="00A608BA" w:rsidP="00A608BA">
            <w:pPr>
              <w:jc w:val="right"/>
              <w:rPr>
                <w:rFonts w:ascii="Arial" w:hAnsi="Arial" w:cs="Arial"/>
                <w:sz w:val="20"/>
                <w:szCs w:val="20"/>
              </w:rPr>
            </w:pPr>
          </w:p>
        </w:tc>
      </w:tr>
      <w:tr w:rsidR="00A608BA" w:rsidRPr="00B006FB" w14:paraId="672D2E28" w14:textId="77777777" w:rsidTr="000175EC">
        <w:tc>
          <w:tcPr>
            <w:tcW w:w="1811" w:type="pct"/>
            <w:vAlign w:val="center"/>
          </w:tcPr>
          <w:p w14:paraId="1004EE6A" w14:textId="77777777" w:rsidR="00A608BA" w:rsidRPr="00B006FB" w:rsidRDefault="00A608BA" w:rsidP="00A608BA">
            <w:pPr>
              <w:rPr>
                <w:rFonts w:ascii="Arial" w:hAnsi="Arial" w:cs="Arial"/>
                <w:sz w:val="20"/>
                <w:szCs w:val="20"/>
              </w:rPr>
            </w:pPr>
            <w:r w:rsidRPr="00B006FB">
              <w:rPr>
                <w:rFonts w:ascii="Arial" w:hAnsi="Arial" w:cs="Arial"/>
                <w:sz w:val="20"/>
                <w:szCs w:val="20"/>
              </w:rPr>
              <w:t>Operating Expenditures</w:t>
            </w:r>
          </w:p>
        </w:tc>
        <w:tc>
          <w:tcPr>
            <w:tcW w:w="813" w:type="pct"/>
            <w:vAlign w:val="center"/>
          </w:tcPr>
          <w:p w14:paraId="283B0AB6" w14:textId="6F5147DD" w:rsidR="00A608BA" w:rsidRPr="00B006FB" w:rsidRDefault="00A608BA" w:rsidP="00A608BA">
            <w:pPr>
              <w:jc w:val="right"/>
              <w:rPr>
                <w:rFonts w:ascii="Arial" w:hAnsi="Arial" w:cs="Arial"/>
                <w:sz w:val="20"/>
                <w:szCs w:val="20"/>
              </w:rPr>
            </w:pPr>
            <w:r w:rsidRPr="005F528F">
              <w:rPr>
                <w:rFonts w:ascii="Arial" w:hAnsi="Arial" w:cs="Arial"/>
                <w:sz w:val="20"/>
                <w:szCs w:val="20"/>
              </w:rPr>
              <w:t>$44,784,351</w:t>
            </w:r>
          </w:p>
        </w:tc>
        <w:tc>
          <w:tcPr>
            <w:tcW w:w="813" w:type="pct"/>
            <w:vAlign w:val="center"/>
          </w:tcPr>
          <w:p w14:paraId="7C16B66A" w14:textId="1C3ED183" w:rsidR="00A608BA" w:rsidRPr="00B006FB" w:rsidRDefault="00A608BA" w:rsidP="00A608BA">
            <w:pPr>
              <w:jc w:val="right"/>
              <w:rPr>
                <w:rFonts w:ascii="Arial" w:hAnsi="Arial" w:cs="Arial"/>
                <w:color w:val="000000"/>
                <w:sz w:val="20"/>
                <w:szCs w:val="20"/>
              </w:rPr>
            </w:pPr>
            <w:r>
              <w:rPr>
                <w:rFonts w:ascii="Arial" w:hAnsi="Arial" w:cs="Arial"/>
                <w:sz w:val="20"/>
                <w:szCs w:val="20"/>
              </w:rPr>
              <w:t>$27,671,702</w:t>
            </w:r>
          </w:p>
        </w:tc>
        <w:tc>
          <w:tcPr>
            <w:tcW w:w="813" w:type="pct"/>
            <w:vAlign w:val="center"/>
          </w:tcPr>
          <w:p w14:paraId="0E60F998" w14:textId="30F85B8B" w:rsidR="00A608BA" w:rsidRPr="00B006FB" w:rsidRDefault="00A608BA" w:rsidP="00A608BA">
            <w:pPr>
              <w:jc w:val="right"/>
              <w:rPr>
                <w:rFonts w:ascii="Arial" w:hAnsi="Arial" w:cs="Arial"/>
                <w:sz w:val="20"/>
                <w:szCs w:val="20"/>
              </w:rPr>
            </w:pPr>
            <w:r>
              <w:rPr>
                <w:rFonts w:ascii="Arial" w:hAnsi="Arial" w:cs="Arial"/>
                <w:sz w:val="20"/>
                <w:szCs w:val="20"/>
              </w:rPr>
              <w:t>$13,674,069</w:t>
            </w:r>
          </w:p>
        </w:tc>
        <w:tc>
          <w:tcPr>
            <w:tcW w:w="750" w:type="pct"/>
            <w:vAlign w:val="center"/>
          </w:tcPr>
          <w:p w14:paraId="39540413" w14:textId="0D366474" w:rsidR="00A608BA" w:rsidRPr="005F528F" w:rsidRDefault="00A608BA" w:rsidP="00A608BA">
            <w:pPr>
              <w:jc w:val="right"/>
              <w:rPr>
                <w:rFonts w:ascii="Arial" w:hAnsi="Arial" w:cs="Arial"/>
                <w:sz w:val="20"/>
                <w:szCs w:val="20"/>
              </w:rPr>
            </w:pPr>
          </w:p>
        </w:tc>
      </w:tr>
      <w:tr w:rsidR="00A608BA" w:rsidRPr="00B006FB" w14:paraId="7EB8E9FB" w14:textId="77777777" w:rsidTr="000175EC">
        <w:tc>
          <w:tcPr>
            <w:tcW w:w="1811" w:type="pct"/>
            <w:vAlign w:val="center"/>
          </w:tcPr>
          <w:p w14:paraId="4B50ABE4" w14:textId="77777777" w:rsidR="00A608BA" w:rsidRPr="00B006FB" w:rsidRDefault="00A608BA" w:rsidP="00A608BA">
            <w:pPr>
              <w:rPr>
                <w:rFonts w:ascii="Arial" w:hAnsi="Arial" w:cs="Arial"/>
                <w:sz w:val="20"/>
                <w:szCs w:val="20"/>
              </w:rPr>
            </w:pPr>
            <w:r w:rsidRPr="00B006FB">
              <w:rPr>
                <w:rFonts w:ascii="Arial" w:hAnsi="Arial" w:cs="Arial"/>
                <w:sz w:val="20"/>
                <w:szCs w:val="20"/>
              </w:rPr>
              <w:t>Capital Outlay</w:t>
            </w:r>
          </w:p>
        </w:tc>
        <w:tc>
          <w:tcPr>
            <w:tcW w:w="813" w:type="pct"/>
            <w:vAlign w:val="center"/>
          </w:tcPr>
          <w:p w14:paraId="70DF313A" w14:textId="26BA9C0C" w:rsidR="00A608BA" w:rsidRPr="00B006FB" w:rsidRDefault="00A608BA" w:rsidP="00A608BA">
            <w:pPr>
              <w:jc w:val="right"/>
              <w:rPr>
                <w:rFonts w:ascii="Arial" w:hAnsi="Arial" w:cs="Arial"/>
                <w:sz w:val="20"/>
                <w:szCs w:val="20"/>
              </w:rPr>
            </w:pPr>
            <w:r w:rsidRPr="005F528F">
              <w:rPr>
                <w:rFonts w:ascii="Arial" w:hAnsi="Arial" w:cs="Arial"/>
                <w:sz w:val="20"/>
                <w:szCs w:val="20"/>
              </w:rPr>
              <w:t>$417,704</w:t>
            </w:r>
          </w:p>
        </w:tc>
        <w:tc>
          <w:tcPr>
            <w:tcW w:w="813" w:type="pct"/>
            <w:vAlign w:val="center"/>
          </w:tcPr>
          <w:p w14:paraId="3D707163" w14:textId="600152DF" w:rsidR="00A608BA" w:rsidRPr="00B006FB" w:rsidRDefault="00A608BA" w:rsidP="00A608BA">
            <w:pPr>
              <w:jc w:val="right"/>
              <w:rPr>
                <w:rFonts w:ascii="Arial" w:hAnsi="Arial" w:cs="Arial"/>
                <w:color w:val="000000"/>
                <w:sz w:val="20"/>
                <w:szCs w:val="20"/>
              </w:rPr>
            </w:pPr>
            <w:r>
              <w:rPr>
                <w:rFonts w:ascii="Arial" w:hAnsi="Arial" w:cs="Arial"/>
                <w:sz w:val="20"/>
                <w:szCs w:val="20"/>
              </w:rPr>
              <w:t>$1,832,370</w:t>
            </w:r>
          </w:p>
        </w:tc>
        <w:tc>
          <w:tcPr>
            <w:tcW w:w="813" w:type="pct"/>
            <w:vAlign w:val="center"/>
          </w:tcPr>
          <w:p w14:paraId="1DBAAB6C" w14:textId="2DD51F09" w:rsidR="00A608BA" w:rsidRPr="00B006FB" w:rsidRDefault="00A608BA" w:rsidP="00A608BA">
            <w:pPr>
              <w:jc w:val="right"/>
              <w:rPr>
                <w:rFonts w:ascii="Arial" w:hAnsi="Arial" w:cs="Arial"/>
                <w:sz w:val="20"/>
                <w:szCs w:val="20"/>
              </w:rPr>
            </w:pPr>
            <w:r>
              <w:rPr>
                <w:rFonts w:ascii="Arial" w:hAnsi="Arial" w:cs="Arial"/>
                <w:sz w:val="20"/>
                <w:szCs w:val="20"/>
              </w:rPr>
              <w:t>$207,194</w:t>
            </w:r>
          </w:p>
        </w:tc>
        <w:tc>
          <w:tcPr>
            <w:tcW w:w="750" w:type="pct"/>
            <w:vAlign w:val="center"/>
          </w:tcPr>
          <w:p w14:paraId="1D4F1A84" w14:textId="68B4FBED" w:rsidR="00A608BA" w:rsidRPr="005F528F" w:rsidRDefault="00A608BA" w:rsidP="00A608BA">
            <w:pPr>
              <w:jc w:val="right"/>
              <w:rPr>
                <w:rFonts w:ascii="Arial" w:hAnsi="Arial" w:cs="Arial"/>
                <w:sz w:val="20"/>
                <w:szCs w:val="20"/>
              </w:rPr>
            </w:pPr>
          </w:p>
        </w:tc>
      </w:tr>
      <w:tr w:rsidR="00A608BA" w:rsidRPr="00B006FB" w14:paraId="313710E3" w14:textId="77777777" w:rsidTr="000175EC">
        <w:tc>
          <w:tcPr>
            <w:tcW w:w="1811" w:type="pct"/>
            <w:vAlign w:val="center"/>
          </w:tcPr>
          <w:p w14:paraId="16F52C96" w14:textId="77777777" w:rsidR="00A608BA" w:rsidRPr="00B006FB" w:rsidRDefault="00A608BA" w:rsidP="00A608BA">
            <w:pPr>
              <w:rPr>
                <w:rFonts w:ascii="Arial" w:hAnsi="Arial" w:cs="Arial"/>
                <w:sz w:val="20"/>
                <w:szCs w:val="20"/>
              </w:rPr>
            </w:pPr>
            <w:r w:rsidRPr="00B006FB">
              <w:rPr>
                <w:rFonts w:ascii="Arial" w:hAnsi="Arial" w:cs="Arial"/>
                <w:sz w:val="20"/>
                <w:szCs w:val="20"/>
              </w:rPr>
              <w:t>Trustee/Benefit Payments</w:t>
            </w:r>
          </w:p>
        </w:tc>
        <w:tc>
          <w:tcPr>
            <w:tcW w:w="813" w:type="pct"/>
            <w:vAlign w:val="center"/>
          </w:tcPr>
          <w:p w14:paraId="56BC2745" w14:textId="0023806D" w:rsidR="00A608BA" w:rsidRPr="00B006FB" w:rsidRDefault="00A608BA" w:rsidP="00A608BA">
            <w:pPr>
              <w:jc w:val="right"/>
              <w:rPr>
                <w:rFonts w:ascii="Arial" w:hAnsi="Arial" w:cs="Arial"/>
                <w:sz w:val="20"/>
                <w:szCs w:val="20"/>
                <w:u w:val="single"/>
              </w:rPr>
            </w:pPr>
            <w:r w:rsidRPr="005F528F">
              <w:rPr>
                <w:rFonts w:ascii="Arial" w:hAnsi="Arial" w:cs="Arial"/>
                <w:sz w:val="20"/>
                <w:szCs w:val="20"/>
                <w:u w:val="single"/>
              </w:rPr>
              <w:t>$150,038</w:t>
            </w:r>
          </w:p>
        </w:tc>
        <w:tc>
          <w:tcPr>
            <w:tcW w:w="813" w:type="pct"/>
            <w:vAlign w:val="center"/>
          </w:tcPr>
          <w:p w14:paraId="0B3B656D" w14:textId="6D0281A7" w:rsidR="00A608BA" w:rsidRPr="00B006FB" w:rsidRDefault="00A608BA" w:rsidP="00A608BA">
            <w:pPr>
              <w:jc w:val="right"/>
              <w:rPr>
                <w:rFonts w:ascii="Arial" w:hAnsi="Arial" w:cs="Arial"/>
                <w:color w:val="000000"/>
                <w:sz w:val="20"/>
                <w:szCs w:val="20"/>
                <w:u w:val="single"/>
              </w:rPr>
            </w:pPr>
            <w:r>
              <w:rPr>
                <w:rFonts w:ascii="Arial" w:hAnsi="Arial" w:cs="Arial"/>
                <w:sz w:val="20"/>
                <w:szCs w:val="20"/>
                <w:u w:val="single"/>
              </w:rPr>
              <w:t>$84,282</w:t>
            </w:r>
          </w:p>
        </w:tc>
        <w:tc>
          <w:tcPr>
            <w:tcW w:w="813" w:type="pct"/>
            <w:vAlign w:val="center"/>
          </w:tcPr>
          <w:p w14:paraId="00AEB488" w14:textId="1434DC62" w:rsidR="00A608BA" w:rsidRPr="00B006FB" w:rsidRDefault="00A608BA" w:rsidP="00A608BA">
            <w:pPr>
              <w:jc w:val="right"/>
              <w:rPr>
                <w:rFonts w:ascii="Arial" w:hAnsi="Arial" w:cs="Arial"/>
                <w:sz w:val="20"/>
                <w:szCs w:val="20"/>
                <w:u w:val="single"/>
              </w:rPr>
            </w:pPr>
            <w:r>
              <w:rPr>
                <w:rFonts w:ascii="Arial" w:hAnsi="Arial" w:cs="Arial"/>
                <w:sz w:val="20"/>
                <w:szCs w:val="20"/>
                <w:u w:val="single"/>
              </w:rPr>
              <w:t>$108,563</w:t>
            </w:r>
          </w:p>
        </w:tc>
        <w:tc>
          <w:tcPr>
            <w:tcW w:w="750" w:type="pct"/>
            <w:vAlign w:val="center"/>
          </w:tcPr>
          <w:p w14:paraId="49508625" w14:textId="31ED0BB5" w:rsidR="00A608BA" w:rsidRPr="005F528F" w:rsidRDefault="00A608BA" w:rsidP="00A608BA">
            <w:pPr>
              <w:jc w:val="right"/>
              <w:rPr>
                <w:rFonts w:ascii="Arial" w:hAnsi="Arial" w:cs="Arial"/>
                <w:sz w:val="20"/>
                <w:szCs w:val="20"/>
                <w:u w:val="single"/>
              </w:rPr>
            </w:pPr>
          </w:p>
        </w:tc>
      </w:tr>
      <w:tr w:rsidR="00A608BA" w:rsidRPr="00B006FB" w14:paraId="00CC6206" w14:textId="77777777" w:rsidTr="000175EC">
        <w:tc>
          <w:tcPr>
            <w:tcW w:w="1811" w:type="pct"/>
          </w:tcPr>
          <w:p w14:paraId="288F926F" w14:textId="77777777" w:rsidR="00A608BA" w:rsidRPr="00B006FB" w:rsidRDefault="00A608BA" w:rsidP="00A608BA">
            <w:pPr>
              <w:rPr>
                <w:rFonts w:ascii="Arial" w:hAnsi="Arial" w:cs="Arial"/>
                <w:b/>
                <w:bCs/>
                <w:sz w:val="20"/>
                <w:szCs w:val="20"/>
              </w:rPr>
            </w:pPr>
            <w:r w:rsidRPr="00B006FB">
              <w:rPr>
                <w:rFonts w:ascii="Arial" w:hAnsi="Arial" w:cs="Arial"/>
                <w:b/>
                <w:bCs/>
                <w:sz w:val="20"/>
                <w:szCs w:val="20"/>
              </w:rPr>
              <w:t>Total</w:t>
            </w:r>
          </w:p>
        </w:tc>
        <w:tc>
          <w:tcPr>
            <w:tcW w:w="813" w:type="pct"/>
            <w:vAlign w:val="center"/>
          </w:tcPr>
          <w:p w14:paraId="26F1681E" w14:textId="0CA183F1" w:rsidR="00A608BA" w:rsidRPr="00B006FB" w:rsidRDefault="00A608BA" w:rsidP="00A608BA">
            <w:pPr>
              <w:jc w:val="right"/>
              <w:rPr>
                <w:rFonts w:ascii="Arial" w:hAnsi="Arial" w:cs="Arial"/>
                <w:b/>
                <w:bCs/>
                <w:sz w:val="20"/>
                <w:szCs w:val="20"/>
              </w:rPr>
            </w:pPr>
            <w:r w:rsidRPr="005F528F">
              <w:rPr>
                <w:rFonts w:ascii="Arial" w:hAnsi="Arial" w:cs="Arial"/>
                <w:b/>
                <w:bCs/>
                <w:sz w:val="20"/>
                <w:szCs w:val="20"/>
              </w:rPr>
              <w:t>$69,121,732</w:t>
            </w:r>
          </w:p>
        </w:tc>
        <w:tc>
          <w:tcPr>
            <w:tcW w:w="813" w:type="pct"/>
            <w:vAlign w:val="center"/>
          </w:tcPr>
          <w:p w14:paraId="16341ECB" w14:textId="2B4F6794" w:rsidR="00A608BA" w:rsidRPr="00B006FB" w:rsidRDefault="00A608BA" w:rsidP="00A608BA">
            <w:pPr>
              <w:jc w:val="right"/>
              <w:rPr>
                <w:rFonts w:ascii="Arial" w:hAnsi="Arial" w:cs="Arial"/>
                <w:b/>
                <w:color w:val="000000"/>
                <w:sz w:val="20"/>
                <w:szCs w:val="20"/>
              </w:rPr>
            </w:pPr>
            <w:r>
              <w:rPr>
                <w:rFonts w:ascii="Arial" w:hAnsi="Arial" w:cs="Arial"/>
                <w:b/>
                <w:bCs/>
                <w:sz w:val="20"/>
                <w:szCs w:val="20"/>
              </w:rPr>
              <w:t>$56,960,648</w:t>
            </w:r>
          </w:p>
        </w:tc>
        <w:tc>
          <w:tcPr>
            <w:tcW w:w="813" w:type="pct"/>
            <w:vAlign w:val="center"/>
          </w:tcPr>
          <w:p w14:paraId="688E07B1" w14:textId="204566FE" w:rsidR="00A608BA" w:rsidRPr="00B006FB" w:rsidRDefault="00A608BA" w:rsidP="00A608BA">
            <w:pPr>
              <w:jc w:val="right"/>
              <w:rPr>
                <w:rFonts w:ascii="Arial" w:hAnsi="Arial" w:cs="Arial"/>
                <w:b/>
                <w:bCs/>
                <w:sz w:val="20"/>
                <w:szCs w:val="20"/>
              </w:rPr>
            </w:pPr>
            <w:r>
              <w:rPr>
                <w:rFonts w:ascii="Arial" w:hAnsi="Arial" w:cs="Arial"/>
                <w:b/>
                <w:bCs/>
                <w:sz w:val="20"/>
                <w:szCs w:val="20"/>
              </w:rPr>
              <w:t>$45,354,680</w:t>
            </w:r>
          </w:p>
        </w:tc>
        <w:tc>
          <w:tcPr>
            <w:tcW w:w="750" w:type="pct"/>
            <w:vAlign w:val="center"/>
          </w:tcPr>
          <w:p w14:paraId="2BCA091D" w14:textId="177B4B9E" w:rsidR="00A608BA" w:rsidRPr="005F528F" w:rsidRDefault="00A608BA" w:rsidP="00A608BA">
            <w:pPr>
              <w:jc w:val="right"/>
              <w:rPr>
                <w:rFonts w:ascii="Arial" w:hAnsi="Arial" w:cs="Arial"/>
                <w:b/>
                <w:bCs/>
                <w:sz w:val="20"/>
                <w:szCs w:val="20"/>
              </w:rPr>
            </w:pPr>
          </w:p>
        </w:tc>
      </w:tr>
    </w:tbl>
    <w:p w14:paraId="16BC446A" w14:textId="1591F6CC" w:rsidR="00B06252" w:rsidRPr="00B006FB" w:rsidRDefault="00B06252" w:rsidP="0002715D">
      <w:pPr>
        <w:spacing w:after="240"/>
        <w:jc w:val="both"/>
        <w:rPr>
          <w:rFonts w:ascii="Arial" w:hAnsi="Arial" w:cs="Arial"/>
          <w:b/>
          <w:bCs/>
        </w:rPr>
      </w:pPr>
      <w:r w:rsidRPr="00B006FB">
        <w:rPr>
          <w:rFonts w:ascii="Arial" w:hAnsi="Arial" w:cs="Arial"/>
          <w:b/>
          <w:bCs/>
        </w:rPr>
        <w:lastRenderedPageBreak/>
        <w:t>Profile of Cases Managed and/or Key Services Provided</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4306"/>
        <w:gridCol w:w="1454"/>
        <w:gridCol w:w="1454"/>
        <w:gridCol w:w="1454"/>
        <w:gridCol w:w="1412"/>
      </w:tblGrid>
      <w:tr w:rsidR="00ED6FEE" w:rsidRPr="00B006FB" w14:paraId="396D001B" w14:textId="77777777" w:rsidTr="00132203">
        <w:tc>
          <w:tcPr>
            <w:tcW w:w="4309" w:type="dxa"/>
            <w:shd w:val="clear" w:color="auto" w:fill="000080"/>
            <w:vAlign w:val="center"/>
          </w:tcPr>
          <w:p w14:paraId="4F995226" w14:textId="77777777" w:rsidR="00ED6FEE" w:rsidRPr="00B006FB" w:rsidRDefault="00ED6FEE" w:rsidP="00ED6FEE">
            <w:pPr>
              <w:rPr>
                <w:rFonts w:ascii="Arial" w:hAnsi="Arial" w:cs="Arial"/>
                <w:b/>
                <w:bCs/>
                <w:color w:val="FFFFFF"/>
                <w:sz w:val="20"/>
                <w:szCs w:val="20"/>
              </w:rPr>
            </w:pPr>
            <w:r w:rsidRPr="00B006FB">
              <w:rPr>
                <w:rFonts w:ascii="Arial" w:hAnsi="Arial" w:cs="Arial"/>
                <w:b/>
                <w:bCs/>
                <w:color w:val="FFFFFF"/>
                <w:sz w:val="20"/>
                <w:szCs w:val="20"/>
              </w:rPr>
              <w:t>Cases Managed and/or Key Services Provided</w:t>
            </w:r>
          </w:p>
        </w:tc>
        <w:tc>
          <w:tcPr>
            <w:tcW w:w="1454" w:type="dxa"/>
            <w:shd w:val="clear" w:color="auto" w:fill="000080"/>
            <w:vAlign w:val="center"/>
          </w:tcPr>
          <w:p w14:paraId="47F16C1F" w14:textId="7D3ACBA9" w:rsidR="00ED6FEE" w:rsidRPr="00B006FB" w:rsidRDefault="00132203" w:rsidP="00ED6FEE">
            <w:pPr>
              <w:jc w:val="center"/>
              <w:rPr>
                <w:rFonts w:ascii="Arial" w:hAnsi="Arial" w:cs="Arial"/>
                <w:b/>
                <w:bCs/>
                <w:color w:val="FFFFFF"/>
                <w:sz w:val="20"/>
                <w:szCs w:val="20"/>
              </w:rPr>
            </w:pPr>
            <w:r>
              <w:rPr>
                <w:rFonts w:ascii="Arial" w:hAnsi="Arial" w:cs="Arial"/>
                <w:b/>
                <w:bCs/>
                <w:color w:val="FFFFFF"/>
                <w:sz w:val="20"/>
                <w:szCs w:val="20"/>
              </w:rPr>
              <w:t>FY 202</w:t>
            </w:r>
            <w:r w:rsidR="00A608BA">
              <w:rPr>
                <w:rFonts w:ascii="Arial" w:hAnsi="Arial" w:cs="Arial"/>
                <w:b/>
                <w:bCs/>
                <w:color w:val="FFFFFF"/>
                <w:sz w:val="20"/>
                <w:szCs w:val="20"/>
              </w:rPr>
              <w:t>2</w:t>
            </w:r>
          </w:p>
        </w:tc>
        <w:tc>
          <w:tcPr>
            <w:tcW w:w="1454" w:type="dxa"/>
            <w:shd w:val="clear" w:color="auto" w:fill="000080"/>
            <w:vAlign w:val="center"/>
          </w:tcPr>
          <w:p w14:paraId="13CDC5D2" w14:textId="568FFEBE" w:rsidR="00ED6FEE" w:rsidRPr="00B006FB" w:rsidRDefault="00132203" w:rsidP="00ED6FEE">
            <w:pPr>
              <w:jc w:val="center"/>
              <w:rPr>
                <w:rFonts w:ascii="Arial" w:hAnsi="Arial" w:cs="Arial"/>
                <w:b/>
                <w:bCs/>
                <w:color w:val="FFFFFF"/>
                <w:sz w:val="20"/>
                <w:szCs w:val="20"/>
              </w:rPr>
            </w:pPr>
            <w:r>
              <w:rPr>
                <w:rFonts w:ascii="Arial" w:hAnsi="Arial" w:cs="Arial"/>
                <w:b/>
                <w:bCs/>
                <w:color w:val="FFFFFF"/>
                <w:sz w:val="20"/>
                <w:szCs w:val="20"/>
              </w:rPr>
              <w:t>FY 202</w:t>
            </w:r>
            <w:r w:rsidR="00A608BA">
              <w:rPr>
                <w:rFonts w:ascii="Arial" w:hAnsi="Arial" w:cs="Arial"/>
                <w:b/>
                <w:bCs/>
                <w:color w:val="FFFFFF"/>
                <w:sz w:val="20"/>
                <w:szCs w:val="20"/>
              </w:rPr>
              <w:t>3</w:t>
            </w:r>
          </w:p>
        </w:tc>
        <w:tc>
          <w:tcPr>
            <w:tcW w:w="1450" w:type="dxa"/>
            <w:shd w:val="clear" w:color="auto" w:fill="000080"/>
            <w:vAlign w:val="center"/>
          </w:tcPr>
          <w:p w14:paraId="582AB39F" w14:textId="636142E9" w:rsidR="00ED6FEE" w:rsidRPr="00B006FB" w:rsidRDefault="00132203" w:rsidP="00ED6FEE">
            <w:pPr>
              <w:jc w:val="center"/>
              <w:rPr>
                <w:rFonts w:ascii="Arial" w:hAnsi="Arial" w:cs="Arial"/>
                <w:b/>
                <w:bCs/>
                <w:color w:val="FFFFFF"/>
                <w:sz w:val="20"/>
                <w:szCs w:val="20"/>
              </w:rPr>
            </w:pPr>
            <w:r>
              <w:rPr>
                <w:rFonts w:ascii="Arial" w:hAnsi="Arial" w:cs="Arial"/>
                <w:b/>
                <w:bCs/>
                <w:color w:val="FFFFFF"/>
                <w:sz w:val="20"/>
                <w:szCs w:val="20"/>
              </w:rPr>
              <w:t>FY 202</w:t>
            </w:r>
            <w:r w:rsidR="00A608BA">
              <w:rPr>
                <w:rFonts w:ascii="Arial" w:hAnsi="Arial" w:cs="Arial"/>
                <w:b/>
                <w:bCs/>
                <w:color w:val="FFFFFF"/>
                <w:sz w:val="20"/>
                <w:szCs w:val="20"/>
              </w:rPr>
              <w:t>4</w:t>
            </w:r>
          </w:p>
        </w:tc>
        <w:tc>
          <w:tcPr>
            <w:tcW w:w="1413" w:type="dxa"/>
            <w:shd w:val="clear" w:color="auto" w:fill="000080"/>
            <w:vAlign w:val="center"/>
          </w:tcPr>
          <w:p w14:paraId="7939CCA6" w14:textId="2A42F7B2" w:rsidR="00ED6FEE" w:rsidRPr="00B006FB" w:rsidRDefault="00132203" w:rsidP="00ED6FEE">
            <w:pPr>
              <w:jc w:val="center"/>
              <w:rPr>
                <w:rFonts w:ascii="Arial" w:hAnsi="Arial" w:cs="Arial"/>
                <w:b/>
                <w:bCs/>
                <w:color w:val="FFFFFF"/>
                <w:sz w:val="20"/>
                <w:szCs w:val="20"/>
              </w:rPr>
            </w:pPr>
            <w:r>
              <w:rPr>
                <w:rFonts w:ascii="Arial" w:hAnsi="Arial" w:cs="Arial"/>
                <w:b/>
                <w:bCs/>
                <w:color w:val="FFFFFF"/>
                <w:sz w:val="20"/>
                <w:szCs w:val="20"/>
              </w:rPr>
              <w:t>FY 202</w:t>
            </w:r>
            <w:r w:rsidR="00A608BA">
              <w:rPr>
                <w:rFonts w:ascii="Arial" w:hAnsi="Arial" w:cs="Arial"/>
                <w:b/>
                <w:bCs/>
                <w:color w:val="FFFFFF"/>
                <w:sz w:val="20"/>
                <w:szCs w:val="20"/>
              </w:rPr>
              <w:t>5</w:t>
            </w:r>
          </w:p>
        </w:tc>
      </w:tr>
      <w:tr w:rsidR="00A608BA" w:rsidRPr="00B006FB" w14:paraId="66BC0526" w14:textId="77777777" w:rsidTr="00132203">
        <w:trPr>
          <w:trHeight w:val="249"/>
        </w:trPr>
        <w:tc>
          <w:tcPr>
            <w:tcW w:w="4309" w:type="dxa"/>
            <w:vAlign w:val="center"/>
          </w:tcPr>
          <w:p w14:paraId="25A9D2C5" w14:textId="77777777" w:rsidR="00A608BA" w:rsidRPr="00B006FB" w:rsidRDefault="00A608BA" w:rsidP="00A608BA">
            <w:pPr>
              <w:rPr>
                <w:rFonts w:ascii="Arial" w:hAnsi="Arial" w:cs="Arial"/>
                <w:sz w:val="20"/>
                <w:szCs w:val="20"/>
              </w:rPr>
            </w:pPr>
            <w:r w:rsidRPr="00B006FB">
              <w:rPr>
                <w:rFonts w:ascii="Arial" w:hAnsi="Arial" w:cs="Arial"/>
                <w:sz w:val="20"/>
                <w:szCs w:val="20"/>
              </w:rPr>
              <w:t>New Veteran benefit dollars coming into Idaho</w:t>
            </w:r>
          </w:p>
        </w:tc>
        <w:tc>
          <w:tcPr>
            <w:tcW w:w="1454" w:type="dxa"/>
            <w:vAlign w:val="center"/>
          </w:tcPr>
          <w:p w14:paraId="7F078390" w14:textId="697FB326" w:rsidR="00A608BA" w:rsidRPr="00B006FB" w:rsidRDefault="00A608BA" w:rsidP="00A608BA">
            <w:pPr>
              <w:jc w:val="right"/>
              <w:rPr>
                <w:rFonts w:ascii="Arial" w:hAnsi="Arial" w:cs="Arial"/>
                <w:sz w:val="20"/>
                <w:szCs w:val="20"/>
              </w:rPr>
            </w:pPr>
            <w:r w:rsidRPr="002F1B2B">
              <w:rPr>
                <w:rFonts w:ascii="Arial" w:hAnsi="Arial" w:cs="Arial"/>
                <w:sz w:val="20"/>
                <w:szCs w:val="20"/>
              </w:rPr>
              <w:t>$89,325,256</w:t>
            </w:r>
          </w:p>
        </w:tc>
        <w:tc>
          <w:tcPr>
            <w:tcW w:w="1454" w:type="dxa"/>
            <w:vAlign w:val="center"/>
          </w:tcPr>
          <w:p w14:paraId="5E4F2DC3" w14:textId="6308A4C6" w:rsidR="00A608BA" w:rsidRPr="00B006FB" w:rsidRDefault="00A608BA" w:rsidP="00A608BA">
            <w:pPr>
              <w:jc w:val="right"/>
              <w:rPr>
                <w:rFonts w:ascii="Arial" w:hAnsi="Arial" w:cs="Arial"/>
                <w:sz w:val="20"/>
                <w:szCs w:val="20"/>
              </w:rPr>
            </w:pPr>
            <w:r>
              <w:rPr>
                <w:rFonts w:ascii="Arial" w:hAnsi="Arial" w:cs="Arial"/>
                <w:sz w:val="20"/>
                <w:szCs w:val="20"/>
              </w:rPr>
              <w:t>$79,751,588</w:t>
            </w:r>
          </w:p>
        </w:tc>
        <w:tc>
          <w:tcPr>
            <w:tcW w:w="1450" w:type="dxa"/>
            <w:vAlign w:val="center"/>
          </w:tcPr>
          <w:p w14:paraId="1E9B74D3" w14:textId="5DA63651" w:rsidR="00A608BA" w:rsidRPr="00B006FB" w:rsidRDefault="00A608BA" w:rsidP="00A608BA">
            <w:pPr>
              <w:jc w:val="right"/>
              <w:rPr>
                <w:rFonts w:ascii="Arial" w:hAnsi="Arial" w:cs="Arial"/>
                <w:sz w:val="20"/>
                <w:szCs w:val="20"/>
              </w:rPr>
            </w:pPr>
            <w:r>
              <w:rPr>
                <w:rFonts w:ascii="Arial" w:hAnsi="Arial" w:cs="Arial"/>
                <w:sz w:val="20"/>
              </w:rPr>
              <w:t>$117,200,688</w:t>
            </w:r>
          </w:p>
        </w:tc>
        <w:tc>
          <w:tcPr>
            <w:tcW w:w="1413" w:type="dxa"/>
            <w:vAlign w:val="center"/>
          </w:tcPr>
          <w:p w14:paraId="4CDD741B" w14:textId="7D9370D4" w:rsidR="00A608BA" w:rsidRPr="00B006FB" w:rsidRDefault="00A608BA" w:rsidP="00A608BA">
            <w:pPr>
              <w:jc w:val="right"/>
              <w:rPr>
                <w:rFonts w:ascii="Arial" w:hAnsi="Arial" w:cs="Arial"/>
                <w:sz w:val="20"/>
                <w:szCs w:val="20"/>
              </w:rPr>
            </w:pPr>
          </w:p>
        </w:tc>
      </w:tr>
      <w:tr w:rsidR="00A608BA" w:rsidRPr="00B006FB" w14:paraId="6E67D030" w14:textId="77777777" w:rsidTr="00132203">
        <w:trPr>
          <w:trHeight w:val="204"/>
        </w:trPr>
        <w:tc>
          <w:tcPr>
            <w:tcW w:w="4309" w:type="dxa"/>
            <w:vAlign w:val="center"/>
          </w:tcPr>
          <w:p w14:paraId="561E7EBC" w14:textId="77777777" w:rsidR="00A608BA" w:rsidRPr="00B006FB" w:rsidRDefault="00A608BA" w:rsidP="00A608BA">
            <w:pPr>
              <w:rPr>
                <w:rFonts w:ascii="Arial" w:hAnsi="Arial" w:cs="Arial"/>
                <w:sz w:val="20"/>
                <w:szCs w:val="20"/>
              </w:rPr>
            </w:pPr>
            <w:r w:rsidRPr="00B006FB">
              <w:rPr>
                <w:rFonts w:ascii="Arial" w:hAnsi="Arial" w:cs="Arial"/>
                <w:sz w:val="20"/>
                <w:szCs w:val="20"/>
              </w:rPr>
              <w:t>Number of claims filed with the Department of Veterans Affairs and other agencies</w:t>
            </w:r>
          </w:p>
        </w:tc>
        <w:tc>
          <w:tcPr>
            <w:tcW w:w="1454" w:type="dxa"/>
            <w:vAlign w:val="center"/>
          </w:tcPr>
          <w:p w14:paraId="6AF0DCC5" w14:textId="300BD1E5" w:rsidR="00A608BA" w:rsidRPr="00B006FB" w:rsidRDefault="00A608BA" w:rsidP="00A608BA">
            <w:pPr>
              <w:jc w:val="right"/>
              <w:rPr>
                <w:rFonts w:ascii="Arial" w:hAnsi="Arial" w:cs="Arial"/>
                <w:sz w:val="20"/>
                <w:szCs w:val="20"/>
              </w:rPr>
            </w:pPr>
            <w:r w:rsidRPr="007E2A18">
              <w:rPr>
                <w:rFonts w:ascii="Arial" w:hAnsi="Arial" w:cs="Arial"/>
                <w:sz w:val="20"/>
                <w:szCs w:val="20"/>
              </w:rPr>
              <w:t>9,071</w:t>
            </w:r>
          </w:p>
        </w:tc>
        <w:tc>
          <w:tcPr>
            <w:tcW w:w="1454" w:type="dxa"/>
            <w:vAlign w:val="center"/>
          </w:tcPr>
          <w:p w14:paraId="35524FAD" w14:textId="508001B3" w:rsidR="00A608BA" w:rsidRPr="00B006FB" w:rsidRDefault="00A608BA" w:rsidP="00A608BA">
            <w:pPr>
              <w:jc w:val="right"/>
              <w:rPr>
                <w:rFonts w:ascii="Arial" w:hAnsi="Arial" w:cs="Arial"/>
                <w:sz w:val="20"/>
                <w:szCs w:val="20"/>
              </w:rPr>
            </w:pPr>
            <w:r>
              <w:rPr>
                <w:rFonts w:ascii="Arial" w:hAnsi="Arial" w:cs="Arial"/>
                <w:sz w:val="20"/>
                <w:szCs w:val="20"/>
              </w:rPr>
              <w:t>12,037</w:t>
            </w:r>
          </w:p>
        </w:tc>
        <w:tc>
          <w:tcPr>
            <w:tcW w:w="1450" w:type="dxa"/>
            <w:vAlign w:val="center"/>
          </w:tcPr>
          <w:p w14:paraId="31C77F15" w14:textId="59CE231E" w:rsidR="00A608BA" w:rsidRPr="00B006FB" w:rsidRDefault="00A608BA" w:rsidP="00A608BA">
            <w:pPr>
              <w:jc w:val="right"/>
              <w:rPr>
                <w:rFonts w:ascii="Arial" w:hAnsi="Arial" w:cs="Arial"/>
                <w:sz w:val="20"/>
                <w:szCs w:val="20"/>
              </w:rPr>
            </w:pPr>
            <w:r>
              <w:rPr>
                <w:rFonts w:ascii="Arial" w:hAnsi="Arial" w:cs="Arial"/>
                <w:sz w:val="20"/>
              </w:rPr>
              <w:t>12,938</w:t>
            </w:r>
          </w:p>
        </w:tc>
        <w:tc>
          <w:tcPr>
            <w:tcW w:w="1413" w:type="dxa"/>
            <w:vAlign w:val="center"/>
          </w:tcPr>
          <w:p w14:paraId="4D631D4C" w14:textId="1F68249A" w:rsidR="00A608BA" w:rsidRPr="00B006FB" w:rsidRDefault="00A608BA" w:rsidP="00A608BA">
            <w:pPr>
              <w:jc w:val="right"/>
              <w:rPr>
                <w:rFonts w:ascii="Arial" w:hAnsi="Arial" w:cs="Arial"/>
                <w:sz w:val="20"/>
                <w:szCs w:val="20"/>
              </w:rPr>
            </w:pPr>
          </w:p>
        </w:tc>
      </w:tr>
      <w:tr w:rsidR="00A608BA" w:rsidRPr="00B006FB" w14:paraId="60084156" w14:textId="77777777" w:rsidTr="00132203">
        <w:trPr>
          <w:trHeight w:val="41"/>
        </w:trPr>
        <w:tc>
          <w:tcPr>
            <w:tcW w:w="4309" w:type="dxa"/>
            <w:vAlign w:val="center"/>
          </w:tcPr>
          <w:p w14:paraId="1FAAAAA4" w14:textId="77777777" w:rsidR="00A608BA" w:rsidRPr="00B006FB" w:rsidRDefault="00A608BA" w:rsidP="00A608BA">
            <w:pPr>
              <w:rPr>
                <w:rFonts w:ascii="Arial" w:hAnsi="Arial" w:cs="Arial"/>
                <w:sz w:val="20"/>
                <w:szCs w:val="20"/>
              </w:rPr>
            </w:pPr>
            <w:r w:rsidRPr="00B006FB">
              <w:rPr>
                <w:rFonts w:ascii="Arial" w:hAnsi="Arial" w:cs="Arial"/>
                <w:sz w:val="20"/>
                <w:szCs w:val="20"/>
              </w:rPr>
              <w:t>Number of Interments</w:t>
            </w:r>
          </w:p>
        </w:tc>
        <w:tc>
          <w:tcPr>
            <w:tcW w:w="1454" w:type="dxa"/>
            <w:vAlign w:val="center"/>
          </w:tcPr>
          <w:p w14:paraId="716109F3" w14:textId="53369755" w:rsidR="00A608BA" w:rsidRPr="00B006FB" w:rsidRDefault="00A608BA" w:rsidP="00A608BA">
            <w:pPr>
              <w:jc w:val="right"/>
              <w:rPr>
                <w:rFonts w:ascii="Arial" w:hAnsi="Arial" w:cs="Arial"/>
                <w:sz w:val="20"/>
                <w:szCs w:val="20"/>
              </w:rPr>
            </w:pPr>
            <w:r>
              <w:rPr>
                <w:rFonts w:ascii="Arial" w:hAnsi="Arial" w:cs="Arial"/>
                <w:sz w:val="20"/>
                <w:szCs w:val="20"/>
              </w:rPr>
              <w:t>1027</w:t>
            </w:r>
          </w:p>
        </w:tc>
        <w:tc>
          <w:tcPr>
            <w:tcW w:w="1454" w:type="dxa"/>
            <w:vAlign w:val="center"/>
          </w:tcPr>
          <w:p w14:paraId="32C7AE35" w14:textId="70587144" w:rsidR="00A608BA" w:rsidRPr="00B006FB" w:rsidRDefault="00A608BA" w:rsidP="00A608BA">
            <w:pPr>
              <w:jc w:val="right"/>
              <w:rPr>
                <w:rFonts w:ascii="Arial" w:hAnsi="Arial" w:cs="Arial"/>
                <w:sz w:val="20"/>
                <w:szCs w:val="20"/>
              </w:rPr>
            </w:pPr>
            <w:r>
              <w:rPr>
                <w:rFonts w:ascii="Arial" w:hAnsi="Arial" w:cs="Arial"/>
                <w:sz w:val="20"/>
                <w:szCs w:val="20"/>
              </w:rPr>
              <w:t>865</w:t>
            </w:r>
          </w:p>
        </w:tc>
        <w:tc>
          <w:tcPr>
            <w:tcW w:w="1450" w:type="dxa"/>
            <w:vAlign w:val="center"/>
          </w:tcPr>
          <w:p w14:paraId="3172F5B4" w14:textId="0BFE324C" w:rsidR="00A608BA" w:rsidRPr="00B006FB" w:rsidRDefault="00A608BA" w:rsidP="00A608BA">
            <w:pPr>
              <w:jc w:val="right"/>
              <w:rPr>
                <w:rFonts w:ascii="Arial" w:hAnsi="Arial" w:cs="Arial"/>
                <w:sz w:val="20"/>
                <w:szCs w:val="20"/>
              </w:rPr>
            </w:pPr>
            <w:r>
              <w:rPr>
                <w:rFonts w:ascii="Arial" w:hAnsi="Arial" w:cs="Arial"/>
                <w:sz w:val="20"/>
              </w:rPr>
              <w:t>860</w:t>
            </w:r>
          </w:p>
        </w:tc>
        <w:tc>
          <w:tcPr>
            <w:tcW w:w="1413" w:type="dxa"/>
            <w:vAlign w:val="center"/>
          </w:tcPr>
          <w:p w14:paraId="2248DB0D" w14:textId="080ADD75" w:rsidR="00A608BA" w:rsidRPr="00B006FB" w:rsidRDefault="00A608BA" w:rsidP="00A608BA">
            <w:pPr>
              <w:jc w:val="right"/>
              <w:rPr>
                <w:rFonts w:ascii="Arial" w:hAnsi="Arial" w:cs="Arial"/>
                <w:sz w:val="20"/>
                <w:szCs w:val="20"/>
              </w:rPr>
            </w:pPr>
          </w:p>
        </w:tc>
      </w:tr>
      <w:tr w:rsidR="00A608BA" w:rsidRPr="00B006FB" w14:paraId="627D231E" w14:textId="77777777" w:rsidTr="00132203">
        <w:trPr>
          <w:trHeight w:val="41"/>
        </w:trPr>
        <w:tc>
          <w:tcPr>
            <w:tcW w:w="4309" w:type="dxa"/>
            <w:vAlign w:val="center"/>
          </w:tcPr>
          <w:p w14:paraId="37BF6240" w14:textId="77777777" w:rsidR="00A608BA" w:rsidRPr="00B006FB" w:rsidRDefault="00A608BA" w:rsidP="00A608BA">
            <w:pPr>
              <w:rPr>
                <w:rFonts w:ascii="Arial" w:hAnsi="Arial" w:cs="Arial"/>
                <w:sz w:val="20"/>
                <w:szCs w:val="20"/>
              </w:rPr>
            </w:pPr>
            <w:r w:rsidRPr="00B006FB">
              <w:rPr>
                <w:rFonts w:ascii="Arial" w:hAnsi="Arial" w:cs="Arial"/>
                <w:sz w:val="20"/>
                <w:szCs w:val="20"/>
              </w:rPr>
              <w:t>Percent of occupied beds in nursing</w:t>
            </w:r>
          </w:p>
        </w:tc>
        <w:tc>
          <w:tcPr>
            <w:tcW w:w="1454" w:type="dxa"/>
            <w:vAlign w:val="center"/>
          </w:tcPr>
          <w:p w14:paraId="4428FB34" w14:textId="679D52FA" w:rsidR="00A608BA" w:rsidRPr="00B006FB" w:rsidRDefault="00A608BA" w:rsidP="00A608BA">
            <w:pPr>
              <w:jc w:val="right"/>
              <w:rPr>
                <w:rFonts w:ascii="Arial" w:hAnsi="Arial" w:cs="Arial"/>
                <w:sz w:val="20"/>
                <w:szCs w:val="20"/>
              </w:rPr>
            </w:pPr>
            <w:r w:rsidRPr="005F528F">
              <w:rPr>
                <w:rFonts w:ascii="Arial" w:hAnsi="Arial" w:cs="Arial"/>
                <w:sz w:val="20"/>
                <w:szCs w:val="20"/>
              </w:rPr>
              <w:t>67.4%</w:t>
            </w:r>
          </w:p>
        </w:tc>
        <w:tc>
          <w:tcPr>
            <w:tcW w:w="1454" w:type="dxa"/>
            <w:vAlign w:val="center"/>
          </w:tcPr>
          <w:p w14:paraId="7339DE71" w14:textId="198521B5" w:rsidR="00A608BA" w:rsidRPr="00B006FB" w:rsidRDefault="00A608BA" w:rsidP="00A608BA">
            <w:pPr>
              <w:jc w:val="right"/>
              <w:rPr>
                <w:rFonts w:ascii="Arial" w:hAnsi="Arial" w:cs="Arial"/>
                <w:sz w:val="20"/>
                <w:szCs w:val="20"/>
              </w:rPr>
            </w:pPr>
            <w:r>
              <w:rPr>
                <w:rFonts w:ascii="Arial" w:hAnsi="Arial" w:cs="Arial"/>
                <w:sz w:val="20"/>
                <w:szCs w:val="20"/>
              </w:rPr>
              <w:t>64.9%</w:t>
            </w:r>
          </w:p>
        </w:tc>
        <w:tc>
          <w:tcPr>
            <w:tcW w:w="1450" w:type="dxa"/>
            <w:vAlign w:val="center"/>
          </w:tcPr>
          <w:p w14:paraId="0E178C1D" w14:textId="236ACAE9" w:rsidR="00A608BA" w:rsidRPr="00B006FB" w:rsidRDefault="00A608BA" w:rsidP="00A608BA">
            <w:pPr>
              <w:jc w:val="right"/>
              <w:rPr>
                <w:rFonts w:ascii="Arial" w:hAnsi="Arial" w:cs="Arial"/>
                <w:sz w:val="20"/>
                <w:szCs w:val="20"/>
              </w:rPr>
            </w:pPr>
            <w:r>
              <w:rPr>
                <w:rFonts w:ascii="Arial" w:hAnsi="Arial" w:cs="Arial"/>
                <w:sz w:val="20"/>
              </w:rPr>
              <w:t>73.7%</w:t>
            </w:r>
          </w:p>
        </w:tc>
        <w:tc>
          <w:tcPr>
            <w:tcW w:w="1413" w:type="dxa"/>
            <w:vAlign w:val="center"/>
          </w:tcPr>
          <w:p w14:paraId="38670023" w14:textId="481FA7D0" w:rsidR="00A608BA" w:rsidRPr="005F528F" w:rsidRDefault="00A608BA" w:rsidP="00A608BA">
            <w:pPr>
              <w:jc w:val="right"/>
              <w:rPr>
                <w:rFonts w:ascii="Arial" w:hAnsi="Arial" w:cs="Arial"/>
                <w:sz w:val="20"/>
                <w:szCs w:val="20"/>
              </w:rPr>
            </w:pPr>
          </w:p>
        </w:tc>
      </w:tr>
      <w:tr w:rsidR="00A608BA" w:rsidRPr="002237AF" w14:paraId="28CA444C" w14:textId="77777777" w:rsidTr="00132203">
        <w:trPr>
          <w:trHeight w:val="41"/>
        </w:trPr>
        <w:tc>
          <w:tcPr>
            <w:tcW w:w="4309" w:type="dxa"/>
            <w:vAlign w:val="center"/>
          </w:tcPr>
          <w:p w14:paraId="75B91F05" w14:textId="77777777" w:rsidR="00A608BA" w:rsidRPr="00B006FB" w:rsidRDefault="00A608BA" w:rsidP="00A608BA">
            <w:pPr>
              <w:rPr>
                <w:rFonts w:ascii="Arial" w:hAnsi="Arial" w:cs="Arial"/>
                <w:sz w:val="20"/>
                <w:szCs w:val="20"/>
              </w:rPr>
            </w:pPr>
            <w:r w:rsidRPr="00B006FB">
              <w:rPr>
                <w:rFonts w:ascii="Arial" w:hAnsi="Arial" w:cs="Arial"/>
                <w:sz w:val="20"/>
                <w:szCs w:val="20"/>
              </w:rPr>
              <w:t>Percent of occupied beds in domiciliary</w:t>
            </w:r>
          </w:p>
        </w:tc>
        <w:tc>
          <w:tcPr>
            <w:tcW w:w="1454" w:type="dxa"/>
            <w:vAlign w:val="center"/>
          </w:tcPr>
          <w:p w14:paraId="59E7FCF3" w14:textId="6DEB3BF5" w:rsidR="00A608BA" w:rsidRPr="00B006FB" w:rsidRDefault="00A608BA" w:rsidP="00A608BA">
            <w:pPr>
              <w:jc w:val="right"/>
              <w:rPr>
                <w:rFonts w:ascii="Arial" w:hAnsi="Arial" w:cs="Arial"/>
                <w:sz w:val="20"/>
                <w:szCs w:val="20"/>
              </w:rPr>
            </w:pPr>
            <w:r w:rsidRPr="005F528F">
              <w:rPr>
                <w:rFonts w:ascii="Arial" w:hAnsi="Arial" w:cs="Arial"/>
                <w:sz w:val="20"/>
                <w:szCs w:val="20"/>
              </w:rPr>
              <w:t>46.7%</w:t>
            </w:r>
          </w:p>
        </w:tc>
        <w:tc>
          <w:tcPr>
            <w:tcW w:w="1454" w:type="dxa"/>
            <w:vAlign w:val="center"/>
          </w:tcPr>
          <w:p w14:paraId="33DFD31D" w14:textId="7468265A" w:rsidR="00A608BA" w:rsidRPr="00B006FB" w:rsidRDefault="00A608BA" w:rsidP="00A608BA">
            <w:pPr>
              <w:jc w:val="right"/>
              <w:rPr>
                <w:rFonts w:ascii="Arial" w:hAnsi="Arial" w:cs="Arial"/>
                <w:sz w:val="20"/>
                <w:szCs w:val="20"/>
              </w:rPr>
            </w:pPr>
            <w:r>
              <w:rPr>
                <w:rFonts w:ascii="Arial" w:hAnsi="Arial" w:cs="Arial"/>
                <w:sz w:val="20"/>
                <w:szCs w:val="20"/>
              </w:rPr>
              <w:t>43%</w:t>
            </w:r>
          </w:p>
        </w:tc>
        <w:tc>
          <w:tcPr>
            <w:tcW w:w="1450" w:type="dxa"/>
            <w:vAlign w:val="center"/>
          </w:tcPr>
          <w:p w14:paraId="2CB2DB66" w14:textId="4C9D9127" w:rsidR="00A608BA" w:rsidRPr="00B006FB" w:rsidRDefault="00A608BA" w:rsidP="00A608BA">
            <w:pPr>
              <w:jc w:val="right"/>
              <w:rPr>
                <w:rFonts w:ascii="Arial" w:hAnsi="Arial" w:cs="Arial"/>
                <w:sz w:val="20"/>
                <w:szCs w:val="20"/>
              </w:rPr>
            </w:pPr>
            <w:r>
              <w:rPr>
                <w:rFonts w:ascii="Arial" w:hAnsi="Arial" w:cs="Arial"/>
                <w:sz w:val="20"/>
              </w:rPr>
              <w:t>N/A</w:t>
            </w:r>
            <w:r>
              <w:rPr>
                <w:rStyle w:val="FootnoteReference"/>
                <w:rFonts w:ascii="Arial" w:hAnsi="Arial" w:cs="Arial"/>
                <w:sz w:val="20"/>
              </w:rPr>
              <w:footnoteReference w:id="1"/>
            </w:r>
          </w:p>
        </w:tc>
        <w:tc>
          <w:tcPr>
            <w:tcW w:w="1413" w:type="dxa"/>
            <w:vAlign w:val="center"/>
          </w:tcPr>
          <w:p w14:paraId="6497A60E" w14:textId="17872202" w:rsidR="00A608BA" w:rsidRPr="005F528F" w:rsidRDefault="00A608BA" w:rsidP="00A608BA">
            <w:pPr>
              <w:jc w:val="right"/>
              <w:rPr>
                <w:rFonts w:ascii="Arial" w:hAnsi="Arial" w:cs="Arial"/>
                <w:sz w:val="20"/>
                <w:szCs w:val="20"/>
              </w:rPr>
            </w:pPr>
          </w:p>
        </w:tc>
      </w:tr>
      <w:bookmarkEnd w:id="0"/>
      <w:bookmarkEnd w:id="1"/>
    </w:tbl>
    <w:p w14:paraId="2C9A08EF" w14:textId="77777777" w:rsidR="001823C2" w:rsidRDefault="001823C2" w:rsidP="002C10DD">
      <w:pPr>
        <w:rPr>
          <w:rFonts w:ascii="Arial" w:hAnsi="Arial" w:cs="Arial"/>
          <w:b/>
          <w:bCs/>
        </w:rPr>
      </w:pPr>
    </w:p>
    <w:p w14:paraId="5D30CC9D" w14:textId="1EA6257E" w:rsidR="002C10DD" w:rsidRPr="00B006FB" w:rsidRDefault="00132203" w:rsidP="0002715D">
      <w:pPr>
        <w:spacing w:after="240"/>
        <w:rPr>
          <w:rFonts w:ascii="Arial" w:hAnsi="Arial" w:cs="Arial"/>
          <w:b/>
          <w:bCs/>
        </w:rPr>
      </w:pPr>
      <w:r w:rsidRPr="009F4B4B">
        <w:rPr>
          <w:rFonts w:ascii="Arial" w:hAnsi="Arial" w:cs="Arial"/>
          <w:b/>
          <w:bCs/>
        </w:rPr>
        <w:t>FY 2024</w:t>
      </w:r>
      <w:r w:rsidR="00C92C59" w:rsidRPr="009F4B4B">
        <w:rPr>
          <w:rFonts w:ascii="Arial" w:hAnsi="Arial" w:cs="Arial"/>
          <w:b/>
          <w:bCs/>
        </w:rPr>
        <w:t xml:space="preserve"> Performance Highlights</w:t>
      </w:r>
    </w:p>
    <w:p w14:paraId="34269407" w14:textId="4C3ABE26" w:rsidR="00C10B73" w:rsidRDefault="00695720" w:rsidP="00C10B73">
      <w:pPr>
        <w:jc w:val="both"/>
        <w:rPr>
          <w:rFonts w:ascii="Arial" w:hAnsi="Arial" w:cs="Arial"/>
          <w:sz w:val="20"/>
          <w:szCs w:val="20"/>
        </w:rPr>
      </w:pPr>
      <w:r w:rsidRPr="00695720">
        <w:rPr>
          <w:rFonts w:ascii="Arial" w:hAnsi="Arial" w:cs="Arial"/>
          <w:sz w:val="20"/>
          <w:szCs w:val="20"/>
        </w:rPr>
        <w:t>There are more than 126,</w:t>
      </w:r>
      <w:r w:rsidR="00F7320F">
        <w:rPr>
          <w:rFonts w:ascii="Arial" w:hAnsi="Arial" w:cs="Arial"/>
          <w:sz w:val="20"/>
          <w:szCs w:val="20"/>
        </w:rPr>
        <w:t>089</w:t>
      </w:r>
      <w:r w:rsidRPr="00695720">
        <w:rPr>
          <w:rFonts w:ascii="Arial" w:hAnsi="Arial" w:cs="Arial"/>
          <w:sz w:val="20"/>
          <w:szCs w:val="20"/>
        </w:rPr>
        <w:t xml:space="preserve"> Veterans residing in Idaho. Federal Department of Veterans Affairs expenditures in Idaho are approximately $1,</w:t>
      </w:r>
      <w:r w:rsidR="00F7320F">
        <w:rPr>
          <w:rFonts w:ascii="Arial" w:hAnsi="Arial" w:cs="Arial"/>
          <w:sz w:val="20"/>
          <w:szCs w:val="20"/>
        </w:rPr>
        <w:t>731</w:t>
      </w:r>
      <w:r w:rsidRPr="00695720">
        <w:rPr>
          <w:rFonts w:ascii="Arial" w:hAnsi="Arial" w:cs="Arial"/>
          <w:sz w:val="20"/>
          <w:szCs w:val="20"/>
        </w:rPr>
        <w:t>,</w:t>
      </w:r>
      <w:r w:rsidR="00F65219">
        <w:rPr>
          <w:rFonts w:ascii="Arial" w:hAnsi="Arial" w:cs="Arial"/>
          <w:sz w:val="20"/>
          <w:szCs w:val="20"/>
        </w:rPr>
        <w:t>502,</w:t>
      </w:r>
      <w:r w:rsidRPr="00695720">
        <w:rPr>
          <w:rFonts w:ascii="Arial" w:hAnsi="Arial" w:cs="Arial"/>
          <w:sz w:val="20"/>
          <w:szCs w:val="20"/>
        </w:rPr>
        <w:t>000, broken down as follows: Compensation and pensions: $</w:t>
      </w:r>
      <w:r w:rsidR="00F65219">
        <w:rPr>
          <w:rFonts w:ascii="Arial" w:hAnsi="Arial" w:cs="Arial"/>
          <w:sz w:val="20"/>
          <w:szCs w:val="20"/>
        </w:rPr>
        <w:t>926</w:t>
      </w:r>
      <w:r w:rsidRPr="00695720">
        <w:rPr>
          <w:rFonts w:ascii="Arial" w:hAnsi="Arial" w:cs="Arial"/>
          <w:sz w:val="20"/>
          <w:szCs w:val="20"/>
        </w:rPr>
        <w:t>,</w:t>
      </w:r>
      <w:r w:rsidR="00F65219">
        <w:rPr>
          <w:rFonts w:ascii="Arial" w:hAnsi="Arial" w:cs="Arial"/>
          <w:sz w:val="20"/>
          <w:szCs w:val="20"/>
        </w:rPr>
        <w:t>501</w:t>
      </w:r>
      <w:r w:rsidRPr="00695720">
        <w:rPr>
          <w:rFonts w:ascii="Arial" w:hAnsi="Arial" w:cs="Arial"/>
          <w:sz w:val="20"/>
          <w:szCs w:val="20"/>
        </w:rPr>
        <w:t>,000; readjustment benefits: $</w:t>
      </w:r>
      <w:r w:rsidR="004B2C5F">
        <w:rPr>
          <w:rFonts w:ascii="Arial" w:hAnsi="Arial" w:cs="Arial"/>
          <w:sz w:val="20"/>
          <w:szCs w:val="20"/>
        </w:rPr>
        <w:t>6</w:t>
      </w:r>
      <w:r w:rsidRPr="00695720">
        <w:rPr>
          <w:rFonts w:ascii="Arial" w:hAnsi="Arial" w:cs="Arial"/>
          <w:sz w:val="20"/>
          <w:szCs w:val="20"/>
        </w:rPr>
        <w:t>3,</w:t>
      </w:r>
      <w:r w:rsidR="004B2C5F">
        <w:rPr>
          <w:rFonts w:ascii="Arial" w:hAnsi="Arial" w:cs="Arial"/>
          <w:sz w:val="20"/>
          <w:szCs w:val="20"/>
        </w:rPr>
        <w:t>397</w:t>
      </w:r>
      <w:r w:rsidRPr="00695720">
        <w:rPr>
          <w:rFonts w:ascii="Arial" w:hAnsi="Arial" w:cs="Arial"/>
          <w:sz w:val="20"/>
          <w:szCs w:val="20"/>
        </w:rPr>
        <w:t>,000; medical and construction programs: $7</w:t>
      </w:r>
      <w:r w:rsidR="004B2C5F">
        <w:rPr>
          <w:rFonts w:ascii="Arial" w:hAnsi="Arial" w:cs="Arial"/>
          <w:sz w:val="20"/>
          <w:szCs w:val="20"/>
        </w:rPr>
        <w:t>2</w:t>
      </w:r>
      <w:r w:rsidRPr="00695720">
        <w:rPr>
          <w:rFonts w:ascii="Arial" w:hAnsi="Arial" w:cs="Arial"/>
          <w:sz w:val="20"/>
          <w:szCs w:val="20"/>
        </w:rPr>
        <w:t>2,</w:t>
      </w:r>
      <w:r w:rsidR="004B2C5F">
        <w:rPr>
          <w:rFonts w:ascii="Arial" w:hAnsi="Arial" w:cs="Arial"/>
          <w:sz w:val="20"/>
          <w:szCs w:val="20"/>
        </w:rPr>
        <w:t>479</w:t>
      </w:r>
      <w:r w:rsidRPr="00695720">
        <w:rPr>
          <w:rFonts w:ascii="Arial" w:hAnsi="Arial" w:cs="Arial"/>
          <w:sz w:val="20"/>
          <w:szCs w:val="20"/>
        </w:rPr>
        <w:t>,000, and insurance and indemnities: $3,</w:t>
      </w:r>
      <w:r w:rsidR="004B2C5F">
        <w:rPr>
          <w:rFonts w:ascii="Arial" w:hAnsi="Arial" w:cs="Arial"/>
          <w:sz w:val="20"/>
          <w:szCs w:val="20"/>
        </w:rPr>
        <w:t>486</w:t>
      </w:r>
      <w:r w:rsidRPr="00695720">
        <w:rPr>
          <w:rFonts w:ascii="Arial" w:hAnsi="Arial" w:cs="Arial"/>
          <w:sz w:val="20"/>
          <w:szCs w:val="20"/>
        </w:rPr>
        <w:t xml:space="preserve">,000. There are also approximately </w:t>
      </w:r>
      <w:r w:rsidR="003D7BAF">
        <w:rPr>
          <w:rFonts w:ascii="Arial" w:hAnsi="Arial" w:cs="Arial"/>
          <w:sz w:val="20"/>
          <w:szCs w:val="20"/>
        </w:rPr>
        <w:t>15,789</w:t>
      </w:r>
      <w:r w:rsidRPr="00695720">
        <w:rPr>
          <w:rFonts w:ascii="Arial" w:hAnsi="Arial" w:cs="Arial"/>
          <w:sz w:val="20"/>
          <w:szCs w:val="20"/>
        </w:rPr>
        <w:t xml:space="preserve"> Idaho Veterans receiving retirement benefits (approx. </w:t>
      </w:r>
      <w:r w:rsidR="00B91F65" w:rsidRPr="00B91F65">
        <w:rPr>
          <w:rFonts w:ascii="Arial" w:hAnsi="Arial" w:cs="Arial"/>
          <w:sz w:val="20"/>
          <w:szCs w:val="20"/>
        </w:rPr>
        <w:t>8,3</w:t>
      </w:r>
      <w:r w:rsidRPr="00B91F65">
        <w:rPr>
          <w:rFonts w:ascii="Arial" w:hAnsi="Arial" w:cs="Arial"/>
          <w:sz w:val="20"/>
          <w:szCs w:val="20"/>
        </w:rPr>
        <w:t>00 aged 65 or over</w:t>
      </w:r>
      <w:r w:rsidRPr="00695720">
        <w:rPr>
          <w:rFonts w:ascii="Arial" w:hAnsi="Arial" w:cs="Arial"/>
          <w:sz w:val="20"/>
          <w:szCs w:val="20"/>
        </w:rPr>
        <w:t>), resulting in an additional contribution of almost $</w:t>
      </w:r>
      <w:r w:rsidR="005858F7">
        <w:rPr>
          <w:rFonts w:ascii="Arial" w:hAnsi="Arial" w:cs="Arial"/>
          <w:sz w:val="20"/>
          <w:szCs w:val="20"/>
        </w:rPr>
        <w:t>4</w:t>
      </w:r>
      <w:r w:rsidR="00DC6F4D">
        <w:rPr>
          <w:rFonts w:ascii="Arial" w:hAnsi="Arial" w:cs="Arial"/>
          <w:sz w:val="20"/>
          <w:szCs w:val="20"/>
        </w:rPr>
        <w:t>3</w:t>
      </w:r>
      <w:r w:rsidR="005858F7">
        <w:rPr>
          <w:rFonts w:ascii="Arial" w:hAnsi="Arial" w:cs="Arial"/>
          <w:sz w:val="20"/>
          <w:szCs w:val="20"/>
        </w:rPr>
        <w:t>1</w:t>
      </w:r>
      <w:r w:rsidRPr="00695720">
        <w:rPr>
          <w:rFonts w:ascii="Arial" w:hAnsi="Arial" w:cs="Arial"/>
          <w:sz w:val="20"/>
          <w:szCs w:val="20"/>
        </w:rPr>
        <w:t>,</w:t>
      </w:r>
      <w:r w:rsidR="009E5170">
        <w:rPr>
          <w:rFonts w:ascii="Arial" w:hAnsi="Arial" w:cs="Arial"/>
          <w:sz w:val="20"/>
          <w:szCs w:val="20"/>
        </w:rPr>
        <w:t>496</w:t>
      </w:r>
      <w:r w:rsidRPr="00695720">
        <w:rPr>
          <w:rFonts w:ascii="Arial" w:hAnsi="Arial" w:cs="Arial"/>
          <w:sz w:val="20"/>
          <w:szCs w:val="20"/>
        </w:rPr>
        <w:t>,000 annually to the State’s economy</w:t>
      </w:r>
      <w:r w:rsidR="00CE37B4">
        <w:rPr>
          <w:rFonts w:ascii="Arial" w:hAnsi="Arial" w:cs="Arial"/>
          <w:sz w:val="20"/>
          <w:szCs w:val="20"/>
        </w:rPr>
        <w:t>. T</w:t>
      </w:r>
      <w:r w:rsidRPr="00695720">
        <w:rPr>
          <w:rFonts w:ascii="Arial" w:hAnsi="Arial" w:cs="Arial"/>
          <w:sz w:val="20"/>
          <w:szCs w:val="20"/>
        </w:rPr>
        <w:t xml:space="preserve">he number of Idaho Veterans </w:t>
      </w:r>
      <w:r w:rsidR="00CE37B4">
        <w:rPr>
          <w:rFonts w:ascii="Arial" w:hAnsi="Arial" w:cs="Arial"/>
          <w:sz w:val="20"/>
          <w:szCs w:val="20"/>
        </w:rPr>
        <w:t xml:space="preserve">continues to increase </w:t>
      </w:r>
      <w:r w:rsidRPr="00695720">
        <w:rPr>
          <w:rFonts w:ascii="Arial" w:hAnsi="Arial" w:cs="Arial"/>
          <w:sz w:val="20"/>
          <w:szCs w:val="20"/>
        </w:rPr>
        <w:t xml:space="preserve">as </w:t>
      </w:r>
      <w:r w:rsidR="00CE37B4">
        <w:rPr>
          <w:rFonts w:ascii="Arial" w:hAnsi="Arial" w:cs="Arial"/>
          <w:sz w:val="20"/>
          <w:szCs w:val="20"/>
        </w:rPr>
        <w:t>more</w:t>
      </w:r>
      <w:r w:rsidRPr="00695720">
        <w:rPr>
          <w:rFonts w:ascii="Arial" w:hAnsi="Arial" w:cs="Arial"/>
          <w:sz w:val="20"/>
          <w:szCs w:val="20"/>
        </w:rPr>
        <w:t xml:space="preserve"> Veterans</w:t>
      </w:r>
      <w:r w:rsidR="00CE37B4">
        <w:rPr>
          <w:rFonts w:ascii="Arial" w:hAnsi="Arial" w:cs="Arial"/>
          <w:sz w:val="20"/>
          <w:szCs w:val="20"/>
        </w:rPr>
        <w:t xml:space="preserve"> continue</w:t>
      </w:r>
      <w:r w:rsidRPr="00695720">
        <w:rPr>
          <w:rFonts w:ascii="Arial" w:hAnsi="Arial" w:cs="Arial"/>
          <w:sz w:val="20"/>
          <w:szCs w:val="20"/>
        </w:rPr>
        <w:t xml:space="preserve"> </w:t>
      </w:r>
      <w:r w:rsidR="00CE37B4">
        <w:rPr>
          <w:rFonts w:ascii="Arial" w:hAnsi="Arial" w:cs="Arial"/>
          <w:sz w:val="20"/>
          <w:szCs w:val="20"/>
        </w:rPr>
        <w:t>to relocate to</w:t>
      </w:r>
      <w:r w:rsidRPr="00695720">
        <w:rPr>
          <w:rFonts w:ascii="Arial" w:hAnsi="Arial" w:cs="Arial"/>
          <w:sz w:val="20"/>
          <w:szCs w:val="20"/>
        </w:rPr>
        <w:t xml:space="preserve"> Idaho. </w:t>
      </w:r>
      <w:r w:rsidR="00CE37B4">
        <w:rPr>
          <w:rFonts w:ascii="Arial" w:hAnsi="Arial" w:cs="Arial"/>
          <w:sz w:val="20"/>
          <w:szCs w:val="20"/>
        </w:rPr>
        <w:t>New</w:t>
      </w:r>
      <w:r w:rsidRPr="00695720">
        <w:rPr>
          <w:rFonts w:ascii="Arial" w:hAnsi="Arial" w:cs="Arial"/>
          <w:sz w:val="20"/>
          <w:szCs w:val="20"/>
        </w:rPr>
        <w:t xml:space="preserve"> claims </w:t>
      </w:r>
      <w:r w:rsidR="00CE37B4">
        <w:rPr>
          <w:rFonts w:ascii="Arial" w:hAnsi="Arial" w:cs="Arial"/>
          <w:sz w:val="20"/>
          <w:szCs w:val="20"/>
        </w:rPr>
        <w:t>associate</w:t>
      </w:r>
      <w:r w:rsidR="00FA7A4F">
        <w:rPr>
          <w:rFonts w:ascii="Arial" w:hAnsi="Arial" w:cs="Arial"/>
          <w:sz w:val="20"/>
          <w:szCs w:val="20"/>
        </w:rPr>
        <w:t>d</w:t>
      </w:r>
      <w:r w:rsidR="00CE37B4">
        <w:rPr>
          <w:rFonts w:ascii="Arial" w:hAnsi="Arial" w:cs="Arial"/>
          <w:sz w:val="20"/>
          <w:szCs w:val="20"/>
        </w:rPr>
        <w:t xml:space="preserve"> with</w:t>
      </w:r>
      <w:r w:rsidRPr="00695720">
        <w:rPr>
          <w:rFonts w:ascii="Arial" w:hAnsi="Arial" w:cs="Arial"/>
          <w:sz w:val="20"/>
          <w:szCs w:val="20"/>
        </w:rPr>
        <w:t xml:space="preserve"> </w:t>
      </w:r>
      <w:r w:rsidR="00FA7A4F">
        <w:rPr>
          <w:rFonts w:ascii="Arial" w:hAnsi="Arial" w:cs="Arial"/>
          <w:sz w:val="20"/>
          <w:szCs w:val="20"/>
        </w:rPr>
        <w:t xml:space="preserve">the </w:t>
      </w:r>
      <w:r w:rsidRPr="00695720">
        <w:rPr>
          <w:rFonts w:ascii="Arial" w:hAnsi="Arial" w:cs="Arial"/>
          <w:sz w:val="20"/>
          <w:szCs w:val="20"/>
        </w:rPr>
        <w:t xml:space="preserve">Pact Act </w:t>
      </w:r>
      <w:proofErr w:type="gramStart"/>
      <w:r w:rsidR="00FA7A4F">
        <w:rPr>
          <w:rFonts w:ascii="Arial" w:hAnsi="Arial" w:cs="Arial"/>
          <w:sz w:val="20"/>
          <w:szCs w:val="20"/>
        </w:rPr>
        <w:t>continues</w:t>
      </w:r>
      <w:proofErr w:type="gramEnd"/>
      <w:r w:rsidR="00FA7A4F">
        <w:rPr>
          <w:rFonts w:ascii="Arial" w:hAnsi="Arial" w:cs="Arial"/>
          <w:sz w:val="20"/>
          <w:szCs w:val="20"/>
        </w:rPr>
        <w:t xml:space="preserve"> to be a major factor in the sustained high volume of claims</w:t>
      </w:r>
      <w:r w:rsidRPr="00695720">
        <w:rPr>
          <w:rFonts w:ascii="Arial" w:hAnsi="Arial" w:cs="Arial"/>
          <w:sz w:val="20"/>
          <w:szCs w:val="20"/>
        </w:rPr>
        <w:t>. This is reflected in the record high of 12,</w:t>
      </w:r>
      <w:r w:rsidR="008C4100">
        <w:rPr>
          <w:rFonts w:ascii="Arial" w:hAnsi="Arial" w:cs="Arial"/>
          <w:sz w:val="20"/>
          <w:szCs w:val="20"/>
        </w:rPr>
        <w:t>938</w:t>
      </w:r>
      <w:r w:rsidRPr="00695720">
        <w:rPr>
          <w:rFonts w:ascii="Arial" w:hAnsi="Arial" w:cs="Arial"/>
          <w:sz w:val="20"/>
          <w:szCs w:val="20"/>
        </w:rPr>
        <w:t xml:space="preserve"> claims filed by our Office</w:t>
      </w:r>
      <w:r w:rsidR="00FA7A4F">
        <w:rPr>
          <w:rFonts w:ascii="Arial" w:hAnsi="Arial" w:cs="Arial"/>
          <w:sz w:val="20"/>
          <w:szCs w:val="20"/>
        </w:rPr>
        <w:t>s</w:t>
      </w:r>
      <w:r w:rsidRPr="00695720">
        <w:rPr>
          <w:rFonts w:ascii="Arial" w:hAnsi="Arial" w:cs="Arial"/>
          <w:sz w:val="20"/>
          <w:szCs w:val="20"/>
        </w:rPr>
        <w:t xml:space="preserve"> of Veterans Advocacy this year.</w:t>
      </w:r>
    </w:p>
    <w:p w14:paraId="07B303D5" w14:textId="77777777" w:rsidR="00A8515D" w:rsidRDefault="00A8515D" w:rsidP="00C10B73">
      <w:pPr>
        <w:jc w:val="both"/>
        <w:rPr>
          <w:rFonts w:ascii="Arial" w:hAnsi="Arial" w:cs="Arial"/>
          <w:sz w:val="20"/>
          <w:szCs w:val="20"/>
        </w:rPr>
      </w:pPr>
    </w:p>
    <w:p w14:paraId="1CA1F73B" w14:textId="5A5C6B55" w:rsidR="00C84B61" w:rsidRDefault="00C84B61" w:rsidP="00C10B73">
      <w:pPr>
        <w:jc w:val="both"/>
        <w:rPr>
          <w:rFonts w:ascii="Arial" w:hAnsi="Arial" w:cs="Arial"/>
          <w:sz w:val="20"/>
          <w:szCs w:val="20"/>
        </w:rPr>
      </w:pPr>
      <w:r>
        <w:rPr>
          <w:rFonts w:ascii="Arial" w:hAnsi="Arial" w:cs="Arial"/>
          <w:sz w:val="20"/>
          <w:szCs w:val="20"/>
        </w:rPr>
        <w:t>The Boise Veterans Home closed its Domiciliary program on November 1, 2023.</w:t>
      </w:r>
      <w:r w:rsidR="00294D3B">
        <w:rPr>
          <w:rFonts w:ascii="Arial" w:hAnsi="Arial" w:cs="Arial"/>
          <w:sz w:val="20"/>
          <w:szCs w:val="20"/>
        </w:rPr>
        <w:t xml:space="preserve"> This </w:t>
      </w:r>
      <w:r w:rsidR="00CE37B4">
        <w:rPr>
          <w:rFonts w:ascii="Arial" w:hAnsi="Arial" w:cs="Arial"/>
          <w:sz w:val="20"/>
          <w:szCs w:val="20"/>
        </w:rPr>
        <w:t>wa</w:t>
      </w:r>
      <w:r w:rsidR="00294D3B">
        <w:rPr>
          <w:rFonts w:ascii="Arial" w:hAnsi="Arial" w:cs="Arial"/>
          <w:sz w:val="20"/>
          <w:szCs w:val="20"/>
        </w:rPr>
        <w:t xml:space="preserve">s in anticipation of pending construction on a new State Veterans Home </w:t>
      </w:r>
      <w:r w:rsidR="00CE37B4">
        <w:rPr>
          <w:rFonts w:ascii="Arial" w:hAnsi="Arial" w:cs="Arial"/>
          <w:sz w:val="20"/>
          <w:szCs w:val="20"/>
        </w:rPr>
        <w:t>to replace the aging Boise Veterans Home.</w:t>
      </w:r>
    </w:p>
    <w:p w14:paraId="7D9A3215" w14:textId="77777777" w:rsidR="00C84B61" w:rsidRDefault="00C84B61" w:rsidP="00C10B73">
      <w:pPr>
        <w:jc w:val="both"/>
        <w:rPr>
          <w:rFonts w:ascii="Arial" w:hAnsi="Arial" w:cs="Arial"/>
          <w:sz w:val="20"/>
          <w:szCs w:val="20"/>
        </w:rPr>
      </w:pPr>
    </w:p>
    <w:p w14:paraId="77C7FD12" w14:textId="18F6E83D" w:rsidR="00175DB8" w:rsidRDefault="00762F73" w:rsidP="00C10B73">
      <w:pPr>
        <w:jc w:val="both"/>
        <w:rPr>
          <w:rFonts w:ascii="Arial" w:hAnsi="Arial" w:cs="Arial"/>
          <w:sz w:val="20"/>
          <w:szCs w:val="20"/>
        </w:rPr>
      </w:pPr>
      <w:r w:rsidRPr="00762F73">
        <w:rPr>
          <w:rFonts w:ascii="Arial" w:hAnsi="Arial" w:cs="Arial"/>
          <w:sz w:val="20"/>
          <w:szCs w:val="20"/>
        </w:rPr>
        <w:t xml:space="preserve">Through a diverse team of partners, during FY24 the </w:t>
      </w:r>
      <w:r>
        <w:rPr>
          <w:rFonts w:ascii="Arial" w:hAnsi="Arial" w:cs="Arial"/>
          <w:sz w:val="20"/>
          <w:szCs w:val="20"/>
        </w:rPr>
        <w:t xml:space="preserve">VOCS </w:t>
      </w:r>
      <w:r w:rsidRPr="00762F73">
        <w:rPr>
          <w:rFonts w:ascii="Arial" w:hAnsi="Arial" w:cs="Arial"/>
          <w:sz w:val="20"/>
          <w:szCs w:val="20"/>
        </w:rPr>
        <w:t xml:space="preserve">team visited 40 of </w:t>
      </w:r>
      <w:r>
        <w:rPr>
          <w:rFonts w:ascii="Arial" w:hAnsi="Arial" w:cs="Arial"/>
          <w:sz w:val="20"/>
          <w:szCs w:val="20"/>
        </w:rPr>
        <w:t>Idaho's</w:t>
      </w:r>
      <w:r w:rsidRPr="00762F73">
        <w:rPr>
          <w:rFonts w:ascii="Arial" w:hAnsi="Arial" w:cs="Arial"/>
          <w:sz w:val="20"/>
          <w:szCs w:val="20"/>
        </w:rPr>
        <w:t xml:space="preserve"> 44 counties reaching 20,489 people </w:t>
      </w:r>
      <w:r w:rsidR="005D32A5">
        <w:rPr>
          <w:rFonts w:ascii="Arial" w:hAnsi="Arial" w:cs="Arial"/>
          <w:sz w:val="20"/>
          <w:szCs w:val="20"/>
        </w:rPr>
        <w:t>to discuss</w:t>
      </w:r>
      <w:r w:rsidRPr="00762F73">
        <w:rPr>
          <w:rFonts w:ascii="Arial" w:hAnsi="Arial" w:cs="Arial"/>
          <w:sz w:val="20"/>
          <w:szCs w:val="20"/>
        </w:rPr>
        <w:t xml:space="preserve"> available services. </w:t>
      </w:r>
      <w:r w:rsidR="005D32A5">
        <w:rPr>
          <w:rFonts w:ascii="Arial" w:hAnsi="Arial" w:cs="Arial"/>
          <w:sz w:val="20"/>
          <w:szCs w:val="20"/>
        </w:rPr>
        <w:t>The team</w:t>
      </w:r>
      <w:r w:rsidRPr="00762F73">
        <w:rPr>
          <w:rFonts w:ascii="Arial" w:hAnsi="Arial" w:cs="Arial"/>
          <w:sz w:val="20"/>
          <w:szCs w:val="20"/>
        </w:rPr>
        <w:t xml:space="preserve"> attended over 214 community partner events to support and promote</w:t>
      </w:r>
      <w:r w:rsidR="005D32A5">
        <w:rPr>
          <w:rFonts w:ascii="Arial" w:hAnsi="Arial" w:cs="Arial"/>
          <w:sz w:val="20"/>
          <w:szCs w:val="20"/>
        </w:rPr>
        <w:t xml:space="preserve"> IDVS</w:t>
      </w:r>
      <w:r w:rsidRPr="00762F73">
        <w:rPr>
          <w:rFonts w:ascii="Arial" w:hAnsi="Arial" w:cs="Arial"/>
          <w:sz w:val="20"/>
          <w:szCs w:val="20"/>
        </w:rPr>
        <w:t>. Just over $200,000 was tracked in direct support for veterans from community partners to include assistan</w:t>
      </w:r>
      <w:r w:rsidR="005D32A5">
        <w:rPr>
          <w:rFonts w:ascii="Arial" w:hAnsi="Arial" w:cs="Arial"/>
          <w:sz w:val="20"/>
          <w:szCs w:val="20"/>
        </w:rPr>
        <w:t>ce</w:t>
      </w:r>
      <w:r w:rsidRPr="00762F73">
        <w:rPr>
          <w:rFonts w:ascii="Arial" w:hAnsi="Arial" w:cs="Arial"/>
          <w:sz w:val="20"/>
          <w:szCs w:val="20"/>
        </w:rPr>
        <w:t xml:space="preserve"> with car repairs, substance abuse recovery, yard/ house repairs and maintenance, dental assistance, and basic needs.</w:t>
      </w:r>
    </w:p>
    <w:p w14:paraId="368212A3" w14:textId="77777777" w:rsidR="00E24349" w:rsidRPr="00E61922" w:rsidRDefault="00E24349" w:rsidP="00C10B73">
      <w:pPr>
        <w:jc w:val="both"/>
        <w:rPr>
          <w:rFonts w:ascii="Arial" w:hAnsi="Arial" w:cs="Arial"/>
          <w:sz w:val="20"/>
          <w:szCs w:val="20"/>
          <w:highlight w:val="yellow"/>
        </w:rPr>
      </w:pPr>
    </w:p>
    <w:p w14:paraId="14AA4401" w14:textId="12C9BD1F" w:rsidR="003F095A" w:rsidRDefault="00E24349" w:rsidP="00C10B73">
      <w:pPr>
        <w:jc w:val="both"/>
        <w:rPr>
          <w:rFonts w:ascii="Arial" w:hAnsi="Arial" w:cs="Arial"/>
          <w:sz w:val="20"/>
          <w:szCs w:val="20"/>
        </w:rPr>
      </w:pPr>
      <w:r w:rsidRPr="00E24349">
        <w:rPr>
          <w:rFonts w:ascii="Arial" w:hAnsi="Arial" w:cs="Arial"/>
          <w:sz w:val="20"/>
          <w:szCs w:val="20"/>
        </w:rPr>
        <w:t>The Veterans Cemetery Bureau performed 860 interment services in FY2024, 779 at the Idaho State Veterans Cemetery Boise and 81 at the Idaho State Veterans Cemetery Blackfoot. Both cemeteries were audited by the National Cemetery Administration for compliance with their standards and received outstanding reviews. In May, both cemeteries implemented the Burial Equity Act, allowing previously ineligible Guardsmen and Reservists to be interred.</w:t>
      </w:r>
    </w:p>
    <w:p w14:paraId="3FEFEA62" w14:textId="77777777" w:rsidR="00E24349" w:rsidRDefault="00E24349" w:rsidP="00C10B73">
      <w:pPr>
        <w:jc w:val="both"/>
        <w:rPr>
          <w:rFonts w:ascii="Arial" w:hAnsi="Arial" w:cs="Arial"/>
          <w:sz w:val="20"/>
          <w:szCs w:val="20"/>
        </w:rPr>
      </w:pPr>
    </w:p>
    <w:p w14:paraId="035E26D9" w14:textId="7F1C6ABC" w:rsidR="003F095A" w:rsidRDefault="00B04292" w:rsidP="00C10B73">
      <w:pPr>
        <w:jc w:val="both"/>
        <w:rPr>
          <w:rFonts w:ascii="Arial" w:hAnsi="Arial" w:cs="Arial"/>
          <w:sz w:val="20"/>
          <w:szCs w:val="20"/>
        </w:rPr>
      </w:pPr>
      <w:r w:rsidRPr="00B04292">
        <w:rPr>
          <w:rFonts w:ascii="Arial" w:hAnsi="Arial" w:cs="Arial"/>
          <w:sz w:val="20"/>
          <w:szCs w:val="20"/>
        </w:rPr>
        <w:t>Veterans' Education received a "satisfactory" rating from VA for FY 24; satisfactory is the highest rating an approving agency can receive from VA. FY24 team efforts led to VA processing 39,748 education claims on behalf of 3,257 Idaho beneficiaries at approved Idaho educational institutions, apprenticeships, and OJTs, bring in $52.9M in education revenue to the state of Idaho. Approving 4,115 programs, the Veterans' Education increased its overall approval productivity by 46% in FY24, up from 2,816 program approvals in FY23. Veterans' Education conducted one (1) VA-assigned Risk-Based Survey and fourteen (14) Supervisory Visits during FY24 ensuring that the programs Veterans' Education approves under the GI Bill® provide Veterans educational benefits in full compliance with Title 38. Lastly, the Veterans' Education Team participated in 75 outreach opportunities and 162 technical assistance activities throughout Idaho in FY24; the team does this by engaging education and employer stakeholders, veterans, active-duty service members, reservists, guardsmen, and dependents to promote awareness and understanding of VA education benefits.</w:t>
      </w:r>
    </w:p>
    <w:p w14:paraId="797729D8" w14:textId="77777777" w:rsidR="007E661C" w:rsidRDefault="007E661C" w:rsidP="00AD5FA8">
      <w:pPr>
        <w:jc w:val="both"/>
        <w:outlineLvl w:val="0"/>
        <w:rPr>
          <w:rFonts w:ascii="Arial" w:hAnsi="Arial" w:cs="Arial"/>
          <w:b/>
          <w:i/>
          <w:color w:val="000080"/>
          <w:sz w:val="28"/>
          <w:szCs w:val="28"/>
        </w:rPr>
      </w:pPr>
      <w:r w:rsidRPr="004B2482">
        <w:rPr>
          <w:rFonts w:ascii="Arial" w:hAnsi="Arial" w:cs="Arial"/>
          <w:b/>
          <w:i/>
          <w:color w:val="000080"/>
          <w:sz w:val="28"/>
          <w:szCs w:val="28"/>
        </w:rPr>
        <w:lastRenderedPageBreak/>
        <w:t>Part II – Performance Measures</w:t>
      </w:r>
    </w:p>
    <w:p w14:paraId="6B8D4504" w14:textId="77777777" w:rsidR="00A01807" w:rsidRPr="005159FC" w:rsidRDefault="00A01807" w:rsidP="005159FC">
      <w:pPr>
        <w:rPr>
          <w:rFonts w:ascii="Arial" w:hAnsi="Arial" w:cs="Arial"/>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2953"/>
        <w:gridCol w:w="1089"/>
        <w:gridCol w:w="1241"/>
        <w:gridCol w:w="1240"/>
        <w:gridCol w:w="1235"/>
        <w:gridCol w:w="1234"/>
        <w:gridCol w:w="1088"/>
      </w:tblGrid>
      <w:tr w:rsidR="000E5121" w14:paraId="30FDFA45" w14:textId="77777777" w:rsidTr="000E5121">
        <w:trPr>
          <w:tblHeader/>
        </w:trPr>
        <w:tc>
          <w:tcPr>
            <w:tcW w:w="4042" w:type="dxa"/>
            <w:gridSpan w:val="2"/>
            <w:shd w:val="clear" w:color="auto" w:fill="000080"/>
            <w:vAlign w:val="bottom"/>
          </w:tcPr>
          <w:p w14:paraId="259DACE8" w14:textId="77777777" w:rsidR="000E5121" w:rsidRDefault="000E5121" w:rsidP="000E5121">
            <w:pPr>
              <w:jc w:val="center"/>
              <w:rPr>
                <w:rFonts w:ascii="Arial" w:hAnsi="Arial" w:cs="Arial"/>
                <w:b/>
                <w:bCs/>
                <w:color w:val="FFFFFF"/>
                <w:sz w:val="20"/>
              </w:rPr>
            </w:pPr>
            <w:bookmarkStart w:id="2" w:name="_Hlk49333415"/>
            <w:r>
              <w:rPr>
                <w:rFonts w:ascii="Arial" w:hAnsi="Arial" w:cs="Arial"/>
                <w:b/>
                <w:bCs/>
                <w:color w:val="FFFFFF"/>
                <w:sz w:val="20"/>
              </w:rPr>
              <w:t>Performance Measure</w:t>
            </w:r>
          </w:p>
        </w:tc>
        <w:tc>
          <w:tcPr>
            <w:tcW w:w="1241" w:type="dxa"/>
            <w:shd w:val="clear" w:color="auto" w:fill="000080"/>
            <w:vAlign w:val="bottom"/>
          </w:tcPr>
          <w:p w14:paraId="2CFEFCE6" w14:textId="70953D74" w:rsidR="000E5121" w:rsidRDefault="000E5121" w:rsidP="000E5121">
            <w:pPr>
              <w:jc w:val="center"/>
              <w:rPr>
                <w:rFonts w:ascii="Arial" w:hAnsi="Arial" w:cs="Arial"/>
                <w:b/>
                <w:bCs/>
                <w:color w:val="FFFFFF"/>
                <w:sz w:val="20"/>
              </w:rPr>
            </w:pPr>
            <w:r>
              <w:rPr>
                <w:rFonts w:ascii="Arial" w:hAnsi="Arial" w:cs="Arial"/>
                <w:b/>
                <w:bCs/>
                <w:color w:val="FFFFFF"/>
                <w:sz w:val="20"/>
              </w:rPr>
              <w:t>FY 2022</w:t>
            </w:r>
          </w:p>
        </w:tc>
        <w:tc>
          <w:tcPr>
            <w:tcW w:w="1240" w:type="dxa"/>
            <w:shd w:val="clear" w:color="auto" w:fill="000080"/>
            <w:vAlign w:val="bottom"/>
          </w:tcPr>
          <w:p w14:paraId="4D38DB5F" w14:textId="28637E75" w:rsidR="000E5121" w:rsidRDefault="000E5121" w:rsidP="000E5121">
            <w:pPr>
              <w:jc w:val="center"/>
              <w:rPr>
                <w:rFonts w:ascii="Arial" w:hAnsi="Arial" w:cs="Arial"/>
                <w:b/>
                <w:bCs/>
                <w:color w:val="FFFFFF"/>
                <w:sz w:val="20"/>
              </w:rPr>
            </w:pPr>
            <w:r>
              <w:rPr>
                <w:rFonts w:ascii="Arial" w:hAnsi="Arial" w:cs="Arial"/>
                <w:b/>
                <w:bCs/>
                <w:color w:val="FFFFFF"/>
                <w:sz w:val="20"/>
              </w:rPr>
              <w:t>FY 2023</w:t>
            </w:r>
          </w:p>
        </w:tc>
        <w:tc>
          <w:tcPr>
            <w:tcW w:w="1235" w:type="dxa"/>
            <w:shd w:val="clear" w:color="auto" w:fill="000080"/>
            <w:vAlign w:val="bottom"/>
          </w:tcPr>
          <w:p w14:paraId="1944A0DC" w14:textId="0BF716F7" w:rsidR="000E5121" w:rsidRDefault="000E5121" w:rsidP="000E5121">
            <w:pPr>
              <w:jc w:val="center"/>
              <w:rPr>
                <w:rFonts w:ascii="Arial" w:hAnsi="Arial" w:cs="Arial"/>
                <w:b/>
                <w:bCs/>
                <w:color w:val="FFFFFF"/>
                <w:sz w:val="20"/>
              </w:rPr>
            </w:pPr>
            <w:r>
              <w:rPr>
                <w:rFonts w:ascii="Arial" w:hAnsi="Arial" w:cs="Arial"/>
                <w:b/>
                <w:bCs/>
                <w:color w:val="FFFFFF"/>
                <w:sz w:val="20"/>
              </w:rPr>
              <w:t>FY 2024</w:t>
            </w:r>
          </w:p>
        </w:tc>
        <w:tc>
          <w:tcPr>
            <w:tcW w:w="1234" w:type="dxa"/>
            <w:shd w:val="clear" w:color="auto" w:fill="000080"/>
            <w:vAlign w:val="bottom"/>
          </w:tcPr>
          <w:p w14:paraId="78DBC720" w14:textId="2138A7A5" w:rsidR="000E5121" w:rsidRDefault="000E5121" w:rsidP="000E5121">
            <w:pPr>
              <w:jc w:val="center"/>
              <w:rPr>
                <w:rFonts w:ascii="Arial" w:hAnsi="Arial" w:cs="Arial"/>
                <w:b/>
                <w:bCs/>
                <w:color w:val="FFFFFF"/>
                <w:sz w:val="20"/>
              </w:rPr>
            </w:pPr>
            <w:r>
              <w:rPr>
                <w:rFonts w:ascii="Arial" w:hAnsi="Arial" w:cs="Arial"/>
                <w:b/>
                <w:bCs/>
                <w:color w:val="FFFFFF"/>
                <w:sz w:val="20"/>
              </w:rPr>
              <w:t>FY 2025</w:t>
            </w:r>
          </w:p>
        </w:tc>
        <w:tc>
          <w:tcPr>
            <w:tcW w:w="1088" w:type="dxa"/>
            <w:shd w:val="clear" w:color="auto" w:fill="000080"/>
            <w:vAlign w:val="bottom"/>
          </w:tcPr>
          <w:p w14:paraId="2273011A" w14:textId="0F02A1C6" w:rsidR="000E5121" w:rsidRDefault="000E5121" w:rsidP="000E5121">
            <w:pPr>
              <w:jc w:val="center"/>
              <w:rPr>
                <w:rFonts w:ascii="Arial" w:hAnsi="Arial" w:cs="Arial"/>
                <w:b/>
                <w:bCs/>
                <w:color w:val="FFFFFF"/>
                <w:sz w:val="20"/>
              </w:rPr>
            </w:pPr>
            <w:r>
              <w:rPr>
                <w:rFonts w:ascii="Arial" w:hAnsi="Arial" w:cs="Arial"/>
                <w:b/>
                <w:bCs/>
                <w:color w:val="FFFFFF"/>
                <w:sz w:val="20"/>
              </w:rPr>
              <w:t>FY 202</w:t>
            </w:r>
            <w:r>
              <w:rPr>
                <w:rFonts w:ascii="Arial" w:hAnsi="Arial" w:cs="Arial"/>
                <w:b/>
                <w:bCs/>
                <w:color w:val="FFFFFF"/>
                <w:sz w:val="20"/>
              </w:rPr>
              <w:t>6</w:t>
            </w:r>
          </w:p>
        </w:tc>
      </w:tr>
      <w:bookmarkEnd w:id="2"/>
      <w:tr w:rsidR="000E5121" w14:paraId="01365B4F" w14:textId="77777777" w:rsidTr="001823C2">
        <w:trPr>
          <w:trHeight w:val="1907"/>
        </w:trPr>
        <w:tc>
          <w:tcPr>
            <w:tcW w:w="10080" w:type="dxa"/>
            <w:gridSpan w:val="7"/>
            <w:shd w:val="clear" w:color="auto" w:fill="DBE5F1" w:themeFill="accent1" w:themeFillTint="33"/>
            <w:vAlign w:val="center"/>
          </w:tcPr>
          <w:p w14:paraId="1A76E8E8" w14:textId="77777777" w:rsidR="000E5121" w:rsidRDefault="000E5121" w:rsidP="000E5121">
            <w:pPr>
              <w:jc w:val="center"/>
              <w:rPr>
                <w:rFonts w:ascii="Arial" w:hAnsi="Arial" w:cs="Arial"/>
                <w:b/>
              </w:rPr>
            </w:pPr>
            <w:r>
              <w:rPr>
                <w:rFonts w:ascii="Arial" w:hAnsi="Arial" w:cs="Arial"/>
                <w:b/>
                <w:sz w:val="20"/>
              </w:rPr>
              <w:t>Goal 1</w:t>
            </w:r>
          </w:p>
          <w:p w14:paraId="5ED1DCD4" w14:textId="77777777" w:rsidR="000E5121" w:rsidRPr="000E5221" w:rsidRDefault="000E5121" w:rsidP="000E5121">
            <w:pPr>
              <w:pStyle w:val="firstlevel"/>
              <w:numPr>
                <w:ilvl w:val="0"/>
                <w:numId w:val="0"/>
              </w:numPr>
              <w:spacing w:before="0"/>
              <w:rPr>
                <w:b w:val="0"/>
                <w:i/>
                <w:color w:val="auto"/>
                <w:sz w:val="20"/>
                <w:szCs w:val="20"/>
              </w:rPr>
            </w:pPr>
            <w:r w:rsidRPr="000E5221">
              <w:rPr>
                <w:b w:val="0"/>
                <w:i/>
                <w:color w:val="auto"/>
                <w:sz w:val="20"/>
                <w:szCs w:val="20"/>
              </w:rPr>
              <w:t>Provide high quality advocacy and benefit assistance for all Id</w:t>
            </w:r>
            <w:r>
              <w:rPr>
                <w:b w:val="0"/>
                <w:i/>
                <w:color w:val="auto"/>
                <w:sz w:val="20"/>
                <w:szCs w:val="20"/>
              </w:rPr>
              <w:t>aho veterans and their families by:</w:t>
            </w:r>
          </w:p>
          <w:p w14:paraId="341194F9" w14:textId="77777777" w:rsidR="000E5121" w:rsidRPr="000E5221" w:rsidRDefault="000E5121" w:rsidP="000E5121">
            <w:pPr>
              <w:pStyle w:val="secondlevel"/>
              <w:spacing w:before="0"/>
              <w:ind w:right="396"/>
              <w:rPr>
                <w:b w:val="0"/>
                <w:i/>
                <w:color w:val="auto"/>
                <w:sz w:val="20"/>
                <w:szCs w:val="20"/>
              </w:rPr>
            </w:pPr>
            <w:r w:rsidRPr="000E5221">
              <w:rPr>
                <w:b w:val="0"/>
                <w:i/>
                <w:color w:val="auto"/>
                <w:sz w:val="20"/>
                <w:szCs w:val="20"/>
              </w:rPr>
              <w:t>Expand</w:t>
            </w:r>
            <w:r>
              <w:rPr>
                <w:b w:val="0"/>
                <w:i/>
                <w:color w:val="auto"/>
                <w:sz w:val="20"/>
                <w:szCs w:val="20"/>
              </w:rPr>
              <w:t>ing</w:t>
            </w:r>
            <w:r w:rsidRPr="000E5221">
              <w:rPr>
                <w:b w:val="0"/>
                <w:i/>
                <w:color w:val="auto"/>
                <w:sz w:val="20"/>
                <w:szCs w:val="20"/>
              </w:rPr>
              <w:t xml:space="preserve"> outreach activities.</w:t>
            </w:r>
          </w:p>
          <w:p w14:paraId="218CD3C6" w14:textId="77777777" w:rsidR="000E5121" w:rsidRPr="000E5221" w:rsidRDefault="000E5121" w:rsidP="000E5121">
            <w:pPr>
              <w:pStyle w:val="secondlevel"/>
              <w:spacing w:before="0"/>
              <w:ind w:right="396"/>
              <w:rPr>
                <w:b w:val="0"/>
                <w:i/>
                <w:color w:val="auto"/>
                <w:sz w:val="20"/>
                <w:szCs w:val="20"/>
              </w:rPr>
            </w:pPr>
            <w:r>
              <w:rPr>
                <w:b w:val="0"/>
                <w:i/>
                <w:color w:val="auto"/>
                <w:sz w:val="20"/>
                <w:szCs w:val="20"/>
              </w:rPr>
              <w:t>Improving</w:t>
            </w:r>
            <w:r w:rsidRPr="000E5221">
              <w:rPr>
                <w:b w:val="0"/>
                <w:i/>
                <w:color w:val="auto"/>
                <w:sz w:val="20"/>
                <w:szCs w:val="20"/>
              </w:rPr>
              <w:t xml:space="preserve"> capability of County Service Officers</w:t>
            </w:r>
          </w:p>
          <w:p w14:paraId="32A51910" w14:textId="77777777" w:rsidR="000E5121" w:rsidRPr="000E5221" w:rsidRDefault="000E5121" w:rsidP="000E5121">
            <w:pPr>
              <w:pStyle w:val="secondlevel"/>
              <w:spacing w:before="0"/>
              <w:ind w:right="396"/>
              <w:rPr>
                <w:b w:val="0"/>
                <w:i/>
                <w:color w:val="auto"/>
                <w:sz w:val="20"/>
                <w:szCs w:val="20"/>
              </w:rPr>
            </w:pPr>
            <w:r w:rsidRPr="000E5221">
              <w:rPr>
                <w:b w:val="0"/>
                <w:i/>
                <w:color w:val="auto"/>
                <w:sz w:val="20"/>
                <w:szCs w:val="20"/>
              </w:rPr>
              <w:t>Adapt</w:t>
            </w:r>
            <w:r>
              <w:rPr>
                <w:b w:val="0"/>
                <w:i/>
                <w:color w:val="auto"/>
                <w:sz w:val="20"/>
                <w:szCs w:val="20"/>
              </w:rPr>
              <w:t>ing</w:t>
            </w:r>
            <w:r w:rsidRPr="000E5221">
              <w:rPr>
                <w:b w:val="0"/>
                <w:i/>
                <w:color w:val="auto"/>
                <w:sz w:val="20"/>
                <w:szCs w:val="20"/>
              </w:rPr>
              <w:t xml:space="preserve"> to the needs of the increasing number of Veterans from the Afghanistan and Iraq conflicts, and of Vietnam Veterans now reaching out for assistance.</w:t>
            </w:r>
          </w:p>
          <w:p w14:paraId="02BF5541" w14:textId="519E830E" w:rsidR="000E5121" w:rsidRPr="000E5221" w:rsidRDefault="000E5121" w:rsidP="000E5121">
            <w:pPr>
              <w:pStyle w:val="secondlevel"/>
              <w:spacing w:before="0"/>
              <w:ind w:right="396"/>
              <w:rPr>
                <w:b w:val="0"/>
                <w:i/>
                <w:color w:val="auto"/>
                <w:sz w:val="20"/>
                <w:szCs w:val="20"/>
              </w:rPr>
            </w:pPr>
            <w:r w:rsidRPr="000E5221">
              <w:rPr>
                <w:b w:val="0"/>
                <w:i/>
                <w:color w:val="auto"/>
                <w:sz w:val="20"/>
                <w:szCs w:val="20"/>
              </w:rPr>
              <w:t>Expand</w:t>
            </w:r>
            <w:r>
              <w:rPr>
                <w:b w:val="0"/>
                <w:i/>
                <w:color w:val="auto"/>
                <w:sz w:val="20"/>
                <w:szCs w:val="20"/>
              </w:rPr>
              <w:t>ing</w:t>
            </w:r>
            <w:r w:rsidRPr="000E5221">
              <w:rPr>
                <w:b w:val="0"/>
                <w:i/>
                <w:color w:val="auto"/>
                <w:sz w:val="20"/>
                <w:szCs w:val="20"/>
              </w:rPr>
              <w:t xml:space="preserve"> partnerships with other entities serving Veterans, including those providing employment assistance, transportation</w:t>
            </w:r>
            <w:r>
              <w:rPr>
                <w:b w:val="0"/>
                <w:i/>
                <w:color w:val="auto"/>
                <w:sz w:val="20"/>
                <w:szCs w:val="20"/>
              </w:rPr>
              <w:t>,</w:t>
            </w:r>
            <w:r w:rsidRPr="000E5221">
              <w:rPr>
                <w:b w:val="0"/>
                <w:i/>
                <w:color w:val="auto"/>
                <w:sz w:val="20"/>
                <w:szCs w:val="20"/>
              </w:rPr>
              <w:t xml:space="preserve"> and higher education.</w:t>
            </w:r>
          </w:p>
        </w:tc>
      </w:tr>
      <w:tr w:rsidR="000E5121" w14:paraId="508943B1" w14:textId="77777777" w:rsidTr="000E5121">
        <w:trPr>
          <w:trHeight w:val="288"/>
        </w:trPr>
        <w:tc>
          <w:tcPr>
            <w:tcW w:w="2953" w:type="dxa"/>
            <w:vMerge w:val="restart"/>
          </w:tcPr>
          <w:p w14:paraId="1D599E20" w14:textId="77777777" w:rsidR="000E5121" w:rsidRPr="009C630F" w:rsidRDefault="000E5121" w:rsidP="000E5121">
            <w:pPr>
              <w:pStyle w:val="ListParagraph"/>
              <w:numPr>
                <w:ilvl w:val="0"/>
                <w:numId w:val="5"/>
              </w:numPr>
              <w:ind w:left="342"/>
              <w:rPr>
                <w:rFonts w:ascii="Arial" w:hAnsi="Arial" w:cs="Arial"/>
                <w:bCs/>
                <w:sz w:val="20"/>
                <w:szCs w:val="20"/>
              </w:rPr>
            </w:pPr>
            <w:r w:rsidRPr="009C630F">
              <w:rPr>
                <w:rFonts w:ascii="Arial" w:hAnsi="Arial" w:cs="Arial"/>
                <w:sz w:val="20"/>
                <w:szCs w:val="20"/>
              </w:rPr>
              <w:t>Number of claims filed with the Department of Veterans Affairs and other agencies.</w:t>
            </w:r>
          </w:p>
        </w:tc>
        <w:tc>
          <w:tcPr>
            <w:tcW w:w="1089" w:type="dxa"/>
            <w:shd w:val="clear" w:color="auto" w:fill="D9D9D9" w:themeFill="background1" w:themeFillShade="D9"/>
            <w:vAlign w:val="center"/>
          </w:tcPr>
          <w:p w14:paraId="1213F37C" w14:textId="77777777" w:rsidR="000E5121" w:rsidRPr="00E51672" w:rsidRDefault="000E5121" w:rsidP="000E5121">
            <w:pPr>
              <w:jc w:val="center"/>
              <w:rPr>
                <w:rFonts w:ascii="Arial" w:hAnsi="Arial" w:cs="Arial"/>
                <w:sz w:val="20"/>
              </w:rPr>
            </w:pPr>
            <w:r w:rsidRPr="00E51672">
              <w:rPr>
                <w:rFonts w:ascii="Arial" w:hAnsi="Arial" w:cs="Arial"/>
                <w:sz w:val="20"/>
              </w:rPr>
              <w:t>actual</w:t>
            </w:r>
          </w:p>
        </w:tc>
        <w:tc>
          <w:tcPr>
            <w:tcW w:w="1241" w:type="dxa"/>
            <w:shd w:val="clear" w:color="auto" w:fill="D9D9D9" w:themeFill="background1" w:themeFillShade="D9"/>
            <w:vAlign w:val="center"/>
          </w:tcPr>
          <w:p w14:paraId="227095C8" w14:textId="162C47F5" w:rsidR="000E5121" w:rsidRPr="002237AF" w:rsidRDefault="000E5121" w:rsidP="000E5121">
            <w:pPr>
              <w:jc w:val="center"/>
              <w:rPr>
                <w:rFonts w:ascii="Arial" w:hAnsi="Arial" w:cs="Arial"/>
                <w:sz w:val="20"/>
                <w:szCs w:val="20"/>
              </w:rPr>
            </w:pPr>
            <w:r>
              <w:rPr>
                <w:rFonts w:ascii="Arial" w:hAnsi="Arial" w:cs="Arial"/>
                <w:sz w:val="20"/>
              </w:rPr>
              <w:t>9,071</w:t>
            </w:r>
          </w:p>
        </w:tc>
        <w:tc>
          <w:tcPr>
            <w:tcW w:w="1240" w:type="dxa"/>
            <w:shd w:val="clear" w:color="auto" w:fill="D9D9D9" w:themeFill="background1" w:themeFillShade="D9"/>
            <w:vAlign w:val="center"/>
          </w:tcPr>
          <w:p w14:paraId="542EDE8D" w14:textId="3BD14EE2" w:rsidR="000E5121" w:rsidRPr="00E51672" w:rsidRDefault="000E5121" w:rsidP="000E5121">
            <w:pPr>
              <w:jc w:val="center"/>
              <w:rPr>
                <w:rFonts w:ascii="Arial" w:hAnsi="Arial" w:cs="Arial"/>
                <w:sz w:val="20"/>
              </w:rPr>
            </w:pPr>
            <w:r>
              <w:rPr>
                <w:rFonts w:ascii="Arial" w:hAnsi="Arial" w:cs="Arial"/>
                <w:sz w:val="20"/>
              </w:rPr>
              <w:t>12,037</w:t>
            </w:r>
          </w:p>
        </w:tc>
        <w:tc>
          <w:tcPr>
            <w:tcW w:w="1235" w:type="dxa"/>
            <w:shd w:val="clear" w:color="auto" w:fill="D9D9D9" w:themeFill="background1" w:themeFillShade="D9"/>
            <w:vAlign w:val="center"/>
          </w:tcPr>
          <w:p w14:paraId="251CB4F5" w14:textId="67CBF583" w:rsidR="000E5121" w:rsidRPr="00E51672" w:rsidRDefault="000E5121" w:rsidP="000E5121">
            <w:pPr>
              <w:jc w:val="center"/>
              <w:rPr>
                <w:rFonts w:ascii="Arial" w:hAnsi="Arial" w:cs="Arial"/>
                <w:sz w:val="20"/>
              </w:rPr>
            </w:pPr>
            <w:r>
              <w:rPr>
                <w:rFonts w:ascii="Arial" w:hAnsi="Arial" w:cs="Arial"/>
                <w:sz w:val="20"/>
              </w:rPr>
              <w:t>12,938</w:t>
            </w:r>
          </w:p>
        </w:tc>
        <w:tc>
          <w:tcPr>
            <w:tcW w:w="1234" w:type="dxa"/>
            <w:shd w:val="clear" w:color="auto" w:fill="D9D9D9" w:themeFill="background1" w:themeFillShade="D9"/>
            <w:vAlign w:val="center"/>
          </w:tcPr>
          <w:p w14:paraId="5956E22F" w14:textId="035CAD09" w:rsidR="000E5121" w:rsidRPr="00B006FB" w:rsidRDefault="000E5121" w:rsidP="000E5121">
            <w:pPr>
              <w:jc w:val="center"/>
              <w:rPr>
                <w:rFonts w:ascii="Arial" w:hAnsi="Arial" w:cs="Arial"/>
                <w:sz w:val="20"/>
              </w:rPr>
            </w:pPr>
          </w:p>
        </w:tc>
        <w:tc>
          <w:tcPr>
            <w:tcW w:w="1088" w:type="dxa"/>
            <w:shd w:val="clear" w:color="auto" w:fill="D9D9D9" w:themeFill="background1" w:themeFillShade="D9"/>
            <w:vAlign w:val="center"/>
          </w:tcPr>
          <w:p w14:paraId="75301457" w14:textId="521FC529" w:rsidR="000E5121" w:rsidRPr="00E51672" w:rsidRDefault="000E5121" w:rsidP="000E5121">
            <w:pPr>
              <w:jc w:val="center"/>
              <w:rPr>
                <w:rFonts w:ascii="Arial" w:hAnsi="Arial" w:cs="Arial"/>
                <w:sz w:val="20"/>
              </w:rPr>
            </w:pPr>
          </w:p>
        </w:tc>
      </w:tr>
      <w:tr w:rsidR="000E5121" w14:paraId="33052CE7" w14:textId="77777777" w:rsidTr="000E5121">
        <w:trPr>
          <w:trHeight w:val="288"/>
        </w:trPr>
        <w:tc>
          <w:tcPr>
            <w:tcW w:w="2953" w:type="dxa"/>
            <w:vMerge/>
          </w:tcPr>
          <w:p w14:paraId="3CF6C155" w14:textId="77777777" w:rsidR="000E5121" w:rsidRPr="00646DA1" w:rsidRDefault="000E5121" w:rsidP="000E5121">
            <w:pPr>
              <w:pStyle w:val="ListParagraph"/>
              <w:numPr>
                <w:ilvl w:val="0"/>
                <w:numId w:val="5"/>
              </w:numPr>
              <w:tabs>
                <w:tab w:val="left" w:pos="2985"/>
              </w:tabs>
              <w:ind w:left="342"/>
              <w:rPr>
                <w:rFonts w:ascii="Arial" w:hAnsi="Arial" w:cs="Arial"/>
                <w:sz w:val="20"/>
              </w:rPr>
            </w:pPr>
          </w:p>
        </w:tc>
        <w:tc>
          <w:tcPr>
            <w:tcW w:w="1089" w:type="dxa"/>
            <w:shd w:val="clear" w:color="auto" w:fill="FFFFFF" w:themeFill="background1"/>
            <w:vAlign w:val="center"/>
          </w:tcPr>
          <w:p w14:paraId="6163A029" w14:textId="77777777" w:rsidR="000E5121" w:rsidRPr="00E51672" w:rsidRDefault="000E5121" w:rsidP="000E5121">
            <w:pPr>
              <w:jc w:val="center"/>
              <w:rPr>
                <w:rFonts w:ascii="Arial" w:hAnsi="Arial" w:cs="Arial"/>
                <w:i/>
                <w:sz w:val="20"/>
              </w:rPr>
            </w:pPr>
            <w:r>
              <w:rPr>
                <w:rFonts w:ascii="Arial" w:hAnsi="Arial" w:cs="Arial"/>
                <w:i/>
                <w:sz w:val="16"/>
                <w:szCs w:val="16"/>
              </w:rPr>
              <w:t>target</w:t>
            </w:r>
          </w:p>
        </w:tc>
        <w:tc>
          <w:tcPr>
            <w:tcW w:w="1241" w:type="dxa"/>
            <w:shd w:val="clear" w:color="auto" w:fill="FFFFFF" w:themeFill="background1"/>
            <w:vAlign w:val="center"/>
          </w:tcPr>
          <w:p w14:paraId="46042D45" w14:textId="297A93BE" w:rsidR="000E5121" w:rsidRPr="00E51672" w:rsidRDefault="000E5121" w:rsidP="000E5121">
            <w:pPr>
              <w:jc w:val="center"/>
              <w:rPr>
                <w:rFonts w:ascii="Arial" w:hAnsi="Arial" w:cs="Arial"/>
                <w:i/>
                <w:sz w:val="16"/>
                <w:szCs w:val="16"/>
              </w:rPr>
            </w:pPr>
            <w:r>
              <w:rPr>
                <w:rFonts w:ascii="Arial" w:hAnsi="Arial" w:cs="Arial"/>
                <w:i/>
                <w:sz w:val="16"/>
                <w:szCs w:val="16"/>
              </w:rPr>
              <w:t>7,989</w:t>
            </w:r>
          </w:p>
        </w:tc>
        <w:tc>
          <w:tcPr>
            <w:tcW w:w="1240" w:type="dxa"/>
            <w:shd w:val="clear" w:color="auto" w:fill="FFFFFF" w:themeFill="background1"/>
            <w:vAlign w:val="center"/>
          </w:tcPr>
          <w:p w14:paraId="29498AE2" w14:textId="5E82A734" w:rsidR="000E5121" w:rsidRPr="00E51672" w:rsidRDefault="000E5121" w:rsidP="000E5121">
            <w:pPr>
              <w:jc w:val="center"/>
              <w:rPr>
                <w:rFonts w:ascii="Arial" w:hAnsi="Arial" w:cs="Arial"/>
                <w:i/>
                <w:sz w:val="16"/>
                <w:szCs w:val="16"/>
              </w:rPr>
            </w:pPr>
            <w:r>
              <w:rPr>
                <w:rFonts w:ascii="Arial" w:hAnsi="Arial" w:cs="Arial"/>
                <w:i/>
                <w:sz w:val="16"/>
                <w:szCs w:val="16"/>
              </w:rPr>
              <w:t>8,065</w:t>
            </w:r>
          </w:p>
        </w:tc>
        <w:tc>
          <w:tcPr>
            <w:tcW w:w="1235" w:type="dxa"/>
            <w:shd w:val="clear" w:color="auto" w:fill="FFFFFF" w:themeFill="background1"/>
            <w:vAlign w:val="center"/>
          </w:tcPr>
          <w:p w14:paraId="0561B947" w14:textId="55556528" w:rsidR="000E5121" w:rsidRPr="00E51672" w:rsidRDefault="000E5121" w:rsidP="000E5121">
            <w:pPr>
              <w:jc w:val="center"/>
              <w:rPr>
                <w:rFonts w:ascii="Arial" w:hAnsi="Arial" w:cs="Arial"/>
                <w:i/>
                <w:sz w:val="16"/>
                <w:szCs w:val="16"/>
              </w:rPr>
            </w:pPr>
            <w:r>
              <w:rPr>
                <w:rFonts w:ascii="Arial" w:hAnsi="Arial" w:cs="Arial"/>
                <w:i/>
                <w:sz w:val="16"/>
                <w:szCs w:val="16"/>
              </w:rPr>
              <w:t>8,065</w:t>
            </w:r>
          </w:p>
        </w:tc>
        <w:tc>
          <w:tcPr>
            <w:tcW w:w="1234" w:type="dxa"/>
            <w:shd w:val="clear" w:color="auto" w:fill="FFFFFF" w:themeFill="background1"/>
            <w:vAlign w:val="center"/>
          </w:tcPr>
          <w:p w14:paraId="110D7C9D" w14:textId="4816A59E" w:rsidR="000E5121" w:rsidRPr="00B006FB" w:rsidRDefault="000E5121" w:rsidP="000E5121">
            <w:pPr>
              <w:jc w:val="center"/>
              <w:rPr>
                <w:rFonts w:ascii="Arial" w:hAnsi="Arial" w:cs="Arial"/>
                <w:i/>
                <w:sz w:val="16"/>
                <w:szCs w:val="16"/>
              </w:rPr>
            </w:pPr>
            <w:r>
              <w:rPr>
                <w:rFonts w:ascii="Arial" w:hAnsi="Arial" w:cs="Arial"/>
                <w:i/>
                <w:sz w:val="16"/>
                <w:szCs w:val="16"/>
              </w:rPr>
              <w:t>9,398</w:t>
            </w:r>
          </w:p>
        </w:tc>
        <w:tc>
          <w:tcPr>
            <w:tcW w:w="1088" w:type="dxa"/>
            <w:shd w:val="clear" w:color="auto" w:fill="FFFFFF" w:themeFill="background1"/>
            <w:vAlign w:val="center"/>
          </w:tcPr>
          <w:p w14:paraId="4D723FC4" w14:textId="288DEAC1" w:rsidR="000E5121" w:rsidRPr="00E51672" w:rsidRDefault="000E5121" w:rsidP="000E5121">
            <w:pPr>
              <w:jc w:val="center"/>
              <w:rPr>
                <w:rFonts w:ascii="Arial" w:hAnsi="Arial" w:cs="Arial"/>
                <w:i/>
                <w:sz w:val="16"/>
                <w:szCs w:val="16"/>
              </w:rPr>
            </w:pPr>
          </w:p>
        </w:tc>
      </w:tr>
      <w:tr w:rsidR="000E5121" w:rsidRPr="000E5221" w14:paraId="5609CD23" w14:textId="77777777" w:rsidTr="00C92C59">
        <w:trPr>
          <w:trHeight w:val="323"/>
        </w:trPr>
        <w:tc>
          <w:tcPr>
            <w:tcW w:w="10080" w:type="dxa"/>
            <w:gridSpan w:val="7"/>
            <w:shd w:val="clear" w:color="auto" w:fill="DBE5F1" w:themeFill="accent1" w:themeFillTint="33"/>
            <w:vAlign w:val="center"/>
          </w:tcPr>
          <w:p w14:paraId="68986691" w14:textId="77777777" w:rsidR="000E5121" w:rsidRPr="00B006FB" w:rsidRDefault="000E5121" w:rsidP="000E5121">
            <w:pPr>
              <w:jc w:val="center"/>
              <w:rPr>
                <w:rFonts w:ascii="Arial" w:hAnsi="Arial" w:cs="Arial"/>
                <w:b/>
                <w:sz w:val="20"/>
                <w:szCs w:val="20"/>
              </w:rPr>
            </w:pPr>
            <w:r w:rsidRPr="00B006FB">
              <w:rPr>
                <w:rFonts w:ascii="Arial" w:hAnsi="Arial" w:cs="Arial"/>
                <w:b/>
                <w:sz w:val="20"/>
                <w:szCs w:val="20"/>
              </w:rPr>
              <w:t>Goal 2</w:t>
            </w:r>
          </w:p>
          <w:p w14:paraId="39A3C1E9" w14:textId="77777777" w:rsidR="000E5121" w:rsidRPr="00B006FB" w:rsidRDefault="000E5121" w:rsidP="000E5121">
            <w:pPr>
              <w:pStyle w:val="firstlevel"/>
              <w:numPr>
                <w:ilvl w:val="0"/>
                <w:numId w:val="0"/>
              </w:numPr>
              <w:spacing w:before="0"/>
              <w:ind w:left="180"/>
              <w:rPr>
                <w:b w:val="0"/>
                <w:i/>
                <w:color w:val="auto"/>
                <w:sz w:val="20"/>
                <w:szCs w:val="20"/>
              </w:rPr>
            </w:pPr>
            <w:r w:rsidRPr="00B006FB">
              <w:rPr>
                <w:b w:val="0"/>
                <w:i/>
                <w:color w:val="auto"/>
                <w:sz w:val="20"/>
                <w:szCs w:val="20"/>
              </w:rPr>
              <w:t>Provide superior long-term care and enhanced quality of life for all Idaho State Veterans Home residents by:</w:t>
            </w:r>
          </w:p>
          <w:p w14:paraId="5A52DD70" w14:textId="77777777" w:rsidR="000E5121" w:rsidRPr="00B006FB" w:rsidRDefault="000E5121" w:rsidP="000E5121">
            <w:pPr>
              <w:pStyle w:val="secondlevel"/>
              <w:numPr>
                <w:ilvl w:val="1"/>
                <w:numId w:val="10"/>
              </w:numPr>
              <w:spacing w:before="0"/>
              <w:ind w:right="396"/>
              <w:rPr>
                <w:b w:val="0"/>
                <w:i/>
                <w:color w:val="auto"/>
                <w:sz w:val="20"/>
                <w:szCs w:val="20"/>
              </w:rPr>
            </w:pPr>
            <w:r w:rsidRPr="00B006FB">
              <w:rPr>
                <w:b w:val="0"/>
                <w:i/>
                <w:color w:val="auto"/>
                <w:sz w:val="20"/>
                <w:szCs w:val="20"/>
              </w:rPr>
              <w:t>Using best practices in all the Homes’ departments.</w:t>
            </w:r>
          </w:p>
          <w:p w14:paraId="3805EAB4" w14:textId="77777777" w:rsidR="000E5121" w:rsidRPr="00B006FB" w:rsidRDefault="000E5121" w:rsidP="000E5121">
            <w:pPr>
              <w:pStyle w:val="secondlevel"/>
              <w:spacing w:before="0"/>
              <w:ind w:right="396"/>
              <w:rPr>
                <w:b w:val="0"/>
                <w:i/>
                <w:color w:val="auto"/>
                <w:sz w:val="20"/>
                <w:szCs w:val="20"/>
              </w:rPr>
            </w:pPr>
            <w:r w:rsidRPr="00B006FB">
              <w:rPr>
                <w:b w:val="0"/>
                <w:i/>
                <w:color w:val="auto"/>
                <w:sz w:val="20"/>
                <w:szCs w:val="20"/>
              </w:rPr>
              <w:t>Continuing to enhance communication with residents and families.</w:t>
            </w:r>
          </w:p>
        </w:tc>
      </w:tr>
      <w:tr w:rsidR="000E5121" w14:paraId="5575B45D" w14:textId="77777777" w:rsidTr="000E5121">
        <w:trPr>
          <w:trHeight w:val="288"/>
        </w:trPr>
        <w:tc>
          <w:tcPr>
            <w:tcW w:w="2953" w:type="dxa"/>
            <w:vMerge w:val="restart"/>
          </w:tcPr>
          <w:p w14:paraId="510F9812" w14:textId="77777777" w:rsidR="000E5121" w:rsidRPr="009C630F" w:rsidRDefault="000E5121" w:rsidP="000E5121">
            <w:pPr>
              <w:pStyle w:val="ListParagraph"/>
              <w:numPr>
                <w:ilvl w:val="0"/>
                <w:numId w:val="5"/>
              </w:numPr>
              <w:ind w:left="342"/>
              <w:rPr>
                <w:rFonts w:ascii="Arial" w:hAnsi="Arial" w:cs="Arial"/>
                <w:bCs/>
                <w:sz w:val="20"/>
                <w:szCs w:val="20"/>
              </w:rPr>
            </w:pPr>
            <w:r w:rsidRPr="009C630F">
              <w:rPr>
                <w:rFonts w:ascii="Arial" w:hAnsi="Arial" w:cs="Arial"/>
                <w:sz w:val="20"/>
                <w:szCs w:val="20"/>
              </w:rPr>
              <w:t xml:space="preserve">Percent of returned questionnaires from residents and families indicating satisfaction with services </w:t>
            </w:r>
            <w:r>
              <w:rPr>
                <w:rFonts w:ascii="Arial" w:hAnsi="Arial" w:cs="Arial"/>
                <w:sz w:val="20"/>
                <w:szCs w:val="20"/>
              </w:rPr>
              <w:t xml:space="preserve">provided </w:t>
            </w:r>
            <w:r w:rsidRPr="009C630F">
              <w:rPr>
                <w:rFonts w:ascii="Arial" w:hAnsi="Arial" w:cs="Arial"/>
                <w:sz w:val="20"/>
                <w:szCs w:val="20"/>
              </w:rPr>
              <w:t>at the Veterans Homes.</w:t>
            </w:r>
          </w:p>
        </w:tc>
        <w:tc>
          <w:tcPr>
            <w:tcW w:w="1089" w:type="dxa"/>
            <w:shd w:val="clear" w:color="auto" w:fill="D9D9D9" w:themeFill="background1" w:themeFillShade="D9"/>
            <w:vAlign w:val="center"/>
          </w:tcPr>
          <w:p w14:paraId="5E49DB01" w14:textId="77777777" w:rsidR="000E5121" w:rsidRPr="001D59BE" w:rsidRDefault="000E5121" w:rsidP="000E5121">
            <w:pPr>
              <w:jc w:val="center"/>
              <w:rPr>
                <w:rFonts w:ascii="Arial" w:hAnsi="Arial" w:cs="Arial"/>
                <w:sz w:val="20"/>
              </w:rPr>
            </w:pPr>
            <w:r w:rsidRPr="001D59BE">
              <w:rPr>
                <w:rFonts w:ascii="Arial" w:hAnsi="Arial" w:cs="Arial"/>
                <w:sz w:val="20"/>
              </w:rPr>
              <w:t>actual</w:t>
            </w:r>
          </w:p>
        </w:tc>
        <w:tc>
          <w:tcPr>
            <w:tcW w:w="1241" w:type="dxa"/>
            <w:shd w:val="clear" w:color="auto" w:fill="D9D9D9" w:themeFill="background1" w:themeFillShade="D9"/>
            <w:vAlign w:val="center"/>
          </w:tcPr>
          <w:p w14:paraId="5263A7DA" w14:textId="1E19238A" w:rsidR="000E5121" w:rsidRPr="002237AF" w:rsidRDefault="000E5121" w:rsidP="000E5121">
            <w:pPr>
              <w:jc w:val="center"/>
              <w:rPr>
                <w:rFonts w:ascii="Arial" w:hAnsi="Arial" w:cs="Arial"/>
                <w:sz w:val="20"/>
                <w:szCs w:val="20"/>
                <w:highlight w:val="lightGray"/>
              </w:rPr>
            </w:pPr>
            <w:r>
              <w:rPr>
                <w:rFonts w:ascii="Arial" w:hAnsi="Arial" w:cs="Arial"/>
                <w:sz w:val="20"/>
              </w:rPr>
              <w:t>96.7%</w:t>
            </w:r>
          </w:p>
        </w:tc>
        <w:tc>
          <w:tcPr>
            <w:tcW w:w="1240" w:type="dxa"/>
            <w:shd w:val="clear" w:color="auto" w:fill="D9D9D9" w:themeFill="background1" w:themeFillShade="D9"/>
            <w:vAlign w:val="center"/>
          </w:tcPr>
          <w:p w14:paraId="542B4503" w14:textId="45751B28" w:rsidR="000E5121" w:rsidRPr="001D59BE" w:rsidRDefault="000E5121" w:rsidP="000E5121">
            <w:pPr>
              <w:jc w:val="center"/>
              <w:rPr>
                <w:rFonts w:ascii="Arial" w:hAnsi="Arial" w:cs="Arial"/>
                <w:sz w:val="20"/>
              </w:rPr>
            </w:pPr>
            <w:r>
              <w:rPr>
                <w:rFonts w:ascii="Arial" w:hAnsi="Arial" w:cs="Arial"/>
                <w:sz w:val="20"/>
              </w:rPr>
              <w:t>97.3%</w:t>
            </w:r>
          </w:p>
        </w:tc>
        <w:tc>
          <w:tcPr>
            <w:tcW w:w="1235" w:type="dxa"/>
            <w:shd w:val="clear" w:color="auto" w:fill="D9D9D9" w:themeFill="background1" w:themeFillShade="D9"/>
            <w:vAlign w:val="center"/>
          </w:tcPr>
          <w:p w14:paraId="1B0376BC" w14:textId="389FA5F3" w:rsidR="000E5121" w:rsidRPr="001D59BE" w:rsidRDefault="000E5121" w:rsidP="000E5121">
            <w:pPr>
              <w:jc w:val="center"/>
              <w:rPr>
                <w:rFonts w:ascii="Arial" w:hAnsi="Arial" w:cs="Arial"/>
                <w:sz w:val="20"/>
              </w:rPr>
            </w:pPr>
            <w:r>
              <w:rPr>
                <w:rFonts w:ascii="Arial" w:hAnsi="Arial" w:cs="Arial"/>
                <w:sz w:val="20"/>
              </w:rPr>
              <w:t>99.25%</w:t>
            </w:r>
          </w:p>
        </w:tc>
        <w:tc>
          <w:tcPr>
            <w:tcW w:w="1234" w:type="dxa"/>
            <w:shd w:val="clear" w:color="auto" w:fill="D9D9D9" w:themeFill="background1" w:themeFillShade="D9"/>
            <w:vAlign w:val="center"/>
          </w:tcPr>
          <w:p w14:paraId="6EEEBA53" w14:textId="0A067EFD" w:rsidR="000E5121" w:rsidRPr="00B006FB" w:rsidRDefault="000E5121" w:rsidP="000E5121">
            <w:pPr>
              <w:jc w:val="center"/>
              <w:rPr>
                <w:rFonts w:ascii="Arial" w:hAnsi="Arial" w:cs="Arial"/>
                <w:sz w:val="20"/>
              </w:rPr>
            </w:pPr>
          </w:p>
        </w:tc>
        <w:tc>
          <w:tcPr>
            <w:tcW w:w="1088" w:type="dxa"/>
            <w:shd w:val="clear" w:color="auto" w:fill="D9D9D9" w:themeFill="background1" w:themeFillShade="D9"/>
            <w:vAlign w:val="center"/>
          </w:tcPr>
          <w:p w14:paraId="576EEC8D" w14:textId="6D6AC465" w:rsidR="000E5121" w:rsidRPr="001D59BE" w:rsidRDefault="000E5121" w:rsidP="000E5121">
            <w:pPr>
              <w:jc w:val="center"/>
              <w:rPr>
                <w:rFonts w:ascii="Arial" w:hAnsi="Arial" w:cs="Arial"/>
                <w:sz w:val="20"/>
              </w:rPr>
            </w:pPr>
          </w:p>
        </w:tc>
      </w:tr>
      <w:tr w:rsidR="000E5121" w14:paraId="270814C4" w14:textId="77777777" w:rsidTr="000E5121">
        <w:trPr>
          <w:trHeight w:val="288"/>
        </w:trPr>
        <w:tc>
          <w:tcPr>
            <w:tcW w:w="2953" w:type="dxa"/>
            <w:vMerge/>
          </w:tcPr>
          <w:p w14:paraId="1F953724" w14:textId="77777777" w:rsidR="000E5121" w:rsidRPr="00646DA1" w:rsidRDefault="000E5121" w:rsidP="000E5121">
            <w:pPr>
              <w:pStyle w:val="ListParagraph"/>
              <w:numPr>
                <w:ilvl w:val="0"/>
                <w:numId w:val="5"/>
              </w:numPr>
              <w:tabs>
                <w:tab w:val="left" w:pos="2985"/>
              </w:tabs>
              <w:ind w:left="342"/>
              <w:rPr>
                <w:rFonts w:ascii="Arial" w:hAnsi="Arial" w:cs="Arial"/>
                <w:sz w:val="20"/>
              </w:rPr>
            </w:pPr>
          </w:p>
        </w:tc>
        <w:tc>
          <w:tcPr>
            <w:tcW w:w="1089" w:type="dxa"/>
            <w:shd w:val="clear" w:color="auto" w:fill="FFFFFF" w:themeFill="background1"/>
            <w:vAlign w:val="center"/>
          </w:tcPr>
          <w:p w14:paraId="3A713460" w14:textId="77777777" w:rsidR="000E5121" w:rsidRDefault="000E5121" w:rsidP="000E5121">
            <w:pPr>
              <w:jc w:val="center"/>
              <w:rPr>
                <w:rFonts w:ascii="Arial" w:hAnsi="Arial" w:cs="Arial"/>
                <w:sz w:val="20"/>
              </w:rPr>
            </w:pPr>
            <w:r>
              <w:rPr>
                <w:rFonts w:ascii="Arial" w:hAnsi="Arial" w:cs="Arial"/>
                <w:i/>
                <w:sz w:val="16"/>
                <w:szCs w:val="16"/>
              </w:rPr>
              <w:t>target</w:t>
            </w:r>
          </w:p>
        </w:tc>
        <w:tc>
          <w:tcPr>
            <w:tcW w:w="1241" w:type="dxa"/>
            <w:shd w:val="clear" w:color="auto" w:fill="FFFFFF" w:themeFill="background1"/>
            <w:vAlign w:val="center"/>
          </w:tcPr>
          <w:p w14:paraId="23F3079D" w14:textId="35673D8B" w:rsidR="000E5121" w:rsidRPr="00FE0C4E" w:rsidRDefault="000E5121" w:rsidP="000E5121">
            <w:pPr>
              <w:jc w:val="center"/>
              <w:rPr>
                <w:rFonts w:ascii="Arial" w:hAnsi="Arial" w:cs="Arial"/>
                <w:i/>
                <w:sz w:val="16"/>
                <w:szCs w:val="16"/>
              </w:rPr>
            </w:pPr>
            <w:r>
              <w:rPr>
                <w:rFonts w:ascii="Arial" w:hAnsi="Arial" w:cs="Arial"/>
                <w:i/>
                <w:sz w:val="16"/>
                <w:szCs w:val="16"/>
              </w:rPr>
              <w:t>90%</w:t>
            </w:r>
          </w:p>
        </w:tc>
        <w:tc>
          <w:tcPr>
            <w:tcW w:w="1240" w:type="dxa"/>
            <w:shd w:val="clear" w:color="auto" w:fill="FFFFFF" w:themeFill="background1"/>
            <w:vAlign w:val="center"/>
          </w:tcPr>
          <w:p w14:paraId="3D77E97A" w14:textId="54B0C49A" w:rsidR="000E5121" w:rsidRPr="00FE0C4E" w:rsidRDefault="000E5121" w:rsidP="000E5121">
            <w:pPr>
              <w:jc w:val="center"/>
              <w:rPr>
                <w:rFonts w:ascii="Arial" w:hAnsi="Arial" w:cs="Arial"/>
                <w:i/>
                <w:sz w:val="16"/>
                <w:szCs w:val="16"/>
              </w:rPr>
            </w:pPr>
            <w:r>
              <w:rPr>
                <w:rFonts w:ascii="Arial" w:hAnsi="Arial" w:cs="Arial"/>
                <w:i/>
                <w:sz w:val="16"/>
                <w:szCs w:val="16"/>
              </w:rPr>
              <w:t>90%</w:t>
            </w:r>
          </w:p>
        </w:tc>
        <w:tc>
          <w:tcPr>
            <w:tcW w:w="1235" w:type="dxa"/>
            <w:shd w:val="clear" w:color="auto" w:fill="FFFFFF" w:themeFill="background1"/>
            <w:vAlign w:val="center"/>
          </w:tcPr>
          <w:p w14:paraId="3C44C630" w14:textId="1C73303F" w:rsidR="000E5121" w:rsidRPr="00FE0C4E" w:rsidRDefault="000E5121" w:rsidP="000E5121">
            <w:pPr>
              <w:jc w:val="center"/>
              <w:rPr>
                <w:rFonts w:ascii="Arial" w:hAnsi="Arial" w:cs="Arial"/>
                <w:i/>
                <w:sz w:val="16"/>
                <w:szCs w:val="16"/>
              </w:rPr>
            </w:pPr>
            <w:r>
              <w:rPr>
                <w:rFonts w:ascii="Arial" w:hAnsi="Arial" w:cs="Arial"/>
                <w:i/>
                <w:sz w:val="16"/>
                <w:szCs w:val="16"/>
              </w:rPr>
              <w:t>90%</w:t>
            </w:r>
          </w:p>
        </w:tc>
        <w:tc>
          <w:tcPr>
            <w:tcW w:w="1234" w:type="dxa"/>
            <w:shd w:val="clear" w:color="auto" w:fill="FFFFFF" w:themeFill="background1"/>
            <w:vAlign w:val="center"/>
          </w:tcPr>
          <w:p w14:paraId="3573E340" w14:textId="0A0EB4BC" w:rsidR="000E5121" w:rsidRPr="00B006FB" w:rsidRDefault="000E5121" w:rsidP="000E5121">
            <w:pPr>
              <w:jc w:val="center"/>
              <w:rPr>
                <w:rFonts w:ascii="Arial" w:hAnsi="Arial" w:cs="Arial"/>
                <w:i/>
                <w:sz w:val="16"/>
                <w:szCs w:val="16"/>
              </w:rPr>
            </w:pPr>
            <w:r>
              <w:rPr>
                <w:rFonts w:ascii="Arial" w:hAnsi="Arial" w:cs="Arial"/>
                <w:i/>
                <w:sz w:val="16"/>
                <w:szCs w:val="16"/>
              </w:rPr>
              <w:t>90%</w:t>
            </w:r>
          </w:p>
        </w:tc>
        <w:tc>
          <w:tcPr>
            <w:tcW w:w="1088" w:type="dxa"/>
            <w:shd w:val="clear" w:color="auto" w:fill="FFFFFF" w:themeFill="background1"/>
            <w:vAlign w:val="center"/>
          </w:tcPr>
          <w:p w14:paraId="39E1D07D" w14:textId="5F6E42A8" w:rsidR="000E5121" w:rsidRPr="00FE0C4E" w:rsidRDefault="000E5121" w:rsidP="000E5121">
            <w:pPr>
              <w:jc w:val="center"/>
              <w:rPr>
                <w:rFonts w:ascii="Arial" w:hAnsi="Arial" w:cs="Arial"/>
                <w:i/>
                <w:sz w:val="16"/>
                <w:szCs w:val="16"/>
              </w:rPr>
            </w:pPr>
          </w:p>
        </w:tc>
      </w:tr>
      <w:tr w:rsidR="000E5121" w14:paraId="50F34E2E" w14:textId="77777777" w:rsidTr="000E5121">
        <w:trPr>
          <w:trHeight w:val="288"/>
        </w:trPr>
        <w:tc>
          <w:tcPr>
            <w:tcW w:w="2953" w:type="dxa"/>
            <w:vMerge w:val="restart"/>
          </w:tcPr>
          <w:p w14:paraId="7C11765F" w14:textId="77777777" w:rsidR="000E5121" w:rsidRPr="009C630F" w:rsidRDefault="000E5121" w:rsidP="000E5121">
            <w:pPr>
              <w:pStyle w:val="ListParagraph"/>
              <w:numPr>
                <w:ilvl w:val="0"/>
                <w:numId w:val="5"/>
              </w:numPr>
              <w:ind w:left="342"/>
              <w:rPr>
                <w:rFonts w:ascii="Arial" w:hAnsi="Arial" w:cs="Arial"/>
                <w:bCs/>
                <w:sz w:val="20"/>
                <w:szCs w:val="20"/>
              </w:rPr>
            </w:pPr>
            <w:r w:rsidRPr="009C630F">
              <w:rPr>
                <w:rFonts w:ascii="Arial" w:hAnsi="Arial" w:cs="Arial"/>
                <w:sz w:val="20"/>
                <w:szCs w:val="20"/>
              </w:rPr>
              <w:t>Number of satisfactory surveys of the Veterans Homes from state and federal survey agencies with no more tags issued than the federal or state average.</w:t>
            </w:r>
            <w:r>
              <w:rPr>
                <w:rFonts w:ascii="Arial" w:hAnsi="Arial" w:cs="Arial"/>
                <w:sz w:val="20"/>
                <w:szCs w:val="20"/>
              </w:rPr>
              <w:t xml:space="preserve"> Complaint surveys will be considered satisfactory if the complaint is not validated.</w:t>
            </w:r>
          </w:p>
        </w:tc>
        <w:tc>
          <w:tcPr>
            <w:tcW w:w="1089" w:type="dxa"/>
            <w:shd w:val="clear" w:color="auto" w:fill="D9D9D9" w:themeFill="background1" w:themeFillShade="D9"/>
            <w:vAlign w:val="center"/>
          </w:tcPr>
          <w:p w14:paraId="44F70C2E" w14:textId="77777777" w:rsidR="000E5121" w:rsidRPr="001D59BE" w:rsidRDefault="000E5121" w:rsidP="000E5121">
            <w:pPr>
              <w:jc w:val="center"/>
              <w:rPr>
                <w:rFonts w:ascii="Arial" w:hAnsi="Arial" w:cs="Arial"/>
                <w:sz w:val="20"/>
              </w:rPr>
            </w:pPr>
            <w:r w:rsidRPr="001D59BE">
              <w:rPr>
                <w:rFonts w:ascii="Arial" w:hAnsi="Arial" w:cs="Arial"/>
                <w:sz w:val="20"/>
              </w:rPr>
              <w:t>actual</w:t>
            </w:r>
          </w:p>
        </w:tc>
        <w:tc>
          <w:tcPr>
            <w:tcW w:w="1241" w:type="dxa"/>
            <w:shd w:val="clear" w:color="auto" w:fill="D9D9D9" w:themeFill="background1" w:themeFillShade="D9"/>
            <w:vAlign w:val="center"/>
          </w:tcPr>
          <w:p w14:paraId="180563AA" w14:textId="77777777" w:rsidR="000E5121" w:rsidRDefault="000E5121" w:rsidP="000E5121">
            <w:pPr>
              <w:jc w:val="center"/>
              <w:rPr>
                <w:rFonts w:ascii="Arial" w:hAnsi="Arial" w:cs="Arial"/>
                <w:sz w:val="20"/>
              </w:rPr>
            </w:pPr>
            <w:r>
              <w:rPr>
                <w:rFonts w:ascii="Arial" w:hAnsi="Arial" w:cs="Arial"/>
                <w:sz w:val="20"/>
              </w:rPr>
              <w:t>5</w:t>
            </w:r>
          </w:p>
          <w:p w14:paraId="5AC142A3" w14:textId="21CD2117" w:rsidR="000E5121" w:rsidRPr="002237AF" w:rsidRDefault="000E5121" w:rsidP="000E5121">
            <w:pPr>
              <w:jc w:val="center"/>
              <w:rPr>
                <w:rFonts w:ascii="Arial" w:hAnsi="Arial" w:cs="Arial"/>
                <w:sz w:val="20"/>
                <w:szCs w:val="20"/>
                <w:highlight w:val="lightGray"/>
              </w:rPr>
            </w:pPr>
            <w:r>
              <w:rPr>
                <w:rFonts w:ascii="Arial" w:hAnsi="Arial" w:cs="Arial"/>
                <w:sz w:val="20"/>
              </w:rPr>
              <w:t>100%</w:t>
            </w:r>
          </w:p>
        </w:tc>
        <w:tc>
          <w:tcPr>
            <w:tcW w:w="1240" w:type="dxa"/>
            <w:shd w:val="clear" w:color="auto" w:fill="D9D9D9" w:themeFill="background1" w:themeFillShade="D9"/>
            <w:vAlign w:val="center"/>
          </w:tcPr>
          <w:p w14:paraId="557B28E6" w14:textId="77777777" w:rsidR="000E5121" w:rsidRDefault="000E5121" w:rsidP="000E5121">
            <w:pPr>
              <w:jc w:val="center"/>
              <w:rPr>
                <w:rFonts w:ascii="Arial" w:hAnsi="Arial" w:cs="Arial"/>
                <w:sz w:val="20"/>
              </w:rPr>
            </w:pPr>
            <w:r>
              <w:rPr>
                <w:rFonts w:ascii="Arial" w:hAnsi="Arial" w:cs="Arial"/>
                <w:sz w:val="20"/>
              </w:rPr>
              <w:t>7</w:t>
            </w:r>
          </w:p>
          <w:p w14:paraId="3199D9B8" w14:textId="70DCEC93" w:rsidR="000E5121" w:rsidRPr="001D59BE" w:rsidRDefault="000E5121" w:rsidP="000E5121">
            <w:pPr>
              <w:jc w:val="center"/>
              <w:rPr>
                <w:rFonts w:ascii="Arial" w:hAnsi="Arial" w:cs="Arial"/>
                <w:sz w:val="20"/>
              </w:rPr>
            </w:pPr>
            <w:r>
              <w:rPr>
                <w:rFonts w:ascii="Arial" w:hAnsi="Arial" w:cs="Arial"/>
                <w:sz w:val="20"/>
              </w:rPr>
              <w:t>100%</w:t>
            </w:r>
          </w:p>
        </w:tc>
        <w:tc>
          <w:tcPr>
            <w:tcW w:w="1235" w:type="dxa"/>
            <w:shd w:val="clear" w:color="auto" w:fill="D9D9D9" w:themeFill="background1" w:themeFillShade="D9"/>
            <w:vAlign w:val="center"/>
          </w:tcPr>
          <w:p w14:paraId="666CA841" w14:textId="77777777" w:rsidR="000E5121" w:rsidRPr="00927BAF" w:rsidRDefault="000E5121" w:rsidP="000E5121">
            <w:pPr>
              <w:jc w:val="center"/>
              <w:rPr>
                <w:rFonts w:ascii="Arial" w:hAnsi="Arial" w:cs="Arial"/>
                <w:sz w:val="20"/>
              </w:rPr>
            </w:pPr>
            <w:r w:rsidRPr="00927BAF">
              <w:rPr>
                <w:rFonts w:ascii="Arial" w:hAnsi="Arial" w:cs="Arial"/>
                <w:sz w:val="20"/>
              </w:rPr>
              <w:t>6</w:t>
            </w:r>
          </w:p>
          <w:p w14:paraId="6568F90E" w14:textId="717FB255" w:rsidR="000E5121" w:rsidRPr="001D59BE" w:rsidRDefault="000E5121" w:rsidP="000E5121">
            <w:pPr>
              <w:jc w:val="center"/>
              <w:rPr>
                <w:rFonts w:ascii="Arial" w:hAnsi="Arial" w:cs="Arial"/>
                <w:sz w:val="20"/>
              </w:rPr>
            </w:pPr>
            <w:r>
              <w:rPr>
                <w:rFonts w:ascii="Arial" w:hAnsi="Arial" w:cs="Arial"/>
                <w:sz w:val="20"/>
              </w:rPr>
              <w:t>100%</w:t>
            </w:r>
          </w:p>
        </w:tc>
        <w:tc>
          <w:tcPr>
            <w:tcW w:w="1234" w:type="dxa"/>
            <w:shd w:val="clear" w:color="auto" w:fill="D9D9D9" w:themeFill="background1" w:themeFillShade="D9"/>
            <w:vAlign w:val="center"/>
          </w:tcPr>
          <w:p w14:paraId="134581A9" w14:textId="3A3E8EBE" w:rsidR="000E5121" w:rsidRPr="00B006FB" w:rsidRDefault="000E5121" w:rsidP="000E5121">
            <w:pPr>
              <w:jc w:val="center"/>
              <w:rPr>
                <w:rFonts w:ascii="Arial" w:hAnsi="Arial" w:cs="Arial"/>
                <w:sz w:val="20"/>
              </w:rPr>
            </w:pPr>
          </w:p>
        </w:tc>
        <w:tc>
          <w:tcPr>
            <w:tcW w:w="1088" w:type="dxa"/>
            <w:shd w:val="clear" w:color="auto" w:fill="D9D9D9" w:themeFill="background1" w:themeFillShade="D9"/>
            <w:vAlign w:val="center"/>
          </w:tcPr>
          <w:p w14:paraId="6C8BF999" w14:textId="213CC2BB" w:rsidR="000E5121" w:rsidRPr="001D59BE" w:rsidRDefault="000E5121" w:rsidP="000E5121">
            <w:pPr>
              <w:jc w:val="center"/>
              <w:rPr>
                <w:rFonts w:ascii="Arial" w:hAnsi="Arial" w:cs="Arial"/>
                <w:sz w:val="20"/>
              </w:rPr>
            </w:pPr>
          </w:p>
        </w:tc>
      </w:tr>
      <w:tr w:rsidR="000E5121" w14:paraId="3591622D" w14:textId="77777777" w:rsidTr="000E5121">
        <w:trPr>
          <w:trHeight w:val="288"/>
        </w:trPr>
        <w:tc>
          <w:tcPr>
            <w:tcW w:w="2953" w:type="dxa"/>
            <w:vMerge/>
          </w:tcPr>
          <w:p w14:paraId="210B0E42" w14:textId="77777777" w:rsidR="000E5121" w:rsidRPr="00646DA1" w:rsidRDefault="000E5121" w:rsidP="000E5121">
            <w:pPr>
              <w:pStyle w:val="ListParagraph"/>
              <w:numPr>
                <w:ilvl w:val="0"/>
                <w:numId w:val="5"/>
              </w:numPr>
              <w:tabs>
                <w:tab w:val="left" w:pos="2985"/>
              </w:tabs>
              <w:ind w:left="342"/>
              <w:rPr>
                <w:rFonts w:ascii="Arial" w:hAnsi="Arial" w:cs="Arial"/>
                <w:sz w:val="20"/>
              </w:rPr>
            </w:pPr>
          </w:p>
        </w:tc>
        <w:tc>
          <w:tcPr>
            <w:tcW w:w="1089" w:type="dxa"/>
            <w:shd w:val="clear" w:color="auto" w:fill="FFFFFF" w:themeFill="background1"/>
            <w:vAlign w:val="center"/>
          </w:tcPr>
          <w:p w14:paraId="402EC1C2" w14:textId="77777777" w:rsidR="000E5121" w:rsidRDefault="000E5121" w:rsidP="000E5121">
            <w:pPr>
              <w:jc w:val="center"/>
              <w:rPr>
                <w:rFonts w:ascii="Arial" w:hAnsi="Arial" w:cs="Arial"/>
                <w:sz w:val="20"/>
              </w:rPr>
            </w:pPr>
            <w:r>
              <w:rPr>
                <w:rFonts w:ascii="Arial" w:hAnsi="Arial" w:cs="Arial"/>
                <w:i/>
                <w:sz w:val="16"/>
                <w:szCs w:val="16"/>
              </w:rPr>
              <w:t>target</w:t>
            </w:r>
          </w:p>
        </w:tc>
        <w:tc>
          <w:tcPr>
            <w:tcW w:w="1241" w:type="dxa"/>
            <w:shd w:val="clear" w:color="auto" w:fill="FFFFFF" w:themeFill="background1"/>
            <w:vAlign w:val="center"/>
          </w:tcPr>
          <w:p w14:paraId="5CCC09C4" w14:textId="749D9F8C" w:rsidR="000E5121" w:rsidRPr="00FE0C4E" w:rsidRDefault="000E5121" w:rsidP="000E5121">
            <w:pPr>
              <w:jc w:val="center"/>
              <w:rPr>
                <w:rFonts w:ascii="Arial" w:hAnsi="Arial" w:cs="Arial"/>
                <w:i/>
                <w:sz w:val="16"/>
                <w:szCs w:val="16"/>
              </w:rPr>
            </w:pPr>
            <w:r>
              <w:rPr>
                <w:rFonts w:ascii="Arial" w:hAnsi="Arial" w:cs="Arial"/>
                <w:i/>
                <w:sz w:val="16"/>
                <w:szCs w:val="16"/>
              </w:rPr>
              <w:t>100%</w:t>
            </w:r>
          </w:p>
        </w:tc>
        <w:tc>
          <w:tcPr>
            <w:tcW w:w="1240" w:type="dxa"/>
            <w:shd w:val="clear" w:color="auto" w:fill="FFFFFF" w:themeFill="background1"/>
            <w:vAlign w:val="center"/>
          </w:tcPr>
          <w:p w14:paraId="1A9F7953" w14:textId="5DFEABB4" w:rsidR="000E5121" w:rsidRPr="00FE0C4E" w:rsidRDefault="000E5121" w:rsidP="000E5121">
            <w:pPr>
              <w:jc w:val="center"/>
              <w:rPr>
                <w:rFonts w:ascii="Arial" w:hAnsi="Arial" w:cs="Arial"/>
                <w:i/>
                <w:sz w:val="16"/>
                <w:szCs w:val="16"/>
              </w:rPr>
            </w:pPr>
            <w:r>
              <w:rPr>
                <w:rFonts w:ascii="Arial" w:hAnsi="Arial" w:cs="Arial"/>
                <w:i/>
                <w:sz w:val="16"/>
                <w:szCs w:val="16"/>
              </w:rPr>
              <w:t>100%</w:t>
            </w:r>
          </w:p>
        </w:tc>
        <w:tc>
          <w:tcPr>
            <w:tcW w:w="1235" w:type="dxa"/>
            <w:shd w:val="clear" w:color="auto" w:fill="FFFFFF" w:themeFill="background1"/>
            <w:vAlign w:val="center"/>
          </w:tcPr>
          <w:p w14:paraId="72FE25D0" w14:textId="0E0DFD53" w:rsidR="000E5121" w:rsidRPr="00FE0C4E" w:rsidRDefault="000E5121" w:rsidP="000E5121">
            <w:pPr>
              <w:jc w:val="center"/>
              <w:rPr>
                <w:rFonts w:ascii="Arial" w:hAnsi="Arial" w:cs="Arial"/>
                <w:i/>
                <w:sz w:val="16"/>
                <w:szCs w:val="16"/>
              </w:rPr>
            </w:pPr>
            <w:r>
              <w:rPr>
                <w:rFonts w:ascii="Arial" w:hAnsi="Arial" w:cs="Arial"/>
                <w:i/>
                <w:sz w:val="16"/>
                <w:szCs w:val="16"/>
              </w:rPr>
              <w:t>100%</w:t>
            </w:r>
          </w:p>
        </w:tc>
        <w:tc>
          <w:tcPr>
            <w:tcW w:w="1234" w:type="dxa"/>
            <w:shd w:val="clear" w:color="auto" w:fill="FFFFFF" w:themeFill="background1"/>
            <w:vAlign w:val="center"/>
          </w:tcPr>
          <w:p w14:paraId="1AFD9367" w14:textId="49BBFFF7" w:rsidR="000E5121" w:rsidRPr="00B006FB" w:rsidRDefault="000E5121" w:rsidP="000E5121">
            <w:pPr>
              <w:jc w:val="center"/>
              <w:rPr>
                <w:rFonts w:ascii="Arial" w:hAnsi="Arial" w:cs="Arial"/>
                <w:i/>
                <w:sz w:val="16"/>
                <w:szCs w:val="16"/>
              </w:rPr>
            </w:pPr>
            <w:r>
              <w:rPr>
                <w:rFonts w:ascii="Arial" w:hAnsi="Arial" w:cs="Arial"/>
                <w:i/>
                <w:sz w:val="16"/>
                <w:szCs w:val="16"/>
              </w:rPr>
              <w:t>100%</w:t>
            </w:r>
          </w:p>
        </w:tc>
        <w:tc>
          <w:tcPr>
            <w:tcW w:w="1088" w:type="dxa"/>
            <w:shd w:val="clear" w:color="auto" w:fill="FFFFFF" w:themeFill="background1"/>
            <w:vAlign w:val="center"/>
          </w:tcPr>
          <w:p w14:paraId="0D0C8D32" w14:textId="1F149022" w:rsidR="000E5121" w:rsidRPr="00FE0C4E" w:rsidRDefault="000E5121" w:rsidP="000E5121">
            <w:pPr>
              <w:jc w:val="center"/>
              <w:rPr>
                <w:rFonts w:ascii="Arial" w:hAnsi="Arial" w:cs="Arial"/>
                <w:i/>
                <w:sz w:val="16"/>
                <w:szCs w:val="16"/>
              </w:rPr>
            </w:pPr>
          </w:p>
        </w:tc>
      </w:tr>
      <w:tr w:rsidR="000E5121" w14:paraId="6CC2304C" w14:textId="77777777" w:rsidTr="000E5121">
        <w:trPr>
          <w:trHeight w:val="288"/>
        </w:trPr>
        <w:tc>
          <w:tcPr>
            <w:tcW w:w="2953" w:type="dxa"/>
            <w:vMerge w:val="restart"/>
          </w:tcPr>
          <w:p w14:paraId="257015DE" w14:textId="5D3FF0C1" w:rsidR="000E5121" w:rsidRPr="009C630F" w:rsidRDefault="000E5121" w:rsidP="000E5121">
            <w:pPr>
              <w:pStyle w:val="ListParagraph"/>
              <w:numPr>
                <w:ilvl w:val="0"/>
                <w:numId w:val="5"/>
              </w:numPr>
              <w:ind w:left="342"/>
              <w:rPr>
                <w:rFonts w:ascii="Arial" w:hAnsi="Arial" w:cs="Arial"/>
                <w:bCs/>
                <w:sz w:val="20"/>
                <w:szCs w:val="20"/>
              </w:rPr>
            </w:pPr>
            <w:r>
              <w:rPr>
                <w:rFonts w:ascii="Arial" w:hAnsi="Arial" w:cs="Arial"/>
                <w:sz w:val="20"/>
                <w:szCs w:val="20"/>
              </w:rPr>
              <w:t xml:space="preserve">Percent of occupied beds in </w:t>
            </w:r>
            <w:r w:rsidRPr="009C630F">
              <w:rPr>
                <w:rFonts w:ascii="Arial" w:hAnsi="Arial" w:cs="Arial"/>
                <w:sz w:val="20"/>
                <w:szCs w:val="20"/>
              </w:rPr>
              <w:t>Veterans Homes.</w:t>
            </w:r>
          </w:p>
        </w:tc>
        <w:tc>
          <w:tcPr>
            <w:tcW w:w="1089" w:type="dxa"/>
            <w:shd w:val="clear" w:color="auto" w:fill="D9D9D9" w:themeFill="background1" w:themeFillShade="D9"/>
            <w:vAlign w:val="center"/>
          </w:tcPr>
          <w:p w14:paraId="58039DFE" w14:textId="77777777" w:rsidR="000E5121" w:rsidRPr="001D59BE" w:rsidRDefault="000E5121" w:rsidP="000E5121">
            <w:pPr>
              <w:jc w:val="center"/>
              <w:rPr>
                <w:rFonts w:ascii="Arial" w:hAnsi="Arial" w:cs="Arial"/>
                <w:sz w:val="20"/>
              </w:rPr>
            </w:pPr>
            <w:r w:rsidRPr="001D59BE">
              <w:rPr>
                <w:rFonts w:ascii="Arial" w:hAnsi="Arial" w:cs="Arial"/>
                <w:sz w:val="20"/>
              </w:rPr>
              <w:t>actual</w:t>
            </w:r>
          </w:p>
        </w:tc>
        <w:tc>
          <w:tcPr>
            <w:tcW w:w="1241" w:type="dxa"/>
            <w:shd w:val="clear" w:color="auto" w:fill="D9D9D9" w:themeFill="background1" w:themeFillShade="D9"/>
            <w:vAlign w:val="center"/>
          </w:tcPr>
          <w:p w14:paraId="1DD109E5" w14:textId="54706CC3" w:rsidR="000E5121" w:rsidRPr="002237AF" w:rsidRDefault="000E5121" w:rsidP="000E5121">
            <w:pPr>
              <w:jc w:val="center"/>
              <w:rPr>
                <w:rFonts w:ascii="Arial" w:hAnsi="Arial" w:cs="Arial"/>
                <w:sz w:val="20"/>
                <w:szCs w:val="20"/>
                <w:highlight w:val="lightGray"/>
              </w:rPr>
            </w:pPr>
            <w:r w:rsidRPr="005035BA">
              <w:rPr>
                <w:rFonts w:ascii="Arial" w:hAnsi="Arial" w:cs="Arial"/>
                <w:sz w:val="20"/>
              </w:rPr>
              <w:t>6</w:t>
            </w:r>
            <w:r>
              <w:rPr>
                <w:rFonts w:ascii="Arial" w:hAnsi="Arial" w:cs="Arial"/>
                <w:sz w:val="20"/>
              </w:rPr>
              <w:t>7.4</w:t>
            </w:r>
            <w:r w:rsidRPr="005035BA">
              <w:rPr>
                <w:rFonts w:ascii="Arial" w:hAnsi="Arial" w:cs="Arial"/>
                <w:sz w:val="20"/>
              </w:rPr>
              <w:t>%</w:t>
            </w:r>
          </w:p>
        </w:tc>
        <w:tc>
          <w:tcPr>
            <w:tcW w:w="1240" w:type="dxa"/>
            <w:shd w:val="clear" w:color="auto" w:fill="D9D9D9" w:themeFill="background1" w:themeFillShade="D9"/>
            <w:vAlign w:val="center"/>
          </w:tcPr>
          <w:p w14:paraId="777549E4" w14:textId="78095079" w:rsidR="000E5121" w:rsidRPr="001D59BE" w:rsidRDefault="000E5121" w:rsidP="000E5121">
            <w:pPr>
              <w:jc w:val="center"/>
              <w:rPr>
                <w:rFonts w:ascii="Arial" w:hAnsi="Arial" w:cs="Arial"/>
                <w:sz w:val="20"/>
              </w:rPr>
            </w:pPr>
            <w:r>
              <w:rPr>
                <w:rFonts w:ascii="Arial" w:hAnsi="Arial" w:cs="Arial"/>
                <w:sz w:val="20"/>
              </w:rPr>
              <w:t>57.1%</w:t>
            </w:r>
          </w:p>
        </w:tc>
        <w:tc>
          <w:tcPr>
            <w:tcW w:w="1235" w:type="dxa"/>
            <w:shd w:val="clear" w:color="auto" w:fill="D9D9D9" w:themeFill="background1" w:themeFillShade="D9"/>
            <w:vAlign w:val="center"/>
          </w:tcPr>
          <w:p w14:paraId="69A09667" w14:textId="186137C8" w:rsidR="000E5121" w:rsidRPr="001D59BE" w:rsidRDefault="000E5121" w:rsidP="000E5121">
            <w:pPr>
              <w:jc w:val="center"/>
              <w:rPr>
                <w:rFonts w:ascii="Arial" w:hAnsi="Arial" w:cs="Arial"/>
                <w:sz w:val="20"/>
              </w:rPr>
            </w:pPr>
            <w:r>
              <w:rPr>
                <w:rFonts w:ascii="Arial" w:hAnsi="Arial" w:cs="Arial"/>
                <w:sz w:val="20"/>
              </w:rPr>
              <w:t>73.7%</w:t>
            </w:r>
          </w:p>
        </w:tc>
        <w:tc>
          <w:tcPr>
            <w:tcW w:w="1234" w:type="dxa"/>
            <w:shd w:val="clear" w:color="auto" w:fill="D9D9D9" w:themeFill="background1" w:themeFillShade="D9"/>
            <w:vAlign w:val="center"/>
          </w:tcPr>
          <w:p w14:paraId="50B6E0E2" w14:textId="1C047223" w:rsidR="000E5121" w:rsidRPr="00B006FB" w:rsidRDefault="000E5121" w:rsidP="000E5121">
            <w:pPr>
              <w:jc w:val="center"/>
              <w:rPr>
                <w:rFonts w:ascii="Arial" w:hAnsi="Arial" w:cs="Arial"/>
                <w:sz w:val="20"/>
              </w:rPr>
            </w:pPr>
          </w:p>
        </w:tc>
        <w:tc>
          <w:tcPr>
            <w:tcW w:w="1088" w:type="dxa"/>
            <w:shd w:val="clear" w:color="auto" w:fill="D9D9D9" w:themeFill="background1" w:themeFillShade="D9"/>
            <w:vAlign w:val="center"/>
          </w:tcPr>
          <w:p w14:paraId="12DE146C" w14:textId="22A16542" w:rsidR="000E5121" w:rsidRPr="001D59BE" w:rsidRDefault="000E5121" w:rsidP="000E5121">
            <w:pPr>
              <w:jc w:val="center"/>
              <w:rPr>
                <w:rFonts w:ascii="Arial" w:hAnsi="Arial" w:cs="Arial"/>
                <w:sz w:val="20"/>
              </w:rPr>
            </w:pPr>
          </w:p>
        </w:tc>
      </w:tr>
      <w:tr w:rsidR="000E5121" w14:paraId="7F5DC01C" w14:textId="77777777" w:rsidTr="000E5121">
        <w:trPr>
          <w:trHeight w:val="288"/>
        </w:trPr>
        <w:tc>
          <w:tcPr>
            <w:tcW w:w="2953" w:type="dxa"/>
            <w:vMerge/>
          </w:tcPr>
          <w:p w14:paraId="70C3D53C" w14:textId="77777777" w:rsidR="000E5121" w:rsidRPr="00646DA1" w:rsidRDefault="000E5121" w:rsidP="000E5121">
            <w:pPr>
              <w:pStyle w:val="ListParagraph"/>
              <w:numPr>
                <w:ilvl w:val="0"/>
                <w:numId w:val="5"/>
              </w:numPr>
              <w:tabs>
                <w:tab w:val="left" w:pos="2985"/>
              </w:tabs>
              <w:ind w:left="342"/>
              <w:rPr>
                <w:rFonts w:ascii="Arial" w:hAnsi="Arial" w:cs="Arial"/>
                <w:sz w:val="20"/>
              </w:rPr>
            </w:pPr>
          </w:p>
        </w:tc>
        <w:tc>
          <w:tcPr>
            <w:tcW w:w="1089" w:type="dxa"/>
            <w:shd w:val="clear" w:color="auto" w:fill="FFFFFF" w:themeFill="background1"/>
            <w:vAlign w:val="center"/>
          </w:tcPr>
          <w:p w14:paraId="23D841EE" w14:textId="77777777" w:rsidR="000E5121" w:rsidRDefault="000E5121" w:rsidP="000E5121">
            <w:pPr>
              <w:jc w:val="center"/>
              <w:rPr>
                <w:rFonts w:ascii="Arial" w:hAnsi="Arial" w:cs="Arial"/>
                <w:sz w:val="20"/>
              </w:rPr>
            </w:pPr>
            <w:r>
              <w:rPr>
                <w:rFonts w:ascii="Arial" w:hAnsi="Arial" w:cs="Arial"/>
                <w:i/>
                <w:sz w:val="16"/>
                <w:szCs w:val="16"/>
              </w:rPr>
              <w:t>target</w:t>
            </w:r>
          </w:p>
        </w:tc>
        <w:tc>
          <w:tcPr>
            <w:tcW w:w="1241" w:type="dxa"/>
            <w:shd w:val="clear" w:color="auto" w:fill="FFFFFF" w:themeFill="background1"/>
            <w:vAlign w:val="center"/>
          </w:tcPr>
          <w:p w14:paraId="3A6606ED" w14:textId="446AF99B" w:rsidR="000E5121" w:rsidRPr="0089244D" w:rsidRDefault="000E5121" w:rsidP="000E5121">
            <w:pPr>
              <w:jc w:val="center"/>
              <w:rPr>
                <w:rFonts w:ascii="Arial" w:hAnsi="Arial" w:cs="Arial"/>
                <w:i/>
                <w:sz w:val="16"/>
                <w:szCs w:val="16"/>
              </w:rPr>
            </w:pPr>
            <w:r>
              <w:rPr>
                <w:rFonts w:ascii="Arial" w:hAnsi="Arial" w:cs="Arial"/>
                <w:i/>
                <w:sz w:val="16"/>
                <w:szCs w:val="16"/>
              </w:rPr>
              <w:t>88%</w:t>
            </w:r>
          </w:p>
        </w:tc>
        <w:tc>
          <w:tcPr>
            <w:tcW w:w="1240" w:type="dxa"/>
            <w:shd w:val="clear" w:color="auto" w:fill="FFFFFF" w:themeFill="background1"/>
            <w:vAlign w:val="center"/>
          </w:tcPr>
          <w:p w14:paraId="7724862A" w14:textId="56F69163" w:rsidR="000E5121" w:rsidRPr="0089244D" w:rsidRDefault="000E5121" w:rsidP="000E5121">
            <w:pPr>
              <w:jc w:val="center"/>
              <w:rPr>
                <w:rFonts w:ascii="Arial" w:hAnsi="Arial" w:cs="Arial"/>
                <w:i/>
                <w:sz w:val="16"/>
                <w:szCs w:val="16"/>
              </w:rPr>
            </w:pPr>
            <w:r>
              <w:rPr>
                <w:rFonts w:ascii="Arial" w:hAnsi="Arial" w:cs="Arial"/>
                <w:i/>
                <w:sz w:val="16"/>
                <w:szCs w:val="16"/>
              </w:rPr>
              <w:t>88%</w:t>
            </w:r>
          </w:p>
        </w:tc>
        <w:tc>
          <w:tcPr>
            <w:tcW w:w="1235" w:type="dxa"/>
            <w:shd w:val="clear" w:color="auto" w:fill="FFFFFF" w:themeFill="background1"/>
            <w:vAlign w:val="center"/>
          </w:tcPr>
          <w:p w14:paraId="4F3BF1D1" w14:textId="4C347A40" w:rsidR="000E5121" w:rsidRPr="0089244D" w:rsidRDefault="000E5121" w:rsidP="000E5121">
            <w:pPr>
              <w:jc w:val="center"/>
              <w:rPr>
                <w:rFonts w:ascii="Arial" w:hAnsi="Arial" w:cs="Arial"/>
                <w:i/>
                <w:sz w:val="16"/>
                <w:szCs w:val="16"/>
              </w:rPr>
            </w:pPr>
            <w:r>
              <w:rPr>
                <w:rFonts w:ascii="Arial" w:hAnsi="Arial" w:cs="Arial"/>
                <w:i/>
                <w:sz w:val="16"/>
                <w:szCs w:val="16"/>
              </w:rPr>
              <w:t>88%</w:t>
            </w:r>
          </w:p>
        </w:tc>
        <w:tc>
          <w:tcPr>
            <w:tcW w:w="1234" w:type="dxa"/>
            <w:shd w:val="clear" w:color="auto" w:fill="FFFFFF" w:themeFill="background1"/>
            <w:vAlign w:val="center"/>
          </w:tcPr>
          <w:p w14:paraId="49B8C2CE" w14:textId="1442C9B0" w:rsidR="000E5121" w:rsidRPr="00B006FB" w:rsidRDefault="000E5121" w:rsidP="000E5121">
            <w:pPr>
              <w:jc w:val="center"/>
              <w:rPr>
                <w:rFonts w:ascii="Arial" w:hAnsi="Arial" w:cs="Arial"/>
                <w:i/>
                <w:sz w:val="16"/>
                <w:szCs w:val="16"/>
              </w:rPr>
            </w:pPr>
            <w:r>
              <w:rPr>
                <w:rFonts w:ascii="Arial" w:hAnsi="Arial" w:cs="Arial"/>
                <w:i/>
                <w:sz w:val="16"/>
                <w:szCs w:val="16"/>
              </w:rPr>
              <w:t>88%</w:t>
            </w:r>
          </w:p>
        </w:tc>
        <w:tc>
          <w:tcPr>
            <w:tcW w:w="1088" w:type="dxa"/>
            <w:shd w:val="clear" w:color="auto" w:fill="FFFFFF" w:themeFill="background1"/>
            <w:vAlign w:val="center"/>
          </w:tcPr>
          <w:p w14:paraId="5016378B" w14:textId="405574EF" w:rsidR="000E5121" w:rsidRPr="0089244D" w:rsidRDefault="000E5121" w:rsidP="000E5121">
            <w:pPr>
              <w:jc w:val="center"/>
              <w:rPr>
                <w:rFonts w:ascii="Arial" w:hAnsi="Arial" w:cs="Arial"/>
                <w:i/>
                <w:sz w:val="16"/>
                <w:szCs w:val="16"/>
              </w:rPr>
            </w:pPr>
          </w:p>
        </w:tc>
      </w:tr>
      <w:tr w:rsidR="000E5121" w:rsidRPr="00711080" w14:paraId="6C39BC03" w14:textId="77777777" w:rsidTr="00C92C59">
        <w:trPr>
          <w:trHeight w:val="323"/>
        </w:trPr>
        <w:tc>
          <w:tcPr>
            <w:tcW w:w="10080" w:type="dxa"/>
            <w:gridSpan w:val="7"/>
            <w:shd w:val="clear" w:color="auto" w:fill="DBE5F1" w:themeFill="accent1" w:themeFillTint="33"/>
            <w:vAlign w:val="center"/>
          </w:tcPr>
          <w:p w14:paraId="4A9FF299" w14:textId="77777777" w:rsidR="000E5121" w:rsidRPr="00B006FB" w:rsidRDefault="000E5121" w:rsidP="000E5121">
            <w:pPr>
              <w:keepNext/>
              <w:jc w:val="center"/>
              <w:rPr>
                <w:rFonts w:ascii="Arial" w:hAnsi="Arial" w:cs="Arial"/>
                <w:b/>
                <w:sz w:val="20"/>
                <w:szCs w:val="20"/>
              </w:rPr>
            </w:pPr>
            <w:r w:rsidRPr="00B006FB">
              <w:rPr>
                <w:rFonts w:ascii="Arial" w:hAnsi="Arial" w:cs="Arial"/>
                <w:b/>
                <w:sz w:val="20"/>
                <w:szCs w:val="20"/>
              </w:rPr>
              <w:t>Goal 3</w:t>
            </w:r>
          </w:p>
          <w:p w14:paraId="752ABE4E" w14:textId="77777777" w:rsidR="000E5121" w:rsidRPr="00B006FB" w:rsidRDefault="000E5121" w:rsidP="000E5121">
            <w:pPr>
              <w:pStyle w:val="firstlevel"/>
              <w:numPr>
                <w:ilvl w:val="0"/>
                <w:numId w:val="0"/>
              </w:numPr>
              <w:spacing w:before="0"/>
              <w:ind w:left="162"/>
              <w:jc w:val="left"/>
              <w:rPr>
                <w:b w:val="0"/>
                <w:i/>
                <w:color w:val="auto"/>
                <w:sz w:val="20"/>
                <w:szCs w:val="20"/>
              </w:rPr>
            </w:pPr>
            <w:r w:rsidRPr="00B006FB">
              <w:rPr>
                <w:rStyle w:val="firstlevelChar"/>
                <w:i/>
                <w:color w:val="auto"/>
                <w:sz w:val="20"/>
                <w:szCs w:val="20"/>
              </w:rPr>
              <w:t>Honor Idaho Veterans and their families with respectful interment</w:t>
            </w:r>
            <w:r w:rsidRPr="00B006FB">
              <w:rPr>
                <w:b w:val="0"/>
                <w:i/>
                <w:color w:val="auto"/>
                <w:sz w:val="20"/>
                <w:szCs w:val="20"/>
              </w:rPr>
              <w:t xml:space="preserve"> services in a dignified final resting place by:</w:t>
            </w:r>
          </w:p>
          <w:p w14:paraId="03D3B7AB" w14:textId="77777777" w:rsidR="000E5121" w:rsidRPr="00B006FB" w:rsidRDefault="000E5121" w:rsidP="000E5121">
            <w:pPr>
              <w:pStyle w:val="secondlevel"/>
              <w:numPr>
                <w:ilvl w:val="1"/>
                <w:numId w:val="12"/>
              </w:numPr>
              <w:spacing w:before="0"/>
              <w:ind w:right="396"/>
              <w:rPr>
                <w:color w:val="auto"/>
              </w:rPr>
            </w:pPr>
            <w:r w:rsidRPr="00B006FB">
              <w:rPr>
                <w:b w:val="0"/>
                <w:i/>
                <w:color w:val="auto"/>
                <w:sz w:val="20"/>
                <w:szCs w:val="20"/>
              </w:rPr>
              <w:t>Operating the Idaho State Veterans’ Cemetery in compliance with the national cemetery program.</w:t>
            </w:r>
          </w:p>
        </w:tc>
      </w:tr>
      <w:tr w:rsidR="000E5121" w:rsidRPr="001D59BE" w14:paraId="4378F000" w14:textId="77777777" w:rsidTr="000E5121">
        <w:trPr>
          <w:trHeight w:val="288"/>
        </w:trPr>
        <w:tc>
          <w:tcPr>
            <w:tcW w:w="2953" w:type="dxa"/>
            <w:vMerge w:val="restart"/>
          </w:tcPr>
          <w:p w14:paraId="7DEEB553" w14:textId="77777777" w:rsidR="000E5121" w:rsidRPr="00F02905" w:rsidRDefault="000E5121" w:rsidP="000E5121">
            <w:pPr>
              <w:pStyle w:val="ListParagraph"/>
              <w:keepNext/>
              <w:numPr>
                <w:ilvl w:val="0"/>
                <w:numId w:val="5"/>
              </w:numPr>
              <w:ind w:left="346"/>
              <w:rPr>
                <w:rFonts w:ascii="Arial" w:hAnsi="Arial" w:cs="Arial"/>
                <w:bCs/>
                <w:sz w:val="20"/>
              </w:rPr>
            </w:pPr>
            <w:bookmarkStart w:id="3" w:name="_Hlk49333392"/>
            <w:r w:rsidRPr="00F02905">
              <w:rPr>
                <w:rFonts w:ascii="Arial" w:hAnsi="Arial" w:cs="Arial"/>
                <w:sz w:val="20"/>
                <w:szCs w:val="20"/>
              </w:rPr>
              <w:t xml:space="preserve">Percent </w:t>
            </w:r>
            <w:proofErr w:type="gramStart"/>
            <w:r w:rsidRPr="00F02905">
              <w:rPr>
                <w:rFonts w:ascii="Arial" w:hAnsi="Arial" w:cs="Arial"/>
                <w:sz w:val="20"/>
                <w:szCs w:val="20"/>
              </w:rPr>
              <w:t>of</w:t>
            </w:r>
            <w:proofErr w:type="gramEnd"/>
            <w:r w:rsidRPr="00F02905">
              <w:rPr>
                <w:rFonts w:ascii="Arial" w:hAnsi="Arial" w:cs="Arial"/>
                <w:sz w:val="20"/>
                <w:szCs w:val="20"/>
              </w:rPr>
              <w:t xml:space="preserve"> returned questionnaires from families indicating satisfaction with interment services at the Cemetery.</w:t>
            </w:r>
          </w:p>
        </w:tc>
        <w:tc>
          <w:tcPr>
            <w:tcW w:w="1089" w:type="dxa"/>
            <w:shd w:val="clear" w:color="auto" w:fill="D9D9D9" w:themeFill="background1" w:themeFillShade="D9"/>
            <w:vAlign w:val="center"/>
          </w:tcPr>
          <w:p w14:paraId="49AF2345" w14:textId="77777777" w:rsidR="000E5121" w:rsidRPr="001D59BE" w:rsidRDefault="000E5121" w:rsidP="000E5121">
            <w:pPr>
              <w:jc w:val="center"/>
              <w:rPr>
                <w:rFonts w:ascii="Arial" w:hAnsi="Arial" w:cs="Arial"/>
                <w:sz w:val="20"/>
              </w:rPr>
            </w:pPr>
            <w:r w:rsidRPr="001D59BE">
              <w:rPr>
                <w:rFonts w:ascii="Arial" w:hAnsi="Arial" w:cs="Arial"/>
                <w:sz w:val="20"/>
              </w:rPr>
              <w:t>actual</w:t>
            </w:r>
          </w:p>
        </w:tc>
        <w:tc>
          <w:tcPr>
            <w:tcW w:w="1241" w:type="dxa"/>
            <w:shd w:val="clear" w:color="auto" w:fill="D9D9D9" w:themeFill="background1" w:themeFillShade="D9"/>
            <w:vAlign w:val="center"/>
          </w:tcPr>
          <w:p w14:paraId="5EE8DA1E" w14:textId="6103428A" w:rsidR="000E5121" w:rsidRPr="00EA49F9" w:rsidRDefault="000E5121" w:rsidP="000E5121">
            <w:pPr>
              <w:jc w:val="center"/>
              <w:rPr>
                <w:rFonts w:ascii="Arial" w:hAnsi="Arial" w:cs="Arial"/>
                <w:sz w:val="20"/>
                <w:szCs w:val="20"/>
              </w:rPr>
            </w:pPr>
            <w:r>
              <w:rPr>
                <w:rFonts w:ascii="Arial" w:hAnsi="Arial" w:cs="Arial"/>
                <w:sz w:val="20"/>
              </w:rPr>
              <w:t>99%</w:t>
            </w:r>
          </w:p>
        </w:tc>
        <w:tc>
          <w:tcPr>
            <w:tcW w:w="1240" w:type="dxa"/>
            <w:shd w:val="clear" w:color="auto" w:fill="D9D9D9" w:themeFill="background1" w:themeFillShade="D9"/>
            <w:vAlign w:val="center"/>
          </w:tcPr>
          <w:p w14:paraId="260498C0" w14:textId="551C8E42" w:rsidR="000E5121" w:rsidRPr="001D59BE" w:rsidRDefault="000E5121" w:rsidP="000E5121">
            <w:pPr>
              <w:jc w:val="center"/>
              <w:rPr>
                <w:rFonts w:ascii="Arial" w:hAnsi="Arial" w:cs="Arial"/>
                <w:sz w:val="20"/>
              </w:rPr>
            </w:pPr>
            <w:r>
              <w:rPr>
                <w:rFonts w:ascii="Arial" w:hAnsi="Arial" w:cs="Arial"/>
                <w:sz w:val="20"/>
              </w:rPr>
              <w:t>99%</w:t>
            </w:r>
          </w:p>
        </w:tc>
        <w:tc>
          <w:tcPr>
            <w:tcW w:w="1235" w:type="dxa"/>
            <w:shd w:val="clear" w:color="auto" w:fill="D9D9D9" w:themeFill="background1" w:themeFillShade="D9"/>
            <w:vAlign w:val="center"/>
          </w:tcPr>
          <w:p w14:paraId="1964CE27" w14:textId="438A69EB" w:rsidR="000E5121" w:rsidRPr="001D59BE" w:rsidRDefault="000E5121" w:rsidP="000E5121">
            <w:pPr>
              <w:jc w:val="center"/>
              <w:rPr>
                <w:rFonts w:ascii="Arial" w:hAnsi="Arial" w:cs="Arial"/>
                <w:sz w:val="20"/>
              </w:rPr>
            </w:pPr>
            <w:r>
              <w:rPr>
                <w:rFonts w:ascii="Arial" w:hAnsi="Arial" w:cs="Arial"/>
                <w:sz w:val="20"/>
              </w:rPr>
              <w:t>99%</w:t>
            </w:r>
          </w:p>
        </w:tc>
        <w:tc>
          <w:tcPr>
            <w:tcW w:w="1234" w:type="dxa"/>
            <w:shd w:val="clear" w:color="auto" w:fill="D9D9D9" w:themeFill="background1" w:themeFillShade="D9"/>
            <w:vAlign w:val="center"/>
          </w:tcPr>
          <w:p w14:paraId="4B455DD2" w14:textId="25FFBF9F" w:rsidR="000E5121" w:rsidRPr="00B006FB" w:rsidRDefault="000E5121" w:rsidP="000E5121">
            <w:pPr>
              <w:jc w:val="center"/>
              <w:rPr>
                <w:rFonts w:ascii="Arial" w:hAnsi="Arial" w:cs="Arial"/>
                <w:sz w:val="20"/>
              </w:rPr>
            </w:pPr>
          </w:p>
        </w:tc>
        <w:tc>
          <w:tcPr>
            <w:tcW w:w="1088" w:type="dxa"/>
            <w:shd w:val="clear" w:color="auto" w:fill="D9D9D9" w:themeFill="background1" w:themeFillShade="D9"/>
            <w:vAlign w:val="center"/>
          </w:tcPr>
          <w:p w14:paraId="3F2D2F36" w14:textId="4E12FAF3" w:rsidR="000E5121" w:rsidRPr="001D59BE" w:rsidRDefault="000E5121" w:rsidP="000E5121">
            <w:pPr>
              <w:jc w:val="center"/>
              <w:rPr>
                <w:rFonts w:ascii="Arial" w:hAnsi="Arial" w:cs="Arial"/>
                <w:sz w:val="20"/>
              </w:rPr>
            </w:pPr>
          </w:p>
        </w:tc>
      </w:tr>
      <w:tr w:rsidR="000E5121" w:rsidRPr="0089244D" w14:paraId="35853B33" w14:textId="77777777" w:rsidTr="000E5121">
        <w:trPr>
          <w:cantSplit/>
          <w:trHeight w:val="288"/>
        </w:trPr>
        <w:tc>
          <w:tcPr>
            <w:tcW w:w="2953" w:type="dxa"/>
            <w:vMerge/>
          </w:tcPr>
          <w:p w14:paraId="119C117C" w14:textId="77777777" w:rsidR="000E5121" w:rsidRPr="00646DA1" w:rsidRDefault="000E5121" w:rsidP="000E5121">
            <w:pPr>
              <w:pStyle w:val="ListParagraph"/>
              <w:numPr>
                <w:ilvl w:val="0"/>
                <w:numId w:val="5"/>
              </w:numPr>
              <w:ind w:left="342"/>
              <w:rPr>
                <w:rFonts w:ascii="Arial" w:hAnsi="Arial" w:cs="Arial"/>
                <w:bCs/>
                <w:sz w:val="20"/>
              </w:rPr>
            </w:pPr>
          </w:p>
        </w:tc>
        <w:tc>
          <w:tcPr>
            <w:tcW w:w="1089" w:type="dxa"/>
            <w:shd w:val="clear" w:color="auto" w:fill="FFFFFF" w:themeFill="background1"/>
            <w:vAlign w:val="center"/>
          </w:tcPr>
          <w:p w14:paraId="2B578196" w14:textId="77777777" w:rsidR="000E5121" w:rsidRDefault="000E5121" w:rsidP="000E5121">
            <w:pPr>
              <w:jc w:val="center"/>
              <w:rPr>
                <w:rFonts w:ascii="Arial" w:hAnsi="Arial" w:cs="Arial"/>
                <w:sz w:val="20"/>
              </w:rPr>
            </w:pPr>
            <w:r>
              <w:rPr>
                <w:rFonts w:ascii="Arial" w:hAnsi="Arial" w:cs="Arial"/>
                <w:i/>
                <w:sz w:val="16"/>
                <w:szCs w:val="16"/>
              </w:rPr>
              <w:t>target</w:t>
            </w:r>
          </w:p>
        </w:tc>
        <w:tc>
          <w:tcPr>
            <w:tcW w:w="1241" w:type="dxa"/>
            <w:shd w:val="clear" w:color="auto" w:fill="FFFFFF" w:themeFill="background1"/>
            <w:vAlign w:val="center"/>
          </w:tcPr>
          <w:p w14:paraId="57133287" w14:textId="2E64AEB8" w:rsidR="000E5121" w:rsidRPr="00EA49F9" w:rsidRDefault="000E5121" w:rsidP="000E5121">
            <w:pPr>
              <w:jc w:val="center"/>
              <w:rPr>
                <w:rFonts w:ascii="Arial" w:hAnsi="Arial" w:cs="Arial"/>
                <w:i/>
                <w:sz w:val="16"/>
                <w:szCs w:val="16"/>
              </w:rPr>
            </w:pPr>
            <w:r>
              <w:rPr>
                <w:rFonts w:ascii="Arial" w:hAnsi="Arial" w:cs="Arial"/>
                <w:i/>
                <w:sz w:val="16"/>
                <w:szCs w:val="16"/>
              </w:rPr>
              <w:t>90%</w:t>
            </w:r>
          </w:p>
        </w:tc>
        <w:tc>
          <w:tcPr>
            <w:tcW w:w="1240" w:type="dxa"/>
            <w:shd w:val="clear" w:color="auto" w:fill="FFFFFF" w:themeFill="background1"/>
            <w:vAlign w:val="center"/>
          </w:tcPr>
          <w:p w14:paraId="1686597C" w14:textId="678F927F" w:rsidR="000E5121" w:rsidRPr="0089244D" w:rsidRDefault="000E5121" w:rsidP="000E5121">
            <w:pPr>
              <w:jc w:val="center"/>
              <w:rPr>
                <w:rFonts w:ascii="Arial" w:hAnsi="Arial" w:cs="Arial"/>
                <w:i/>
                <w:sz w:val="16"/>
                <w:szCs w:val="16"/>
              </w:rPr>
            </w:pPr>
            <w:r>
              <w:rPr>
                <w:rFonts w:ascii="Arial" w:hAnsi="Arial" w:cs="Arial"/>
                <w:i/>
                <w:sz w:val="16"/>
                <w:szCs w:val="16"/>
              </w:rPr>
              <w:t>90%</w:t>
            </w:r>
          </w:p>
        </w:tc>
        <w:tc>
          <w:tcPr>
            <w:tcW w:w="1235" w:type="dxa"/>
            <w:shd w:val="clear" w:color="auto" w:fill="FFFFFF" w:themeFill="background1"/>
            <w:vAlign w:val="center"/>
          </w:tcPr>
          <w:p w14:paraId="3B23A7DD" w14:textId="09F4012F" w:rsidR="000E5121" w:rsidRPr="0089244D" w:rsidRDefault="000E5121" w:rsidP="000E5121">
            <w:pPr>
              <w:jc w:val="center"/>
              <w:rPr>
                <w:rFonts w:ascii="Arial" w:hAnsi="Arial" w:cs="Arial"/>
                <w:i/>
                <w:sz w:val="16"/>
                <w:szCs w:val="16"/>
              </w:rPr>
            </w:pPr>
            <w:r>
              <w:rPr>
                <w:rFonts w:ascii="Arial" w:hAnsi="Arial" w:cs="Arial"/>
                <w:i/>
                <w:sz w:val="16"/>
                <w:szCs w:val="16"/>
              </w:rPr>
              <w:t>90%</w:t>
            </w:r>
          </w:p>
        </w:tc>
        <w:tc>
          <w:tcPr>
            <w:tcW w:w="1234" w:type="dxa"/>
            <w:shd w:val="clear" w:color="auto" w:fill="FFFFFF" w:themeFill="background1"/>
            <w:vAlign w:val="center"/>
          </w:tcPr>
          <w:p w14:paraId="61EB9D81" w14:textId="70DE22E4" w:rsidR="000E5121" w:rsidRPr="00B006FB" w:rsidRDefault="000E5121" w:rsidP="000E5121">
            <w:pPr>
              <w:jc w:val="center"/>
              <w:rPr>
                <w:rFonts w:ascii="Arial" w:hAnsi="Arial" w:cs="Arial"/>
                <w:i/>
                <w:sz w:val="16"/>
                <w:szCs w:val="16"/>
              </w:rPr>
            </w:pPr>
            <w:r>
              <w:rPr>
                <w:rFonts w:ascii="Arial" w:hAnsi="Arial" w:cs="Arial"/>
                <w:i/>
                <w:sz w:val="16"/>
                <w:szCs w:val="16"/>
              </w:rPr>
              <w:t>90%</w:t>
            </w:r>
          </w:p>
        </w:tc>
        <w:tc>
          <w:tcPr>
            <w:tcW w:w="1088" w:type="dxa"/>
            <w:shd w:val="clear" w:color="auto" w:fill="FFFFFF" w:themeFill="background1"/>
            <w:vAlign w:val="center"/>
          </w:tcPr>
          <w:p w14:paraId="27063E00" w14:textId="169438AE" w:rsidR="000E5121" w:rsidRPr="0089244D" w:rsidRDefault="000E5121" w:rsidP="000E5121">
            <w:pPr>
              <w:jc w:val="center"/>
              <w:rPr>
                <w:rFonts w:ascii="Arial" w:hAnsi="Arial" w:cs="Arial"/>
                <w:i/>
                <w:sz w:val="16"/>
                <w:szCs w:val="16"/>
              </w:rPr>
            </w:pPr>
          </w:p>
        </w:tc>
      </w:tr>
      <w:tr w:rsidR="000E5121" w:rsidRPr="00711080" w14:paraId="4C03C5CC" w14:textId="77777777" w:rsidTr="00C92C59">
        <w:trPr>
          <w:trHeight w:val="323"/>
        </w:trPr>
        <w:tc>
          <w:tcPr>
            <w:tcW w:w="10080" w:type="dxa"/>
            <w:gridSpan w:val="7"/>
            <w:shd w:val="clear" w:color="auto" w:fill="DBE5F1" w:themeFill="accent1" w:themeFillTint="33"/>
            <w:vAlign w:val="center"/>
          </w:tcPr>
          <w:p w14:paraId="533CEC04" w14:textId="77777777" w:rsidR="000E5121" w:rsidRPr="00F02905" w:rsidRDefault="000E5121" w:rsidP="000E5121">
            <w:pPr>
              <w:keepNext/>
              <w:jc w:val="center"/>
              <w:rPr>
                <w:rFonts w:ascii="Arial" w:hAnsi="Arial" w:cs="Arial"/>
                <w:b/>
                <w:sz w:val="20"/>
                <w:szCs w:val="20"/>
              </w:rPr>
            </w:pPr>
            <w:bookmarkStart w:id="4" w:name="_Hlk49333347"/>
            <w:r w:rsidRPr="00F02905">
              <w:rPr>
                <w:rFonts w:ascii="Arial" w:hAnsi="Arial" w:cs="Arial"/>
                <w:b/>
                <w:sz w:val="20"/>
                <w:szCs w:val="20"/>
              </w:rPr>
              <w:lastRenderedPageBreak/>
              <w:t>Goal 4</w:t>
            </w:r>
          </w:p>
          <w:p w14:paraId="63374325" w14:textId="3DABD460" w:rsidR="000E5121" w:rsidRPr="00F02905" w:rsidRDefault="000E5121" w:rsidP="000E5121">
            <w:pPr>
              <w:pStyle w:val="firstlevel"/>
              <w:keepNext/>
              <w:numPr>
                <w:ilvl w:val="0"/>
                <w:numId w:val="0"/>
              </w:numPr>
              <w:rPr>
                <w:b w:val="0"/>
                <w:i/>
                <w:color w:val="auto"/>
                <w:sz w:val="20"/>
                <w:szCs w:val="20"/>
              </w:rPr>
            </w:pPr>
            <w:r w:rsidRPr="00F02905">
              <w:rPr>
                <w:b w:val="0"/>
                <w:i/>
                <w:color w:val="auto"/>
                <w:sz w:val="20"/>
                <w:szCs w:val="20"/>
              </w:rPr>
              <w:t>Ensure high quality, well-managed education and training programs for Idaho Veterans by:</w:t>
            </w:r>
          </w:p>
          <w:p w14:paraId="5A17DFA5" w14:textId="77777777" w:rsidR="000E5121" w:rsidRPr="00F02905" w:rsidRDefault="000E5121" w:rsidP="000E5121">
            <w:pPr>
              <w:pStyle w:val="secondlevel"/>
              <w:keepNext/>
              <w:numPr>
                <w:ilvl w:val="1"/>
                <w:numId w:val="13"/>
              </w:numPr>
              <w:rPr>
                <w:b w:val="0"/>
                <w:i/>
                <w:color w:val="auto"/>
                <w:sz w:val="20"/>
                <w:szCs w:val="20"/>
              </w:rPr>
            </w:pPr>
            <w:r w:rsidRPr="00F02905">
              <w:rPr>
                <w:b w:val="0"/>
                <w:i/>
                <w:color w:val="auto"/>
                <w:sz w:val="20"/>
                <w:szCs w:val="20"/>
              </w:rPr>
              <w:t>Providing oversight for Veterans' education programs for all Idaho Veterans.</w:t>
            </w:r>
          </w:p>
          <w:p w14:paraId="60EBAAC9" w14:textId="77777777" w:rsidR="000E5121" w:rsidRPr="00F02905" w:rsidRDefault="000E5121" w:rsidP="000E5121">
            <w:pPr>
              <w:pStyle w:val="secondlevel"/>
              <w:keepNext/>
              <w:numPr>
                <w:ilvl w:val="1"/>
                <w:numId w:val="13"/>
              </w:numPr>
              <w:spacing w:before="0"/>
              <w:rPr>
                <w:color w:val="auto"/>
              </w:rPr>
            </w:pPr>
            <w:r w:rsidRPr="00F02905">
              <w:rPr>
                <w:b w:val="0"/>
                <w:i/>
                <w:color w:val="auto"/>
                <w:sz w:val="20"/>
                <w:szCs w:val="20"/>
              </w:rPr>
              <w:t>Coordinating educational efforts with other Division, state, federal, and local programs.</w:t>
            </w:r>
          </w:p>
        </w:tc>
      </w:tr>
      <w:bookmarkEnd w:id="3"/>
      <w:bookmarkEnd w:id="4"/>
      <w:tr w:rsidR="000E5121" w:rsidRPr="00E305B2" w14:paraId="64D04778" w14:textId="77777777" w:rsidTr="000E5121">
        <w:trPr>
          <w:trHeight w:val="288"/>
        </w:trPr>
        <w:tc>
          <w:tcPr>
            <w:tcW w:w="2953" w:type="dxa"/>
            <w:vMerge w:val="restart"/>
          </w:tcPr>
          <w:p w14:paraId="47C808B6" w14:textId="77777777" w:rsidR="000E5121" w:rsidRPr="00AC0721" w:rsidRDefault="000E5121" w:rsidP="000E5121">
            <w:pPr>
              <w:pStyle w:val="ListParagraph"/>
              <w:keepNext/>
              <w:numPr>
                <w:ilvl w:val="0"/>
                <w:numId w:val="5"/>
              </w:numPr>
              <w:ind w:left="342"/>
              <w:rPr>
                <w:rFonts w:ascii="Arial" w:hAnsi="Arial" w:cs="Arial"/>
                <w:bCs/>
                <w:sz w:val="20"/>
                <w:szCs w:val="20"/>
              </w:rPr>
            </w:pPr>
            <w:r>
              <w:rPr>
                <w:rFonts w:ascii="Arial" w:hAnsi="Arial" w:cs="Arial"/>
                <w:sz w:val="20"/>
                <w:szCs w:val="20"/>
              </w:rPr>
              <w:t>Percent of survey compliance within VA national standards</w:t>
            </w:r>
            <w:r w:rsidRPr="00AC0721">
              <w:rPr>
                <w:rFonts w:ascii="Arial" w:hAnsi="Arial" w:cs="Arial"/>
                <w:sz w:val="20"/>
                <w:szCs w:val="20"/>
              </w:rPr>
              <w:t>.</w:t>
            </w:r>
          </w:p>
        </w:tc>
        <w:tc>
          <w:tcPr>
            <w:tcW w:w="1089" w:type="dxa"/>
            <w:shd w:val="clear" w:color="auto" w:fill="D9D9D9" w:themeFill="background1" w:themeFillShade="D9"/>
            <w:vAlign w:val="center"/>
          </w:tcPr>
          <w:p w14:paraId="600313A5" w14:textId="77777777" w:rsidR="000E5121" w:rsidRPr="00850F9D" w:rsidRDefault="000E5121" w:rsidP="000E5121">
            <w:pPr>
              <w:keepNext/>
              <w:jc w:val="center"/>
              <w:rPr>
                <w:rFonts w:ascii="Arial" w:hAnsi="Arial" w:cs="Arial"/>
                <w:i/>
                <w:sz w:val="16"/>
                <w:szCs w:val="16"/>
              </w:rPr>
            </w:pPr>
            <w:r w:rsidRPr="001D59BE">
              <w:rPr>
                <w:rFonts w:ascii="Arial" w:hAnsi="Arial" w:cs="Arial"/>
                <w:sz w:val="20"/>
              </w:rPr>
              <w:t>actual</w:t>
            </w:r>
          </w:p>
        </w:tc>
        <w:tc>
          <w:tcPr>
            <w:tcW w:w="1241" w:type="dxa"/>
            <w:shd w:val="clear" w:color="auto" w:fill="D9D9D9" w:themeFill="background1" w:themeFillShade="D9"/>
            <w:vAlign w:val="center"/>
          </w:tcPr>
          <w:p w14:paraId="71157F80" w14:textId="17C6AE78" w:rsidR="000E5121" w:rsidRPr="00243DE0" w:rsidRDefault="000E5121" w:rsidP="000E5121">
            <w:pPr>
              <w:keepNext/>
              <w:jc w:val="center"/>
              <w:rPr>
                <w:rFonts w:ascii="Arial" w:hAnsi="Arial" w:cs="Arial"/>
                <w:sz w:val="20"/>
                <w:szCs w:val="20"/>
              </w:rPr>
            </w:pPr>
            <w:r>
              <w:rPr>
                <w:rFonts w:ascii="Arial" w:hAnsi="Arial" w:cs="Arial"/>
                <w:sz w:val="20"/>
              </w:rPr>
              <w:t>100%</w:t>
            </w:r>
          </w:p>
        </w:tc>
        <w:tc>
          <w:tcPr>
            <w:tcW w:w="1240" w:type="dxa"/>
            <w:shd w:val="clear" w:color="auto" w:fill="D9D9D9" w:themeFill="background1" w:themeFillShade="D9"/>
            <w:vAlign w:val="center"/>
          </w:tcPr>
          <w:p w14:paraId="60C9342E" w14:textId="3C1FE033" w:rsidR="000E5121" w:rsidRPr="00F02905" w:rsidRDefault="000E5121" w:rsidP="000E5121">
            <w:pPr>
              <w:keepNext/>
              <w:jc w:val="center"/>
              <w:rPr>
                <w:rFonts w:ascii="Arial" w:hAnsi="Arial" w:cs="Arial"/>
                <w:sz w:val="20"/>
                <w:szCs w:val="20"/>
              </w:rPr>
            </w:pPr>
            <w:r>
              <w:rPr>
                <w:rFonts w:ascii="Arial" w:hAnsi="Arial" w:cs="Arial"/>
                <w:sz w:val="20"/>
              </w:rPr>
              <w:t>100%</w:t>
            </w:r>
          </w:p>
        </w:tc>
        <w:tc>
          <w:tcPr>
            <w:tcW w:w="1235" w:type="dxa"/>
            <w:shd w:val="clear" w:color="auto" w:fill="D9D9D9" w:themeFill="background1" w:themeFillShade="D9"/>
            <w:vAlign w:val="center"/>
          </w:tcPr>
          <w:p w14:paraId="21E3AB18" w14:textId="77E945DC" w:rsidR="000E5121" w:rsidRPr="00F07D8C" w:rsidRDefault="000E5121" w:rsidP="000E5121">
            <w:pPr>
              <w:keepNext/>
              <w:jc w:val="center"/>
              <w:rPr>
                <w:rFonts w:ascii="Arial" w:hAnsi="Arial" w:cs="Arial"/>
                <w:sz w:val="20"/>
                <w:szCs w:val="20"/>
              </w:rPr>
            </w:pPr>
          </w:p>
        </w:tc>
        <w:tc>
          <w:tcPr>
            <w:tcW w:w="1234" w:type="dxa"/>
            <w:shd w:val="clear" w:color="auto" w:fill="D9D9D9" w:themeFill="background1" w:themeFillShade="D9"/>
            <w:vAlign w:val="center"/>
          </w:tcPr>
          <w:p w14:paraId="36277E27" w14:textId="714EA2AD" w:rsidR="000E5121" w:rsidRPr="00E119DC" w:rsidRDefault="000E5121" w:rsidP="000E5121">
            <w:pPr>
              <w:keepNext/>
              <w:jc w:val="center"/>
              <w:rPr>
                <w:rFonts w:ascii="Arial" w:hAnsi="Arial" w:cs="Arial"/>
                <w:sz w:val="20"/>
                <w:szCs w:val="20"/>
              </w:rPr>
            </w:pPr>
          </w:p>
        </w:tc>
        <w:tc>
          <w:tcPr>
            <w:tcW w:w="1088" w:type="dxa"/>
            <w:shd w:val="clear" w:color="auto" w:fill="D9D9D9" w:themeFill="background1" w:themeFillShade="D9"/>
            <w:vAlign w:val="center"/>
          </w:tcPr>
          <w:p w14:paraId="241F6E1E" w14:textId="0C908E59" w:rsidR="000E5121" w:rsidRPr="00F07D8C" w:rsidRDefault="000E5121" w:rsidP="000E5121">
            <w:pPr>
              <w:keepNext/>
              <w:jc w:val="center"/>
              <w:rPr>
                <w:rFonts w:ascii="Arial" w:hAnsi="Arial" w:cs="Arial"/>
                <w:sz w:val="20"/>
                <w:szCs w:val="20"/>
              </w:rPr>
            </w:pPr>
          </w:p>
        </w:tc>
      </w:tr>
      <w:tr w:rsidR="000E5121" w:rsidRPr="00E305B2" w14:paraId="259E8645" w14:textId="77777777" w:rsidTr="000E5121">
        <w:trPr>
          <w:trHeight w:val="288"/>
        </w:trPr>
        <w:tc>
          <w:tcPr>
            <w:tcW w:w="2953" w:type="dxa"/>
            <w:vMerge/>
          </w:tcPr>
          <w:p w14:paraId="2552A6E1" w14:textId="77777777" w:rsidR="000E5121" w:rsidRPr="00AC0721" w:rsidRDefault="000E5121" w:rsidP="000E5121">
            <w:pPr>
              <w:pStyle w:val="ListParagraph"/>
              <w:keepNext/>
              <w:ind w:left="342"/>
              <w:rPr>
                <w:rFonts w:ascii="Arial" w:hAnsi="Arial" w:cs="Arial"/>
                <w:sz w:val="20"/>
                <w:szCs w:val="20"/>
              </w:rPr>
            </w:pPr>
          </w:p>
        </w:tc>
        <w:tc>
          <w:tcPr>
            <w:tcW w:w="1089" w:type="dxa"/>
            <w:shd w:val="clear" w:color="auto" w:fill="FFFFFF" w:themeFill="background1"/>
            <w:vAlign w:val="center"/>
          </w:tcPr>
          <w:p w14:paraId="6ED8C8DF" w14:textId="77777777" w:rsidR="000E5121" w:rsidRPr="001D59BE" w:rsidRDefault="000E5121" w:rsidP="000E5121">
            <w:pPr>
              <w:keepNext/>
              <w:jc w:val="center"/>
              <w:rPr>
                <w:rFonts w:ascii="Arial" w:hAnsi="Arial" w:cs="Arial"/>
                <w:sz w:val="20"/>
              </w:rPr>
            </w:pPr>
            <w:r>
              <w:rPr>
                <w:rFonts w:ascii="Arial" w:hAnsi="Arial" w:cs="Arial"/>
                <w:i/>
                <w:sz w:val="16"/>
                <w:szCs w:val="16"/>
              </w:rPr>
              <w:t>target</w:t>
            </w:r>
          </w:p>
        </w:tc>
        <w:tc>
          <w:tcPr>
            <w:tcW w:w="1241" w:type="dxa"/>
            <w:shd w:val="clear" w:color="auto" w:fill="FFFFFF" w:themeFill="background1"/>
            <w:vAlign w:val="center"/>
          </w:tcPr>
          <w:p w14:paraId="0D9F09A0" w14:textId="598ACF1D" w:rsidR="000E5121" w:rsidRPr="00EA49F9" w:rsidRDefault="000E5121" w:rsidP="000E5121">
            <w:pPr>
              <w:keepNext/>
              <w:jc w:val="center"/>
              <w:rPr>
                <w:rFonts w:ascii="Arial" w:hAnsi="Arial" w:cs="Arial"/>
                <w:sz w:val="20"/>
                <w:szCs w:val="20"/>
              </w:rPr>
            </w:pPr>
            <w:r>
              <w:rPr>
                <w:rFonts w:ascii="Arial" w:hAnsi="Arial" w:cs="Arial"/>
                <w:i/>
                <w:sz w:val="16"/>
                <w:szCs w:val="16"/>
              </w:rPr>
              <w:t>90%</w:t>
            </w:r>
          </w:p>
        </w:tc>
        <w:tc>
          <w:tcPr>
            <w:tcW w:w="1240" w:type="dxa"/>
            <w:shd w:val="clear" w:color="auto" w:fill="FFFFFF" w:themeFill="background1"/>
            <w:vAlign w:val="center"/>
          </w:tcPr>
          <w:p w14:paraId="29410748" w14:textId="3D3867C6" w:rsidR="000E5121" w:rsidRPr="001D59BE" w:rsidRDefault="000E5121" w:rsidP="000E5121">
            <w:pPr>
              <w:keepNext/>
              <w:jc w:val="center"/>
              <w:rPr>
                <w:rFonts w:ascii="Arial" w:hAnsi="Arial" w:cs="Arial"/>
                <w:sz w:val="20"/>
              </w:rPr>
            </w:pPr>
            <w:r>
              <w:rPr>
                <w:rFonts w:ascii="Arial" w:hAnsi="Arial" w:cs="Arial"/>
                <w:i/>
                <w:sz w:val="16"/>
                <w:szCs w:val="16"/>
              </w:rPr>
              <w:t>90%</w:t>
            </w:r>
          </w:p>
        </w:tc>
        <w:tc>
          <w:tcPr>
            <w:tcW w:w="1235" w:type="dxa"/>
            <w:shd w:val="clear" w:color="auto" w:fill="FFFFFF" w:themeFill="background1"/>
            <w:vAlign w:val="center"/>
          </w:tcPr>
          <w:p w14:paraId="3EC12BEC" w14:textId="37F1E169" w:rsidR="000E5121" w:rsidRPr="001D59BE" w:rsidRDefault="000E5121" w:rsidP="000E5121">
            <w:pPr>
              <w:keepNext/>
              <w:jc w:val="center"/>
              <w:rPr>
                <w:rFonts w:ascii="Arial" w:hAnsi="Arial" w:cs="Arial"/>
                <w:sz w:val="20"/>
              </w:rPr>
            </w:pPr>
            <w:r>
              <w:rPr>
                <w:rFonts w:ascii="Arial" w:hAnsi="Arial" w:cs="Arial"/>
                <w:i/>
                <w:sz w:val="16"/>
                <w:szCs w:val="16"/>
              </w:rPr>
              <w:t>100%</w:t>
            </w:r>
          </w:p>
        </w:tc>
        <w:tc>
          <w:tcPr>
            <w:tcW w:w="1234" w:type="dxa"/>
            <w:shd w:val="clear" w:color="auto" w:fill="FFFFFF" w:themeFill="background1"/>
            <w:vAlign w:val="center"/>
          </w:tcPr>
          <w:p w14:paraId="13BEE39D" w14:textId="26A442B0" w:rsidR="000E5121" w:rsidRPr="00E119DC" w:rsidRDefault="000E5121" w:rsidP="000E5121">
            <w:pPr>
              <w:keepNext/>
              <w:jc w:val="center"/>
              <w:rPr>
                <w:rFonts w:ascii="Arial" w:hAnsi="Arial" w:cs="Arial"/>
                <w:i/>
                <w:sz w:val="16"/>
                <w:szCs w:val="16"/>
              </w:rPr>
            </w:pPr>
          </w:p>
        </w:tc>
        <w:tc>
          <w:tcPr>
            <w:tcW w:w="1088" w:type="dxa"/>
            <w:shd w:val="clear" w:color="auto" w:fill="FFFFFF" w:themeFill="background1"/>
            <w:vAlign w:val="center"/>
          </w:tcPr>
          <w:p w14:paraId="1D2EC093" w14:textId="6EC272B8" w:rsidR="000E5121" w:rsidRPr="00266A42" w:rsidRDefault="000E5121" w:rsidP="000E5121">
            <w:pPr>
              <w:keepNext/>
              <w:jc w:val="center"/>
              <w:rPr>
                <w:rFonts w:ascii="Arial" w:hAnsi="Arial" w:cs="Arial"/>
                <w:i/>
                <w:sz w:val="16"/>
                <w:szCs w:val="16"/>
              </w:rPr>
            </w:pPr>
          </w:p>
        </w:tc>
      </w:tr>
      <w:tr w:rsidR="000E5121" w:rsidRPr="00E305B2" w14:paraId="195228FB" w14:textId="77777777" w:rsidTr="000E5121">
        <w:trPr>
          <w:trHeight w:val="288"/>
        </w:trPr>
        <w:tc>
          <w:tcPr>
            <w:tcW w:w="2953" w:type="dxa"/>
            <w:vMerge w:val="restart"/>
          </w:tcPr>
          <w:p w14:paraId="0AC4314E" w14:textId="77777777" w:rsidR="000E5121" w:rsidRDefault="000E5121" w:rsidP="000E5121">
            <w:pPr>
              <w:pStyle w:val="ListParagraph"/>
              <w:numPr>
                <w:ilvl w:val="0"/>
                <w:numId w:val="5"/>
              </w:numPr>
              <w:ind w:left="342"/>
              <w:rPr>
                <w:rFonts w:ascii="Arial" w:hAnsi="Arial" w:cs="Arial"/>
                <w:sz w:val="20"/>
                <w:szCs w:val="20"/>
              </w:rPr>
            </w:pPr>
            <w:proofErr w:type="gramStart"/>
            <w:r>
              <w:rPr>
                <w:rFonts w:ascii="Arial" w:hAnsi="Arial" w:cs="Arial"/>
                <w:sz w:val="20"/>
                <w:szCs w:val="20"/>
              </w:rPr>
              <w:t>Approvals</w:t>
            </w:r>
            <w:proofErr w:type="gramEnd"/>
            <w:r>
              <w:rPr>
                <w:rFonts w:ascii="Arial" w:hAnsi="Arial" w:cs="Arial"/>
                <w:sz w:val="20"/>
                <w:szCs w:val="20"/>
              </w:rPr>
              <w:t>:</w:t>
            </w:r>
          </w:p>
          <w:p w14:paraId="4D91C7C1" w14:textId="4B5F678A" w:rsidR="000E5121" w:rsidRPr="00AC0721" w:rsidRDefault="000E5121" w:rsidP="000E5121">
            <w:pPr>
              <w:pStyle w:val="ListParagraph"/>
              <w:numPr>
                <w:ilvl w:val="1"/>
                <w:numId w:val="5"/>
              </w:numPr>
              <w:ind w:left="660"/>
              <w:rPr>
                <w:rFonts w:ascii="Arial" w:hAnsi="Arial" w:cs="Arial"/>
                <w:sz w:val="20"/>
                <w:szCs w:val="20"/>
              </w:rPr>
            </w:pPr>
            <w:r>
              <w:rPr>
                <w:rFonts w:ascii="Arial" w:hAnsi="Arial" w:cs="Arial"/>
                <w:sz w:val="20"/>
                <w:szCs w:val="20"/>
              </w:rPr>
              <w:t>Percent to process completed approval packages for training facilities within 39 calendar days, the VA national standard.</w:t>
            </w:r>
          </w:p>
        </w:tc>
        <w:tc>
          <w:tcPr>
            <w:tcW w:w="1089" w:type="dxa"/>
            <w:shd w:val="clear" w:color="auto" w:fill="D9D9D9" w:themeFill="background1" w:themeFillShade="D9"/>
            <w:vAlign w:val="center"/>
          </w:tcPr>
          <w:p w14:paraId="6CA903EA" w14:textId="77777777" w:rsidR="000E5121" w:rsidRPr="00D116F3" w:rsidRDefault="000E5121" w:rsidP="000E5121">
            <w:pPr>
              <w:jc w:val="center"/>
              <w:rPr>
                <w:rFonts w:ascii="Arial" w:hAnsi="Arial" w:cs="Arial"/>
                <w:sz w:val="20"/>
              </w:rPr>
            </w:pPr>
            <w:r>
              <w:rPr>
                <w:rFonts w:ascii="Arial" w:hAnsi="Arial" w:cs="Arial"/>
                <w:sz w:val="20"/>
              </w:rPr>
              <w:t>actual</w:t>
            </w:r>
          </w:p>
        </w:tc>
        <w:tc>
          <w:tcPr>
            <w:tcW w:w="1241" w:type="dxa"/>
            <w:shd w:val="clear" w:color="auto" w:fill="D9D9D9" w:themeFill="background1" w:themeFillShade="D9"/>
            <w:vAlign w:val="center"/>
          </w:tcPr>
          <w:p w14:paraId="2B0808D1" w14:textId="0F243CF8" w:rsidR="000E5121" w:rsidRPr="00D116F3" w:rsidRDefault="000E5121" w:rsidP="000E5121">
            <w:pPr>
              <w:jc w:val="center"/>
              <w:rPr>
                <w:rFonts w:ascii="Arial" w:hAnsi="Arial" w:cs="Arial"/>
                <w:sz w:val="20"/>
              </w:rPr>
            </w:pPr>
            <w:r>
              <w:rPr>
                <w:rFonts w:ascii="Arial" w:hAnsi="Arial" w:cs="Arial"/>
                <w:sz w:val="20"/>
              </w:rPr>
              <w:t>100%</w:t>
            </w:r>
          </w:p>
        </w:tc>
        <w:tc>
          <w:tcPr>
            <w:tcW w:w="1240" w:type="dxa"/>
            <w:shd w:val="clear" w:color="auto" w:fill="D9D9D9" w:themeFill="background1" w:themeFillShade="D9"/>
            <w:vAlign w:val="center"/>
          </w:tcPr>
          <w:p w14:paraId="6E470779" w14:textId="7C439DE1" w:rsidR="000E5121" w:rsidRPr="00D116F3" w:rsidRDefault="000E5121" w:rsidP="000E5121">
            <w:pPr>
              <w:jc w:val="center"/>
              <w:rPr>
                <w:rFonts w:ascii="Arial" w:hAnsi="Arial" w:cs="Arial"/>
                <w:sz w:val="20"/>
              </w:rPr>
            </w:pPr>
            <w:r>
              <w:rPr>
                <w:rFonts w:ascii="Arial" w:hAnsi="Arial" w:cs="Arial"/>
                <w:sz w:val="20"/>
              </w:rPr>
              <w:t>100%</w:t>
            </w:r>
          </w:p>
        </w:tc>
        <w:tc>
          <w:tcPr>
            <w:tcW w:w="1235" w:type="dxa"/>
            <w:shd w:val="clear" w:color="auto" w:fill="D9D9D9" w:themeFill="background1" w:themeFillShade="D9"/>
            <w:vAlign w:val="center"/>
          </w:tcPr>
          <w:p w14:paraId="35F6AD16" w14:textId="076F1BB8" w:rsidR="000E5121" w:rsidRPr="00D116F3" w:rsidRDefault="000E5121" w:rsidP="000E5121">
            <w:pPr>
              <w:jc w:val="center"/>
              <w:rPr>
                <w:rFonts w:ascii="Arial" w:hAnsi="Arial" w:cs="Arial"/>
                <w:sz w:val="20"/>
              </w:rPr>
            </w:pPr>
          </w:p>
        </w:tc>
        <w:tc>
          <w:tcPr>
            <w:tcW w:w="1234" w:type="dxa"/>
            <w:shd w:val="clear" w:color="auto" w:fill="D9D9D9" w:themeFill="background1" w:themeFillShade="D9"/>
            <w:vAlign w:val="center"/>
          </w:tcPr>
          <w:p w14:paraId="535AEFD8" w14:textId="4FB8443F" w:rsidR="000E5121" w:rsidRPr="00E119DC" w:rsidRDefault="000E5121" w:rsidP="000E5121">
            <w:pPr>
              <w:jc w:val="center"/>
              <w:rPr>
                <w:rFonts w:ascii="Arial" w:hAnsi="Arial" w:cs="Arial"/>
                <w:sz w:val="20"/>
              </w:rPr>
            </w:pPr>
          </w:p>
        </w:tc>
        <w:tc>
          <w:tcPr>
            <w:tcW w:w="1088" w:type="dxa"/>
            <w:shd w:val="clear" w:color="auto" w:fill="D9D9D9" w:themeFill="background1" w:themeFillShade="D9"/>
            <w:vAlign w:val="center"/>
          </w:tcPr>
          <w:p w14:paraId="62B01CEA" w14:textId="7D8CD66E" w:rsidR="000E5121" w:rsidRPr="00D116F3" w:rsidRDefault="000E5121" w:rsidP="000E5121">
            <w:pPr>
              <w:jc w:val="center"/>
              <w:rPr>
                <w:rFonts w:ascii="Arial" w:hAnsi="Arial" w:cs="Arial"/>
                <w:sz w:val="20"/>
              </w:rPr>
            </w:pPr>
          </w:p>
        </w:tc>
      </w:tr>
      <w:tr w:rsidR="000E5121" w:rsidRPr="00E305B2" w14:paraId="4AE1AA62" w14:textId="77777777" w:rsidTr="000E5121">
        <w:trPr>
          <w:trHeight w:val="288"/>
        </w:trPr>
        <w:tc>
          <w:tcPr>
            <w:tcW w:w="2953" w:type="dxa"/>
            <w:vMerge/>
          </w:tcPr>
          <w:p w14:paraId="7FFAF534" w14:textId="77777777" w:rsidR="000E5121" w:rsidRPr="00AC0721" w:rsidRDefault="000E5121" w:rsidP="000E5121">
            <w:pPr>
              <w:pStyle w:val="ListParagraph"/>
              <w:ind w:left="342"/>
              <w:rPr>
                <w:rFonts w:ascii="Arial" w:hAnsi="Arial" w:cs="Arial"/>
                <w:sz w:val="20"/>
                <w:szCs w:val="20"/>
              </w:rPr>
            </w:pPr>
          </w:p>
        </w:tc>
        <w:tc>
          <w:tcPr>
            <w:tcW w:w="1089" w:type="dxa"/>
            <w:shd w:val="clear" w:color="auto" w:fill="FFFFFF" w:themeFill="background1"/>
            <w:vAlign w:val="center"/>
          </w:tcPr>
          <w:p w14:paraId="599DCBCB" w14:textId="77777777" w:rsidR="000E5121" w:rsidRDefault="000E5121" w:rsidP="000E5121">
            <w:pPr>
              <w:jc w:val="center"/>
              <w:rPr>
                <w:rFonts w:ascii="Arial" w:hAnsi="Arial" w:cs="Arial"/>
                <w:i/>
                <w:sz w:val="16"/>
                <w:szCs w:val="16"/>
              </w:rPr>
            </w:pPr>
            <w:r>
              <w:rPr>
                <w:rFonts w:ascii="Arial" w:hAnsi="Arial" w:cs="Arial"/>
                <w:i/>
                <w:sz w:val="16"/>
                <w:szCs w:val="16"/>
              </w:rPr>
              <w:t>target</w:t>
            </w:r>
          </w:p>
        </w:tc>
        <w:tc>
          <w:tcPr>
            <w:tcW w:w="1241" w:type="dxa"/>
            <w:shd w:val="clear" w:color="auto" w:fill="FFFFFF" w:themeFill="background1"/>
            <w:vAlign w:val="center"/>
          </w:tcPr>
          <w:p w14:paraId="3738BC07" w14:textId="062AF3B8" w:rsidR="000E5121" w:rsidRDefault="000E5121" w:rsidP="000E5121">
            <w:pPr>
              <w:jc w:val="center"/>
              <w:rPr>
                <w:rFonts w:ascii="Arial" w:hAnsi="Arial" w:cs="Arial"/>
                <w:i/>
                <w:sz w:val="16"/>
                <w:szCs w:val="16"/>
              </w:rPr>
            </w:pPr>
            <w:r>
              <w:rPr>
                <w:rFonts w:ascii="Arial" w:hAnsi="Arial" w:cs="Arial"/>
                <w:i/>
                <w:sz w:val="16"/>
                <w:szCs w:val="16"/>
              </w:rPr>
              <w:t>90%</w:t>
            </w:r>
          </w:p>
        </w:tc>
        <w:tc>
          <w:tcPr>
            <w:tcW w:w="1240" w:type="dxa"/>
            <w:shd w:val="clear" w:color="auto" w:fill="FFFFFF" w:themeFill="background1"/>
            <w:vAlign w:val="center"/>
          </w:tcPr>
          <w:p w14:paraId="7F0E8904" w14:textId="38D47B90" w:rsidR="000E5121" w:rsidRDefault="000E5121" w:rsidP="000E5121">
            <w:pPr>
              <w:jc w:val="center"/>
              <w:rPr>
                <w:rFonts w:ascii="Arial" w:hAnsi="Arial" w:cs="Arial"/>
                <w:i/>
                <w:sz w:val="16"/>
                <w:szCs w:val="16"/>
              </w:rPr>
            </w:pPr>
            <w:r>
              <w:rPr>
                <w:rFonts w:ascii="Arial" w:hAnsi="Arial" w:cs="Arial"/>
                <w:i/>
                <w:sz w:val="16"/>
                <w:szCs w:val="16"/>
              </w:rPr>
              <w:t>90%</w:t>
            </w:r>
          </w:p>
        </w:tc>
        <w:tc>
          <w:tcPr>
            <w:tcW w:w="1235" w:type="dxa"/>
            <w:shd w:val="clear" w:color="auto" w:fill="FFFFFF" w:themeFill="background1"/>
            <w:vAlign w:val="center"/>
          </w:tcPr>
          <w:p w14:paraId="269AB8F4" w14:textId="4A95131C" w:rsidR="000E5121" w:rsidRDefault="000E5121" w:rsidP="000E5121">
            <w:pPr>
              <w:jc w:val="center"/>
              <w:rPr>
                <w:rFonts w:ascii="Arial" w:hAnsi="Arial" w:cs="Arial"/>
                <w:i/>
                <w:sz w:val="16"/>
                <w:szCs w:val="16"/>
              </w:rPr>
            </w:pPr>
            <w:r>
              <w:rPr>
                <w:rFonts w:ascii="Arial" w:hAnsi="Arial" w:cs="Arial"/>
                <w:i/>
                <w:sz w:val="16"/>
                <w:szCs w:val="16"/>
              </w:rPr>
              <w:t>90%</w:t>
            </w:r>
          </w:p>
        </w:tc>
        <w:tc>
          <w:tcPr>
            <w:tcW w:w="1234" w:type="dxa"/>
            <w:shd w:val="clear" w:color="auto" w:fill="FFFFFF" w:themeFill="background1"/>
            <w:vAlign w:val="center"/>
          </w:tcPr>
          <w:p w14:paraId="18B63FC9" w14:textId="76B9ABE7" w:rsidR="000E5121" w:rsidRPr="00E119DC" w:rsidRDefault="000E5121" w:rsidP="000E5121">
            <w:pPr>
              <w:jc w:val="center"/>
              <w:rPr>
                <w:rFonts w:ascii="Arial" w:hAnsi="Arial" w:cs="Arial"/>
                <w:i/>
                <w:sz w:val="16"/>
                <w:szCs w:val="16"/>
              </w:rPr>
            </w:pPr>
          </w:p>
        </w:tc>
        <w:tc>
          <w:tcPr>
            <w:tcW w:w="1088" w:type="dxa"/>
            <w:shd w:val="clear" w:color="auto" w:fill="FFFFFF" w:themeFill="background1"/>
            <w:vAlign w:val="center"/>
          </w:tcPr>
          <w:p w14:paraId="22B9BF03" w14:textId="137B3AE3" w:rsidR="000E5121" w:rsidRPr="00D116F3" w:rsidRDefault="000E5121" w:rsidP="000E5121">
            <w:pPr>
              <w:jc w:val="center"/>
              <w:rPr>
                <w:rFonts w:ascii="Arial" w:hAnsi="Arial" w:cs="Arial"/>
                <w:i/>
                <w:sz w:val="16"/>
                <w:szCs w:val="16"/>
              </w:rPr>
            </w:pPr>
          </w:p>
        </w:tc>
      </w:tr>
      <w:tr w:rsidR="000E5121" w:rsidRPr="00E305B2" w14:paraId="11D52E05" w14:textId="77777777" w:rsidTr="000E5121">
        <w:trPr>
          <w:trHeight w:val="288"/>
        </w:trPr>
        <w:tc>
          <w:tcPr>
            <w:tcW w:w="2953" w:type="dxa"/>
            <w:vMerge w:val="restart"/>
          </w:tcPr>
          <w:p w14:paraId="2D0D17FA" w14:textId="7CF1F8D7" w:rsidR="000E5121" w:rsidRPr="00AC0721" w:rsidRDefault="000E5121" w:rsidP="000E5121">
            <w:pPr>
              <w:pStyle w:val="ListParagraph"/>
              <w:numPr>
                <w:ilvl w:val="1"/>
                <w:numId w:val="5"/>
              </w:numPr>
              <w:ind w:left="660"/>
              <w:rPr>
                <w:rFonts w:ascii="Arial" w:hAnsi="Arial" w:cs="Arial"/>
                <w:sz w:val="20"/>
                <w:szCs w:val="20"/>
              </w:rPr>
            </w:pPr>
            <w:r w:rsidRPr="00EB7F42">
              <w:rPr>
                <w:rFonts w:ascii="Arial" w:hAnsi="Arial" w:cs="Arial"/>
                <w:sz w:val="20"/>
                <w:szCs w:val="20"/>
              </w:rPr>
              <w:t xml:space="preserve">Reapprove programs within </w:t>
            </w:r>
            <w:r>
              <w:rPr>
                <w:rFonts w:ascii="Arial" w:hAnsi="Arial" w:cs="Arial"/>
                <w:sz w:val="20"/>
                <w:szCs w:val="20"/>
              </w:rPr>
              <w:t>36</w:t>
            </w:r>
            <w:r w:rsidRPr="00EB7F42">
              <w:rPr>
                <w:rFonts w:ascii="Arial" w:hAnsi="Arial" w:cs="Arial"/>
                <w:sz w:val="20"/>
                <w:szCs w:val="20"/>
              </w:rPr>
              <w:t xml:space="preserve"> months of prior full review, the VA national standard.</w:t>
            </w:r>
          </w:p>
        </w:tc>
        <w:tc>
          <w:tcPr>
            <w:tcW w:w="1089" w:type="dxa"/>
            <w:shd w:val="clear" w:color="auto" w:fill="D9D9D9" w:themeFill="background1" w:themeFillShade="D9"/>
            <w:vAlign w:val="center"/>
          </w:tcPr>
          <w:p w14:paraId="6A5D9747" w14:textId="7C27FD88" w:rsidR="000E5121" w:rsidRPr="00A152EB" w:rsidRDefault="000E5121" w:rsidP="000E5121">
            <w:pPr>
              <w:jc w:val="center"/>
              <w:rPr>
                <w:rFonts w:ascii="Arial" w:hAnsi="Arial" w:cs="Arial"/>
                <w:sz w:val="20"/>
              </w:rPr>
            </w:pPr>
            <w:r>
              <w:rPr>
                <w:rFonts w:ascii="Arial" w:hAnsi="Arial" w:cs="Arial"/>
                <w:sz w:val="20"/>
              </w:rPr>
              <w:t>actual</w:t>
            </w:r>
          </w:p>
        </w:tc>
        <w:tc>
          <w:tcPr>
            <w:tcW w:w="1241" w:type="dxa"/>
            <w:shd w:val="clear" w:color="auto" w:fill="D9D9D9" w:themeFill="background1" w:themeFillShade="D9"/>
            <w:vAlign w:val="center"/>
          </w:tcPr>
          <w:p w14:paraId="3E447526" w14:textId="540B042B" w:rsidR="000E5121" w:rsidRPr="00810818" w:rsidRDefault="000E5121" w:rsidP="000E5121">
            <w:pPr>
              <w:jc w:val="center"/>
              <w:rPr>
                <w:rFonts w:ascii="Arial" w:hAnsi="Arial" w:cs="Arial"/>
                <w:i/>
                <w:iCs/>
                <w:sz w:val="20"/>
              </w:rPr>
            </w:pPr>
            <w:r w:rsidRPr="00810818">
              <w:rPr>
                <w:rFonts w:ascii="Arial" w:hAnsi="Arial" w:cs="Arial"/>
                <w:i/>
                <w:iCs/>
                <w:sz w:val="20"/>
              </w:rPr>
              <w:t>Not Measured</w:t>
            </w:r>
          </w:p>
        </w:tc>
        <w:tc>
          <w:tcPr>
            <w:tcW w:w="1240" w:type="dxa"/>
            <w:shd w:val="clear" w:color="auto" w:fill="D9D9D9" w:themeFill="background1" w:themeFillShade="D9"/>
            <w:vAlign w:val="center"/>
          </w:tcPr>
          <w:p w14:paraId="39D50F9A" w14:textId="45ABCE25" w:rsidR="000E5121" w:rsidRPr="00A152EB" w:rsidRDefault="000E5121" w:rsidP="000E5121">
            <w:pPr>
              <w:jc w:val="center"/>
              <w:rPr>
                <w:rFonts w:ascii="Arial" w:hAnsi="Arial" w:cs="Arial"/>
                <w:sz w:val="20"/>
              </w:rPr>
            </w:pPr>
            <w:r>
              <w:rPr>
                <w:rFonts w:ascii="Arial" w:hAnsi="Arial" w:cs="Arial"/>
                <w:sz w:val="20"/>
              </w:rPr>
              <w:t>76%</w:t>
            </w:r>
          </w:p>
        </w:tc>
        <w:tc>
          <w:tcPr>
            <w:tcW w:w="1235" w:type="dxa"/>
            <w:shd w:val="clear" w:color="auto" w:fill="D9D9D9" w:themeFill="background1" w:themeFillShade="D9"/>
            <w:vAlign w:val="center"/>
          </w:tcPr>
          <w:p w14:paraId="3DC4632F" w14:textId="6B104A30" w:rsidR="000E5121" w:rsidRPr="00A152EB" w:rsidRDefault="000E5121" w:rsidP="000E5121">
            <w:pPr>
              <w:jc w:val="center"/>
              <w:rPr>
                <w:rFonts w:ascii="Arial" w:hAnsi="Arial" w:cs="Arial"/>
                <w:sz w:val="20"/>
              </w:rPr>
            </w:pPr>
            <w:r>
              <w:rPr>
                <w:rFonts w:ascii="Arial" w:hAnsi="Arial" w:cs="Arial"/>
                <w:sz w:val="20"/>
              </w:rPr>
              <w:t>100%</w:t>
            </w:r>
          </w:p>
        </w:tc>
        <w:tc>
          <w:tcPr>
            <w:tcW w:w="1234" w:type="dxa"/>
            <w:shd w:val="clear" w:color="auto" w:fill="D9D9D9" w:themeFill="background1" w:themeFillShade="D9"/>
            <w:vAlign w:val="center"/>
          </w:tcPr>
          <w:p w14:paraId="321DCC8E" w14:textId="47DF43BF" w:rsidR="000E5121" w:rsidRPr="00A152EB" w:rsidRDefault="000E5121" w:rsidP="000E5121">
            <w:pPr>
              <w:jc w:val="center"/>
              <w:rPr>
                <w:rFonts w:ascii="Arial" w:hAnsi="Arial" w:cs="Arial"/>
                <w:sz w:val="20"/>
              </w:rPr>
            </w:pPr>
          </w:p>
        </w:tc>
        <w:tc>
          <w:tcPr>
            <w:tcW w:w="1088" w:type="dxa"/>
            <w:shd w:val="clear" w:color="auto" w:fill="D9D9D9" w:themeFill="background1" w:themeFillShade="D9"/>
            <w:vAlign w:val="center"/>
          </w:tcPr>
          <w:p w14:paraId="3C3D2C31" w14:textId="45130610" w:rsidR="000E5121" w:rsidRPr="00A152EB" w:rsidRDefault="000E5121" w:rsidP="000E5121">
            <w:pPr>
              <w:jc w:val="center"/>
              <w:rPr>
                <w:rFonts w:ascii="Arial" w:hAnsi="Arial" w:cs="Arial"/>
                <w:sz w:val="20"/>
              </w:rPr>
            </w:pPr>
          </w:p>
        </w:tc>
      </w:tr>
      <w:tr w:rsidR="000E5121" w:rsidRPr="00E305B2" w14:paraId="6C27A2D1" w14:textId="77777777" w:rsidTr="000E5121">
        <w:trPr>
          <w:trHeight w:val="288"/>
        </w:trPr>
        <w:tc>
          <w:tcPr>
            <w:tcW w:w="2953" w:type="dxa"/>
            <w:vMerge/>
          </w:tcPr>
          <w:p w14:paraId="46A44977" w14:textId="77777777" w:rsidR="000E5121" w:rsidRPr="00AC0721" w:rsidRDefault="000E5121" w:rsidP="000E5121">
            <w:pPr>
              <w:pStyle w:val="ListParagraph"/>
              <w:ind w:left="342"/>
              <w:rPr>
                <w:rFonts w:ascii="Arial" w:hAnsi="Arial" w:cs="Arial"/>
                <w:sz w:val="20"/>
                <w:szCs w:val="20"/>
              </w:rPr>
            </w:pPr>
          </w:p>
        </w:tc>
        <w:tc>
          <w:tcPr>
            <w:tcW w:w="1089" w:type="dxa"/>
            <w:shd w:val="clear" w:color="auto" w:fill="FFFFFF" w:themeFill="background1"/>
            <w:vAlign w:val="center"/>
          </w:tcPr>
          <w:p w14:paraId="27A326E2" w14:textId="5226D3C4" w:rsidR="000E5121" w:rsidRDefault="000E5121" w:rsidP="000E5121">
            <w:pPr>
              <w:jc w:val="center"/>
              <w:rPr>
                <w:rFonts w:ascii="Arial" w:hAnsi="Arial" w:cs="Arial"/>
                <w:i/>
                <w:sz w:val="16"/>
                <w:szCs w:val="16"/>
              </w:rPr>
            </w:pPr>
            <w:r>
              <w:rPr>
                <w:rFonts w:ascii="Arial" w:hAnsi="Arial" w:cs="Arial"/>
                <w:i/>
                <w:sz w:val="16"/>
                <w:szCs w:val="16"/>
              </w:rPr>
              <w:t>target</w:t>
            </w:r>
          </w:p>
        </w:tc>
        <w:tc>
          <w:tcPr>
            <w:tcW w:w="1241" w:type="dxa"/>
            <w:shd w:val="clear" w:color="auto" w:fill="FFFFFF" w:themeFill="background1"/>
            <w:vAlign w:val="center"/>
          </w:tcPr>
          <w:p w14:paraId="0D13C19A" w14:textId="6AFB1117" w:rsidR="000E5121" w:rsidRDefault="000E5121" w:rsidP="000E5121">
            <w:pPr>
              <w:jc w:val="center"/>
              <w:rPr>
                <w:rFonts w:ascii="Arial" w:hAnsi="Arial" w:cs="Arial"/>
                <w:i/>
                <w:sz w:val="16"/>
                <w:szCs w:val="16"/>
              </w:rPr>
            </w:pPr>
            <w:r>
              <w:rPr>
                <w:rFonts w:ascii="Arial" w:hAnsi="Arial" w:cs="Arial"/>
                <w:i/>
                <w:sz w:val="16"/>
                <w:szCs w:val="16"/>
              </w:rPr>
              <w:t>Not Measured</w:t>
            </w:r>
          </w:p>
        </w:tc>
        <w:tc>
          <w:tcPr>
            <w:tcW w:w="1240" w:type="dxa"/>
            <w:shd w:val="clear" w:color="auto" w:fill="FFFFFF" w:themeFill="background1"/>
            <w:vAlign w:val="center"/>
          </w:tcPr>
          <w:p w14:paraId="556EEC40" w14:textId="3CCB90B9" w:rsidR="000E5121" w:rsidRDefault="000E5121" w:rsidP="000E5121">
            <w:pPr>
              <w:jc w:val="center"/>
              <w:rPr>
                <w:rFonts w:ascii="Arial" w:hAnsi="Arial" w:cs="Arial"/>
                <w:i/>
                <w:sz w:val="16"/>
                <w:szCs w:val="16"/>
              </w:rPr>
            </w:pPr>
            <w:r>
              <w:rPr>
                <w:rFonts w:ascii="Arial" w:hAnsi="Arial" w:cs="Arial"/>
                <w:i/>
                <w:sz w:val="16"/>
                <w:szCs w:val="16"/>
              </w:rPr>
              <w:t>95%</w:t>
            </w:r>
          </w:p>
        </w:tc>
        <w:tc>
          <w:tcPr>
            <w:tcW w:w="1235" w:type="dxa"/>
            <w:shd w:val="clear" w:color="auto" w:fill="FFFFFF" w:themeFill="background1"/>
            <w:vAlign w:val="center"/>
          </w:tcPr>
          <w:p w14:paraId="1B6A2C44" w14:textId="687BDC4D" w:rsidR="000E5121" w:rsidRDefault="000E5121" w:rsidP="000E5121">
            <w:pPr>
              <w:jc w:val="center"/>
              <w:rPr>
                <w:rFonts w:ascii="Arial" w:hAnsi="Arial" w:cs="Arial"/>
                <w:i/>
                <w:sz w:val="16"/>
                <w:szCs w:val="16"/>
              </w:rPr>
            </w:pPr>
            <w:r>
              <w:rPr>
                <w:rFonts w:ascii="Arial" w:hAnsi="Arial" w:cs="Arial"/>
                <w:i/>
                <w:sz w:val="16"/>
                <w:szCs w:val="16"/>
              </w:rPr>
              <w:t>90%</w:t>
            </w:r>
          </w:p>
        </w:tc>
        <w:tc>
          <w:tcPr>
            <w:tcW w:w="1234" w:type="dxa"/>
            <w:shd w:val="clear" w:color="auto" w:fill="FFFFFF" w:themeFill="background1"/>
            <w:vAlign w:val="center"/>
          </w:tcPr>
          <w:p w14:paraId="5330FE73" w14:textId="72BF60AB" w:rsidR="000E5121" w:rsidRDefault="000E5121" w:rsidP="000E5121">
            <w:pPr>
              <w:jc w:val="center"/>
              <w:rPr>
                <w:rFonts w:ascii="Arial" w:hAnsi="Arial" w:cs="Arial"/>
                <w:i/>
                <w:sz w:val="16"/>
                <w:szCs w:val="16"/>
              </w:rPr>
            </w:pPr>
            <w:r>
              <w:rPr>
                <w:rFonts w:ascii="Arial" w:hAnsi="Arial" w:cs="Arial"/>
                <w:i/>
                <w:sz w:val="16"/>
                <w:szCs w:val="16"/>
              </w:rPr>
              <w:t>90%</w:t>
            </w:r>
          </w:p>
        </w:tc>
        <w:tc>
          <w:tcPr>
            <w:tcW w:w="1088" w:type="dxa"/>
            <w:shd w:val="clear" w:color="auto" w:fill="FFFFFF" w:themeFill="background1"/>
            <w:vAlign w:val="center"/>
          </w:tcPr>
          <w:p w14:paraId="199E6223" w14:textId="2A1088A9" w:rsidR="000E5121" w:rsidRPr="00D116F3" w:rsidRDefault="000E5121" w:rsidP="000E5121">
            <w:pPr>
              <w:jc w:val="center"/>
              <w:rPr>
                <w:rFonts w:ascii="Arial" w:hAnsi="Arial" w:cs="Arial"/>
                <w:i/>
                <w:sz w:val="16"/>
                <w:szCs w:val="16"/>
              </w:rPr>
            </w:pPr>
          </w:p>
        </w:tc>
      </w:tr>
      <w:tr w:rsidR="000E5121" w:rsidRPr="00711080" w14:paraId="01B34545" w14:textId="77777777" w:rsidTr="00C92C59">
        <w:trPr>
          <w:trHeight w:val="323"/>
        </w:trPr>
        <w:tc>
          <w:tcPr>
            <w:tcW w:w="10080" w:type="dxa"/>
            <w:gridSpan w:val="7"/>
            <w:shd w:val="clear" w:color="auto" w:fill="DBE5F1" w:themeFill="accent1" w:themeFillTint="33"/>
            <w:vAlign w:val="center"/>
          </w:tcPr>
          <w:p w14:paraId="4E5258B4" w14:textId="77777777" w:rsidR="000E5121" w:rsidRPr="00E119DC" w:rsidRDefault="000E5121" w:rsidP="000E5121">
            <w:pPr>
              <w:jc w:val="center"/>
              <w:rPr>
                <w:rFonts w:ascii="Arial" w:hAnsi="Arial" w:cs="Arial"/>
                <w:b/>
                <w:sz w:val="20"/>
                <w:szCs w:val="20"/>
              </w:rPr>
            </w:pPr>
            <w:r w:rsidRPr="00E119DC">
              <w:rPr>
                <w:rFonts w:ascii="Arial" w:hAnsi="Arial" w:cs="Arial"/>
                <w:b/>
                <w:sz w:val="20"/>
                <w:szCs w:val="20"/>
              </w:rPr>
              <w:t>Goal 5</w:t>
            </w:r>
          </w:p>
          <w:p w14:paraId="4821C8D5" w14:textId="77777777" w:rsidR="000E5121" w:rsidRPr="00E119DC" w:rsidRDefault="000E5121" w:rsidP="000E5121">
            <w:pPr>
              <w:pStyle w:val="firstlevel"/>
              <w:numPr>
                <w:ilvl w:val="0"/>
                <w:numId w:val="0"/>
              </w:numPr>
              <w:spacing w:before="0"/>
              <w:rPr>
                <w:b w:val="0"/>
                <w:i/>
                <w:color w:val="auto"/>
                <w:sz w:val="20"/>
                <w:szCs w:val="20"/>
              </w:rPr>
            </w:pPr>
            <w:r w:rsidRPr="00E119DC">
              <w:rPr>
                <w:b w:val="0"/>
                <w:i/>
                <w:color w:val="auto"/>
                <w:sz w:val="20"/>
                <w:szCs w:val="20"/>
              </w:rPr>
              <w:t>Attract and retain excellent, compassionate staff and volunteers by:</w:t>
            </w:r>
          </w:p>
          <w:p w14:paraId="53226C3E" w14:textId="77777777" w:rsidR="000E5121" w:rsidRPr="00E119DC" w:rsidRDefault="000E5121" w:rsidP="000E5121">
            <w:pPr>
              <w:pStyle w:val="secondlevel"/>
              <w:numPr>
                <w:ilvl w:val="1"/>
                <w:numId w:val="13"/>
              </w:numPr>
              <w:spacing w:before="0"/>
              <w:rPr>
                <w:b w:val="0"/>
                <w:i/>
                <w:color w:val="auto"/>
                <w:sz w:val="20"/>
                <w:szCs w:val="20"/>
              </w:rPr>
            </w:pPr>
            <w:r w:rsidRPr="00E119DC">
              <w:rPr>
                <w:b w:val="0"/>
                <w:i/>
                <w:color w:val="auto"/>
                <w:sz w:val="20"/>
                <w:szCs w:val="20"/>
              </w:rPr>
              <w:t>Ensuring staff and volunteers understand the requirements and expectations of their positions and are motivated to provide excellent customer service.</w:t>
            </w:r>
          </w:p>
          <w:p w14:paraId="6A9F70B2" w14:textId="77777777" w:rsidR="000E5121" w:rsidRPr="00E119DC" w:rsidRDefault="000E5121" w:rsidP="000E5121">
            <w:pPr>
              <w:pStyle w:val="secondlevel"/>
              <w:numPr>
                <w:ilvl w:val="1"/>
                <w:numId w:val="13"/>
              </w:numPr>
              <w:spacing w:before="0"/>
              <w:rPr>
                <w:color w:val="auto"/>
              </w:rPr>
            </w:pPr>
            <w:r w:rsidRPr="00E119DC">
              <w:rPr>
                <w:b w:val="0"/>
                <w:i/>
                <w:color w:val="auto"/>
                <w:sz w:val="20"/>
                <w:szCs w:val="20"/>
              </w:rPr>
              <w:t>Recognizing our superior staff and volunteers.</w:t>
            </w:r>
          </w:p>
        </w:tc>
      </w:tr>
      <w:tr w:rsidR="000E5121" w14:paraId="04D72B42" w14:textId="77777777" w:rsidTr="000E5121">
        <w:trPr>
          <w:trHeight w:val="288"/>
        </w:trPr>
        <w:tc>
          <w:tcPr>
            <w:tcW w:w="2953" w:type="dxa"/>
            <w:vMerge w:val="restart"/>
          </w:tcPr>
          <w:p w14:paraId="6A21B4C3" w14:textId="2681C8B8" w:rsidR="000E5121" w:rsidRPr="00AC0721" w:rsidRDefault="000E5121" w:rsidP="000E5121">
            <w:pPr>
              <w:pStyle w:val="ListParagraph"/>
              <w:numPr>
                <w:ilvl w:val="0"/>
                <w:numId w:val="5"/>
              </w:numPr>
              <w:ind w:left="342"/>
              <w:rPr>
                <w:rFonts w:ascii="Arial" w:hAnsi="Arial" w:cs="Arial"/>
                <w:bCs/>
                <w:sz w:val="20"/>
                <w:szCs w:val="20"/>
              </w:rPr>
            </w:pPr>
            <w:r w:rsidRPr="00E119DC">
              <w:rPr>
                <w:rFonts w:ascii="Arial" w:hAnsi="Arial" w:cs="Arial"/>
                <w:sz w:val="20"/>
                <w:szCs w:val="20"/>
              </w:rPr>
              <w:t>Percent reduction in agency turn-over rate.</w:t>
            </w:r>
          </w:p>
        </w:tc>
        <w:tc>
          <w:tcPr>
            <w:tcW w:w="1089" w:type="dxa"/>
            <w:shd w:val="clear" w:color="auto" w:fill="D9D9D9" w:themeFill="background1" w:themeFillShade="D9"/>
            <w:vAlign w:val="center"/>
          </w:tcPr>
          <w:p w14:paraId="2A208BF6" w14:textId="77777777" w:rsidR="000E5121" w:rsidRPr="00850F9D" w:rsidRDefault="000E5121" w:rsidP="000E5121">
            <w:pPr>
              <w:jc w:val="center"/>
              <w:rPr>
                <w:rFonts w:ascii="Arial" w:hAnsi="Arial" w:cs="Arial"/>
                <w:i/>
                <w:sz w:val="16"/>
                <w:szCs w:val="16"/>
              </w:rPr>
            </w:pPr>
            <w:r w:rsidRPr="001D59BE">
              <w:rPr>
                <w:rFonts w:ascii="Arial" w:hAnsi="Arial" w:cs="Arial"/>
                <w:sz w:val="20"/>
              </w:rPr>
              <w:t>actual</w:t>
            </w:r>
          </w:p>
        </w:tc>
        <w:tc>
          <w:tcPr>
            <w:tcW w:w="1241" w:type="dxa"/>
            <w:shd w:val="clear" w:color="auto" w:fill="D9D9D9" w:themeFill="background1" w:themeFillShade="D9"/>
            <w:vAlign w:val="center"/>
          </w:tcPr>
          <w:p w14:paraId="3DA61E28" w14:textId="339E317F" w:rsidR="000E5121" w:rsidRPr="00243DE0" w:rsidRDefault="000E5121" w:rsidP="000E5121">
            <w:pPr>
              <w:jc w:val="center"/>
              <w:rPr>
                <w:rFonts w:ascii="Arial" w:hAnsi="Arial" w:cs="Arial"/>
                <w:sz w:val="20"/>
                <w:szCs w:val="20"/>
              </w:rPr>
            </w:pPr>
            <w:r>
              <w:rPr>
                <w:rFonts w:ascii="Arial" w:hAnsi="Arial" w:cs="Arial"/>
                <w:sz w:val="20"/>
                <w:szCs w:val="20"/>
              </w:rPr>
              <w:t>27.8%</w:t>
            </w:r>
          </w:p>
        </w:tc>
        <w:tc>
          <w:tcPr>
            <w:tcW w:w="1240" w:type="dxa"/>
            <w:shd w:val="clear" w:color="auto" w:fill="D9D9D9" w:themeFill="background1" w:themeFillShade="D9"/>
            <w:vAlign w:val="center"/>
          </w:tcPr>
          <w:p w14:paraId="28DFAA71" w14:textId="56DDB15F" w:rsidR="000E5121" w:rsidRPr="00243DE0" w:rsidRDefault="000E5121" w:rsidP="000E5121">
            <w:pPr>
              <w:jc w:val="center"/>
              <w:rPr>
                <w:rFonts w:ascii="Arial" w:hAnsi="Arial" w:cs="Arial"/>
                <w:sz w:val="20"/>
                <w:szCs w:val="20"/>
              </w:rPr>
            </w:pPr>
            <w:r>
              <w:rPr>
                <w:rFonts w:ascii="Arial" w:hAnsi="Arial" w:cs="Arial"/>
                <w:sz w:val="20"/>
              </w:rPr>
              <w:t>29.5%</w:t>
            </w:r>
          </w:p>
        </w:tc>
        <w:tc>
          <w:tcPr>
            <w:tcW w:w="1235" w:type="dxa"/>
            <w:shd w:val="clear" w:color="auto" w:fill="D9D9D9" w:themeFill="background1" w:themeFillShade="D9"/>
            <w:vAlign w:val="center"/>
          </w:tcPr>
          <w:p w14:paraId="279A7696" w14:textId="11EA7A5B" w:rsidR="000E5121" w:rsidRPr="00781040" w:rsidRDefault="000E5121" w:rsidP="000E5121">
            <w:pPr>
              <w:jc w:val="center"/>
              <w:rPr>
                <w:rFonts w:ascii="Arial" w:hAnsi="Arial" w:cs="Arial"/>
                <w:sz w:val="20"/>
                <w:szCs w:val="20"/>
              </w:rPr>
            </w:pPr>
            <w:r>
              <w:rPr>
                <w:rFonts w:ascii="Arial" w:hAnsi="Arial" w:cs="Arial"/>
                <w:sz w:val="20"/>
              </w:rPr>
              <w:t>32.6%</w:t>
            </w:r>
          </w:p>
        </w:tc>
        <w:tc>
          <w:tcPr>
            <w:tcW w:w="1234" w:type="dxa"/>
            <w:shd w:val="clear" w:color="auto" w:fill="D9D9D9" w:themeFill="background1" w:themeFillShade="D9"/>
            <w:vAlign w:val="center"/>
          </w:tcPr>
          <w:p w14:paraId="6BC4218C" w14:textId="1BB5EC46" w:rsidR="000E5121" w:rsidRPr="00E119DC" w:rsidRDefault="000E5121" w:rsidP="000E5121">
            <w:pPr>
              <w:jc w:val="center"/>
              <w:rPr>
                <w:rFonts w:ascii="Arial" w:hAnsi="Arial" w:cs="Arial"/>
                <w:sz w:val="20"/>
                <w:szCs w:val="20"/>
              </w:rPr>
            </w:pPr>
          </w:p>
        </w:tc>
        <w:tc>
          <w:tcPr>
            <w:tcW w:w="1088" w:type="dxa"/>
            <w:shd w:val="clear" w:color="auto" w:fill="D9D9D9" w:themeFill="background1" w:themeFillShade="D9"/>
            <w:vAlign w:val="center"/>
          </w:tcPr>
          <w:p w14:paraId="5E47D585" w14:textId="548E9871" w:rsidR="000E5121" w:rsidRDefault="000E5121" w:rsidP="000E5121">
            <w:pPr>
              <w:jc w:val="center"/>
              <w:rPr>
                <w:rFonts w:ascii="Arial" w:hAnsi="Arial" w:cs="Arial"/>
                <w:i/>
                <w:sz w:val="16"/>
                <w:szCs w:val="16"/>
              </w:rPr>
            </w:pPr>
          </w:p>
        </w:tc>
      </w:tr>
      <w:tr w:rsidR="000E5121" w14:paraId="425F8A85" w14:textId="77777777" w:rsidTr="000E5121">
        <w:trPr>
          <w:trHeight w:val="288"/>
        </w:trPr>
        <w:tc>
          <w:tcPr>
            <w:tcW w:w="2953" w:type="dxa"/>
            <w:vMerge/>
          </w:tcPr>
          <w:p w14:paraId="4DA33195" w14:textId="77777777" w:rsidR="000E5121" w:rsidRPr="00646DA1" w:rsidRDefault="000E5121" w:rsidP="000E5121">
            <w:pPr>
              <w:pStyle w:val="ListParagraph"/>
              <w:ind w:left="342"/>
              <w:rPr>
                <w:rFonts w:ascii="Arial" w:hAnsi="Arial" w:cs="Arial"/>
                <w:bCs/>
                <w:sz w:val="20"/>
              </w:rPr>
            </w:pPr>
          </w:p>
        </w:tc>
        <w:tc>
          <w:tcPr>
            <w:tcW w:w="1089" w:type="dxa"/>
            <w:shd w:val="clear" w:color="auto" w:fill="FFFFFF" w:themeFill="background1"/>
            <w:vAlign w:val="center"/>
          </w:tcPr>
          <w:p w14:paraId="08B1FA39" w14:textId="77777777" w:rsidR="000E5121" w:rsidRPr="00850F9D" w:rsidRDefault="000E5121" w:rsidP="000E5121">
            <w:pPr>
              <w:jc w:val="center"/>
              <w:rPr>
                <w:rFonts w:ascii="Arial" w:hAnsi="Arial" w:cs="Arial"/>
                <w:i/>
                <w:sz w:val="16"/>
                <w:szCs w:val="16"/>
              </w:rPr>
            </w:pPr>
            <w:r>
              <w:rPr>
                <w:rFonts w:ascii="Arial" w:hAnsi="Arial" w:cs="Arial"/>
                <w:i/>
                <w:sz w:val="16"/>
                <w:szCs w:val="16"/>
              </w:rPr>
              <w:t>target</w:t>
            </w:r>
          </w:p>
        </w:tc>
        <w:tc>
          <w:tcPr>
            <w:tcW w:w="1241" w:type="dxa"/>
            <w:shd w:val="clear" w:color="auto" w:fill="FFFFFF" w:themeFill="background1"/>
            <w:vAlign w:val="center"/>
          </w:tcPr>
          <w:p w14:paraId="58238EAF" w14:textId="12CCFCF9" w:rsidR="000E5121" w:rsidRPr="00EA49F9" w:rsidRDefault="000E5121" w:rsidP="000E5121">
            <w:pPr>
              <w:jc w:val="center"/>
              <w:rPr>
                <w:rFonts w:ascii="Arial" w:hAnsi="Arial" w:cs="Arial"/>
                <w:i/>
                <w:sz w:val="16"/>
                <w:szCs w:val="16"/>
              </w:rPr>
            </w:pPr>
            <w:r>
              <w:rPr>
                <w:rFonts w:ascii="Arial" w:hAnsi="Arial" w:cs="Arial"/>
                <w:i/>
                <w:sz w:val="16"/>
                <w:szCs w:val="16"/>
              </w:rPr>
              <w:t>24%</w:t>
            </w:r>
          </w:p>
        </w:tc>
        <w:tc>
          <w:tcPr>
            <w:tcW w:w="1240" w:type="dxa"/>
            <w:shd w:val="clear" w:color="auto" w:fill="FFFFFF" w:themeFill="background1"/>
            <w:vAlign w:val="center"/>
          </w:tcPr>
          <w:p w14:paraId="6725C06A" w14:textId="5D11AA9B" w:rsidR="000E5121" w:rsidRDefault="000E5121" w:rsidP="000E5121">
            <w:pPr>
              <w:jc w:val="center"/>
              <w:rPr>
                <w:rFonts w:ascii="Arial" w:hAnsi="Arial" w:cs="Arial"/>
                <w:i/>
                <w:sz w:val="16"/>
                <w:szCs w:val="16"/>
              </w:rPr>
            </w:pPr>
            <w:r>
              <w:rPr>
                <w:rFonts w:ascii="Arial" w:hAnsi="Arial" w:cs="Arial"/>
                <w:i/>
                <w:sz w:val="16"/>
                <w:szCs w:val="16"/>
              </w:rPr>
              <w:t>24%</w:t>
            </w:r>
          </w:p>
        </w:tc>
        <w:tc>
          <w:tcPr>
            <w:tcW w:w="1235" w:type="dxa"/>
            <w:shd w:val="clear" w:color="auto" w:fill="FFFFFF" w:themeFill="background1"/>
            <w:vAlign w:val="center"/>
          </w:tcPr>
          <w:p w14:paraId="2E53917A" w14:textId="09CAE776" w:rsidR="000E5121" w:rsidRDefault="000E5121" w:rsidP="000E5121">
            <w:pPr>
              <w:jc w:val="center"/>
              <w:rPr>
                <w:rFonts w:ascii="Arial" w:hAnsi="Arial" w:cs="Arial"/>
                <w:i/>
                <w:sz w:val="16"/>
                <w:szCs w:val="16"/>
              </w:rPr>
            </w:pPr>
            <w:r>
              <w:rPr>
                <w:rFonts w:ascii="Arial" w:hAnsi="Arial" w:cs="Arial"/>
                <w:i/>
                <w:sz w:val="16"/>
                <w:szCs w:val="16"/>
              </w:rPr>
              <w:t>24%</w:t>
            </w:r>
          </w:p>
        </w:tc>
        <w:tc>
          <w:tcPr>
            <w:tcW w:w="1234" w:type="dxa"/>
            <w:shd w:val="clear" w:color="auto" w:fill="FFFFFF" w:themeFill="background1"/>
            <w:vAlign w:val="center"/>
          </w:tcPr>
          <w:p w14:paraId="5700CF88" w14:textId="481E439A" w:rsidR="000E5121" w:rsidRPr="00E119DC" w:rsidRDefault="000E5121" w:rsidP="000E5121">
            <w:pPr>
              <w:jc w:val="center"/>
              <w:rPr>
                <w:rFonts w:ascii="Arial" w:hAnsi="Arial" w:cs="Arial"/>
                <w:i/>
                <w:sz w:val="16"/>
                <w:szCs w:val="16"/>
              </w:rPr>
            </w:pPr>
            <w:r>
              <w:rPr>
                <w:rFonts w:ascii="Arial" w:hAnsi="Arial" w:cs="Arial"/>
                <w:i/>
                <w:sz w:val="16"/>
                <w:szCs w:val="16"/>
              </w:rPr>
              <w:t>24%</w:t>
            </w:r>
          </w:p>
        </w:tc>
        <w:tc>
          <w:tcPr>
            <w:tcW w:w="1088" w:type="dxa"/>
            <w:shd w:val="clear" w:color="auto" w:fill="FFFFFF" w:themeFill="background1"/>
            <w:vAlign w:val="center"/>
          </w:tcPr>
          <w:p w14:paraId="552688EB" w14:textId="332A4B68" w:rsidR="000E5121" w:rsidRDefault="000E5121" w:rsidP="000E5121">
            <w:pPr>
              <w:jc w:val="center"/>
              <w:rPr>
                <w:rFonts w:ascii="Arial" w:hAnsi="Arial" w:cs="Arial"/>
                <w:i/>
                <w:sz w:val="16"/>
                <w:szCs w:val="16"/>
              </w:rPr>
            </w:pPr>
          </w:p>
        </w:tc>
      </w:tr>
    </w:tbl>
    <w:p w14:paraId="7BEBE526" w14:textId="77777777" w:rsidR="002237AF" w:rsidRDefault="002237AF" w:rsidP="002237AF">
      <w:pPr>
        <w:rPr>
          <w:rFonts w:ascii="Arial" w:hAnsi="Arial" w:cs="Arial"/>
          <w:sz w:val="20"/>
          <w:szCs w:val="20"/>
        </w:rPr>
      </w:pPr>
    </w:p>
    <w:p w14:paraId="23C2DC91" w14:textId="77777777" w:rsidR="005159FC" w:rsidRPr="002237AF" w:rsidRDefault="005159FC" w:rsidP="002237AF">
      <w:pPr>
        <w:rPr>
          <w:rFonts w:ascii="Arial" w:hAnsi="Arial" w:cs="Arial"/>
          <w:szCs w:val="20"/>
        </w:rPr>
      </w:pPr>
    </w:p>
    <w:tbl>
      <w:tblPr>
        <w:tblpPr w:leftFromText="180" w:rightFromText="180" w:vertAnchor="text" w:horzAnchor="margin" w:tblpXSpec="center" w:tblpY="-18"/>
        <w:tblOverlap w:val="never"/>
        <w:tblW w:w="0" w:type="auto"/>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6C10B8" w:rsidRPr="00897855" w14:paraId="231F9C7F" w14:textId="77777777" w:rsidTr="006C10B8">
        <w:tc>
          <w:tcPr>
            <w:tcW w:w="7680" w:type="dxa"/>
            <w:tcBorders>
              <w:top w:val="threeDEmboss" w:sz="24" w:space="0" w:color="333399"/>
              <w:bottom w:val="threeDEmboss" w:sz="24" w:space="0" w:color="333399"/>
            </w:tcBorders>
          </w:tcPr>
          <w:p w14:paraId="05946099" w14:textId="77777777" w:rsidR="006C10B8" w:rsidRDefault="006C10B8" w:rsidP="002237AF">
            <w:pPr>
              <w:spacing w:line="276" w:lineRule="auto"/>
              <w:jc w:val="center"/>
              <w:rPr>
                <w:rFonts w:ascii="Arial" w:hAnsi="Arial" w:cs="Arial"/>
                <w:b/>
                <w:bCs/>
                <w:sz w:val="20"/>
                <w:szCs w:val="20"/>
              </w:rPr>
            </w:pPr>
            <w:r w:rsidRPr="002237AF">
              <w:rPr>
                <w:rFonts w:ascii="Arial" w:hAnsi="Arial" w:cs="Arial"/>
                <w:b/>
                <w:bCs/>
                <w:sz w:val="20"/>
                <w:szCs w:val="20"/>
              </w:rPr>
              <w:t>For More Information Contact</w:t>
            </w:r>
          </w:p>
          <w:p w14:paraId="284A90B8" w14:textId="77777777" w:rsidR="00DF7E62" w:rsidRPr="002237AF" w:rsidRDefault="00DF7E62" w:rsidP="002237AF">
            <w:pPr>
              <w:spacing w:line="276" w:lineRule="auto"/>
              <w:jc w:val="center"/>
              <w:rPr>
                <w:rFonts w:ascii="Arial" w:hAnsi="Arial" w:cs="Arial"/>
                <w:b/>
                <w:bCs/>
                <w:sz w:val="20"/>
                <w:szCs w:val="20"/>
              </w:rPr>
            </w:pPr>
          </w:p>
          <w:p w14:paraId="4F9EB317" w14:textId="3ABCF4AC" w:rsidR="006C10B8" w:rsidRPr="002237AF" w:rsidRDefault="004D7206" w:rsidP="002237AF">
            <w:pPr>
              <w:spacing w:line="276" w:lineRule="auto"/>
              <w:ind w:left="259"/>
              <w:rPr>
                <w:rFonts w:ascii="Arial" w:hAnsi="Arial" w:cs="Arial"/>
                <w:sz w:val="20"/>
                <w:szCs w:val="20"/>
              </w:rPr>
            </w:pPr>
            <w:r>
              <w:rPr>
                <w:rFonts w:ascii="Arial" w:hAnsi="Arial" w:cs="Arial"/>
                <w:noProof/>
                <w:sz w:val="20"/>
                <w:szCs w:val="20"/>
              </w:rPr>
              <w:t>Mar</w:t>
            </w:r>
            <w:r w:rsidR="00236ACB">
              <w:rPr>
                <w:rFonts w:ascii="Arial" w:hAnsi="Arial" w:cs="Arial"/>
                <w:noProof/>
                <w:sz w:val="20"/>
                <w:szCs w:val="20"/>
              </w:rPr>
              <w:t>k</w:t>
            </w:r>
            <w:r>
              <w:rPr>
                <w:rFonts w:ascii="Arial" w:hAnsi="Arial" w:cs="Arial"/>
                <w:noProof/>
                <w:sz w:val="20"/>
                <w:szCs w:val="20"/>
              </w:rPr>
              <w:t xml:space="preserve"> </w:t>
            </w:r>
            <w:r w:rsidR="00EE5D42">
              <w:rPr>
                <w:rFonts w:ascii="Arial" w:hAnsi="Arial" w:cs="Arial"/>
                <w:noProof/>
                <w:sz w:val="20"/>
                <w:szCs w:val="20"/>
              </w:rPr>
              <w:t>Tschampl</w:t>
            </w:r>
            <w:r w:rsidR="006C10B8" w:rsidRPr="002237AF">
              <w:rPr>
                <w:rFonts w:ascii="Arial" w:hAnsi="Arial" w:cs="Arial"/>
                <w:noProof/>
                <w:sz w:val="20"/>
                <w:szCs w:val="20"/>
              </w:rPr>
              <w:t xml:space="preserve">, </w:t>
            </w:r>
            <w:r>
              <w:rPr>
                <w:rFonts w:ascii="Arial" w:hAnsi="Arial" w:cs="Arial"/>
                <w:noProof/>
                <w:sz w:val="20"/>
                <w:szCs w:val="20"/>
              </w:rPr>
              <w:t xml:space="preserve">Chief </w:t>
            </w:r>
            <w:r w:rsidR="006C10B8" w:rsidRPr="002237AF">
              <w:rPr>
                <w:rFonts w:ascii="Arial" w:hAnsi="Arial" w:cs="Arial"/>
                <w:noProof/>
                <w:sz w:val="20"/>
                <w:szCs w:val="20"/>
              </w:rPr>
              <w:t>Administrator</w:t>
            </w:r>
          </w:p>
          <w:p w14:paraId="164967CD" w14:textId="77777777" w:rsidR="006C10B8" w:rsidRPr="002237AF" w:rsidRDefault="006C10B8" w:rsidP="002237AF">
            <w:pPr>
              <w:spacing w:line="276" w:lineRule="auto"/>
              <w:ind w:left="252"/>
              <w:rPr>
                <w:rFonts w:ascii="Arial" w:hAnsi="Arial" w:cs="Arial"/>
                <w:sz w:val="20"/>
                <w:szCs w:val="20"/>
              </w:rPr>
            </w:pPr>
            <w:r w:rsidRPr="002237AF">
              <w:rPr>
                <w:rFonts w:ascii="Arial" w:hAnsi="Arial" w:cs="Arial"/>
                <w:noProof/>
                <w:sz w:val="20"/>
                <w:szCs w:val="20"/>
              </w:rPr>
              <w:t>Idaho Division of Veterans Services</w:t>
            </w:r>
          </w:p>
          <w:p w14:paraId="191FF346" w14:textId="77777777" w:rsidR="006C10B8" w:rsidRPr="00984A0E" w:rsidRDefault="006C10B8" w:rsidP="002237AF">
            <w:pPr>
              <w:spacing w:line="276" w:lineRule="auto"/>
              <w:ind w:left="252"/>
              <w:rPr>
                <w:rFonts w:ascii="Arial" w:hAnsi="Arial" w:cs="Arial"/>
                <w:sz w:val="20"/>
                <w:szCs w:val="20"/>
              </w:rPr>
            </w:pPr>
            <w:r w:rsidRPr="00984A0E">
              <w:rPr>
                <w:rFonts w:ascii="Arial" w:hAnsi="Arial" w:cs="Arial"/>
                <w:noProof/>
                <w:sz w:val="20"/>
                <w:szCs w:val="20"/>
              </w:rPr>
              <w:t>351 Collins Rd</w:t>
            </w:r>
          </w:p>
          <w:p w14:paraId="79C48910" w14:textId="77777777" w:rsidR="006C10B8" w:rsidRPr="002237AF" w:rsidRDefault="006C10B8" w:rsidP="002237AF">
            <w:pPr>
              <w:spacing w:line="276" w:lineRule="auto"/>
              <w:ind w:left="252"/>
              <w:rPr>
                <w:rFonts w:ascii="Arial" w:hAnsi="Arial" w:cs="Arial"/>
                <w:sz w:val="20"/>
                <w:szCs w:val="20"/>
                <w:lang w:val="fr-FR"/>
              </w:rPr>
            </w:pPr>
            <w:r w:rsidRPr="002237AF">
              <w:rPr>
                <w:rFonts w:ascii="Arial" w:hAnsi="Arial" w:cs="Arial"/>
                <w:noProof/>
                <w:sz w:val="20"/>
                <w:szCs w:val="20"/>
                <w:lang w:val="fr-FR"/>
              </w:rPr>
              <w:t>Boise</w:t>
            </w:r>
            <w:r w:rsidRPr="002237AF">
              <w:rPr>
                <w:rFonts w:ascii="Arial" w:hAnsi="Arial" w:cs="Arial"/>
                <w:sz w:val="20"/>
                <w:szCs w:val="20"/>
                <w:lang w:val="fr-FR"/>
              </w:rPr>
              <w:t xml:space="preserve">, </w:t>
            </w:r>
            <w:r w:rsidRPr="002237AF">
              <w:rPr>
                <w:rFonts w:ascii="Arial" w:hAnsi="Arial" w:cs="Arial"/>
                <w:noProof/>
                <w:sz w:val="20"/>
                <w:szCs w:val="20"/>
                <w:lang w:val="fr-FR"/>
              </w:rPr>
              <w:t>ID</w:t>
            </w:r>
            <w:r w:rsidR="003A0660">
              <w:rPr>
                <w:rFonts w:ascii="Arial" w:hAnsi="Arial" w:cs="Arial"/>
                <w:sz w:val="20"/>
                <w:szCs w:val="20"/>
                <w:lang w:val="fr-FR"/>
              </w:rPr>
              <w:t xml:space="preserve"> </w:t>
            </w:r>
            <w:r w:rsidRPr="002237AF">
              <w:rPr>
                <w:rFonts w:ascii="Arial" w:hAnsi="Arial" w:cs="Arial"/>
                <w:noProof/>
                <w:sz w:val="20"/>
                <w:szCs w:val="20"/>
                <w:lang w:val="fr-FR"/>
              </w:rPr>
              <w:t>83702</w:t>
            </w:r>
          </w:p>
          <w:p w14:paraId="03CB1357" w14:textId="77777777" w:rsidR="006C10B8" w:rsidRPr="002237AF" w:rsidRDefault="006C10B8" w:rsidP="002237AF">
            <w:pPr>
              <w:spacing w:line="276" w:lineRule="auto"/>
              <w:ind w:left="252"/>
              <w:rPr>
                <w:rFonts w:ascii="Arial" w:hAnsi="Arial" w:cs="Arial"/>
                <w:sz w:val="20"/>
                <w:szCs w:val="20"/>
                <w:lang w:val="fr-FR"/>
              </w:rPr>
            </w:pPr>
            <w:proofErr w:type="gramStart"/>
            <w:r w:rsidRPr="002237AF">
              <w:rPr>
                <w:rFonts w:ascii="Arial" w:hAnsi="Arial" w:cs="Arial"/>
                <w:sz w:val="20"/>
                <w:szCs w:val="20"/>
                <w:lang w:val="fr-FR"/>
              </w:rPr>
              <w:t>Phone:</w:t>
            </w:r>
            <w:proofErr w:type="gramEnd"/>
            <w:r w:rsidRPr="002237AF">
              <w:rPr>
                <w:rFonts w:ascii="Arial" w:hAnsi="Arial" w:cs="Arial"/>
                <w:sz w:val="20"/>
                <w:szCs w:val="20"/>
                <w:lang w:val="fr-FR"/>
              </w:rPr>
              <w:t xml:space="preserve"> (208) </w:t>
            </w:r>
            <w:r w:rsidR="002A6CFA">
              <w:rPr>
                <w:rFonts w:ascii="Arial" w:hAnsi="Arial" w:cs="Arial"/>
                <w:sz w:val="20"/>
                <w:szCs w:val="20"/>
                <w:lang w:val="fr-FR"/>
              </w:rPr>
              <w:t>780-1300</w:t>
            </w:r>
          </w:p>
          <w:p w14:paraId="073559F0" w14:textId="21AE2213" w:rsidR="00EE5D42" w:rsidRPr="00EE5D42" w:rsidRDefault="006C10B8" w:rsidP="00EE5D42">
            <w:pPr>
              <w:spacing w:line="276" w:lineRule="auto"/>
              <w:ind w:left="252"/>
              <w:rPr>
                <w:rStyle w:val="Hyperlink"/>
                <w:rFonts w:ascii="Arial" w:hAnsi="Arial" w:cs="Arial"/>
                <w:sz w:val="20"/>
                <w:szCs w:val="20"/>
                <w:u w:val="single"/>
                <w:lang w:val="fr-FR"/>
              </w:rPr>
            </w:pPr>
            <w:proofErr w:type="gramStart"/>
            <w:r w:rsidRPr="002237AF">
              <w:rPr>
                <w:rFonts w:ascii="Arial" w:hAnsi="Arial" w:cs="Arial"/>
                <w:sz w:val="20"/>
                <w:szCs w:val="20"/>
                <w:lang w:val="fr-FR"/>
              </w:rPr>
              <w:t>E-mail:</w:t>
            </w:r>
            <w:proofErr w:type="gramEnd"/>
            <w:r w:rsidRPr="002237AF">
              <w:rPr>
                <w:rFonts w:ascii="Arial" w:hAnsi="Arial" w:cs="Arial"/>
                <w:sz w:val="20"/>
                <w:szCs w:val="20"/>
                <w:lang w:val="fr-FR"/>
              </w:rPr>
              <w:t xml:space="preserve"> </w:t>
            </w:r>
            <w:hyperlink r:id="rId8" w:history="1">
              <w:r w:rsidR="00EE5D42" w:rsidRPr="009446DB">
                <w:rPr>
                  <w:rStyle w:val="Hyperlink"/>
                  <w:rFonts w:ascii="Arial" w:hAnsi="Arial" w:cs="Arial"/>
                  <w:sz w:val="20"/>
                  <w:szCs w:val="20"/>
                  <w:lang w:val="fr-FR"/>
                </w:rPr>
                <w:t>mark.tschampl@veterans.idaho.gov</w:t>
              </w:r>
            </w:hyperlink>
          </w:p>
          <w:p w14:paraId="5C2F716F" w14:textId="77777777" w:rsidR="00DF7E62" w:rsidRPr="00984A0E" w:rsidRDefault="00DF7E62" w:rsidP="00DF7E62">
            <w:pPr>
              <w:spacing w:line="276" w:lineRule="auto"/>
              <w:ind w:left="252"/>
              <w:rPr>
                <w:rFonts w:ascii="Arial" w:hAnsi="Arial" w:cs="Arial"/>
                <w:lang w:val="fr-FR"/>
              </w:rPr>
            </w:pPr>
          </w:p>
        </w:tc>
      </w:tr>
    </w:tbl>
    <w:p w14:paraId="0EC38091" w14:textId="77777777" w:rsidR="00250A02" w:rsidRPr="00984A0E" w:rsidRDefault="00250A02" w:rsidP="00F02905">
      <w:pPr>
        <w:jc w:val="both"/>
        <w:rPr>
          <w:rFonts w:ascii="Arial" w:hAnsi="Arial" w:cs="Arial"/>
          <w:sz w:val="20"/>
          <w:szCs w:val="20"/>
          <w:lang w:val="fr-FR"/>
        </w:rPr>
      </w:pPr>
    </w:p>
    <w:sectPr w:rsidR="00250A02" w:rsidRPr="00984A0E" w:rsidSect="00DF7E62">
      <w:headerReference w:type="default" r:id="rId9"/>
      <w:footerReference w:type="default" r:id="rId10"/>
      <w:type w:val="continuous"/>
      <w:pgSz w:w="12240" w:h="15840" w:code="1"/>
      <w:pgMar w:top="108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AF59D" w14:textId="77777777" w:rsidR="000E0CD3" w:rsidRDefault="000E0CD3">
      <w:r>
        <w:separator/>
      </w:r>
    </w:p>
  </w:endnote>
  <w:endnote w:type="continuationSeparator" w:id="0">
    <w:p w14:paraId="6B0B05BD" w14:textId="77777777" w:rsidR="000E0CD3" w:rsidRDefault="000E0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6372338"/>
      <w:docPartObj>
        <w:docPartGallery w:val="Page Numbers (Bottom of Page)"/>
        <w:docPartUnique/>
      </w:docPartObj>
    </w:sdtPr>
    <w:sdtEndPr>
      <w:rPr>
        <w:noProof/>
      </w:rPr>
    </w:sdtEndPr>
    <w:sdtContent>
      <w:p w14:paraId="1E62278D" w14:textId="77777777" w:rsidR="00F02905" w:rsidRPr="00F02905" w:rsidRDefault="00F02905" w:rsidP="00F02905">
        <w:pPr>
          <w:pStyle w:val="Footer"/>
          <w:tabs>
            <w:tab w:val="clear" w:pos="4320"/>
            <w:tab w:val="clear" w:pos="8640"/>
            <w:tab w:val="center" w:pos="4680"/>
            <w:tab w:val="right" w:pos="10080"/>
          </w:tabs>
          <w:rPr>
            <w:rFonts w:ascii="Arial" w:hAnsi="Arial" w:cs="Arial"/>
            <w:sz w:val="20"/>
            <w:szCs w:val="20"/>
          </w:rPr>
        </w:pPr>
      </w:p>
      <w:p w14:paraId="369411AF" w14:textId="77777777" w:rsidR="00B37A27" w:rsidRPr="00F02905" w:rsidRDefault="005D36CD" w:rsidP="00F02905">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0E4662">
          <w:rPr>
            <w:rFonts w:ascii="Arial" w:hAnsi="Arial" w:cs="Arial"/>
            <w:noProof/>
            <w:sz w:val="20"/>
            <w:szCs w:val="20"/>
          </w:rPr>
          <w:t>4</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47133" w14:textId="77777777" w:rsidR="000E0CD3" w:rsidRDefault="000E0CD3">
      <w:r>
        <w:separator/>
      </w:r>
    </w:p>
  </w:footnote>
  <w:footnote w:type="continuationSeparator" w:id="0">
    <w:p w14:paraId="0BEC0338" w14:textId="77777777" w:rsidR="000E0CD3" w:rsidRDefault="000E0CD3">
      <w:r>
        <w:continuationSeparator/>
      </w:r>
    </w:p>
  </w:footnote>
  <w:footnote w:id="1">
    <w:p w14:paraId="53D65EDB" w14:textId="77777777" w:rsidR="00A608BA" w:rsidRDefault="00A608BA">
      <w:pPr>
        <w:pStyle w:val="FootnoteText"/>
      </w:pPr>
      <w:r>
        <w:rPr>
          <w:rStyle w:val="FootnoteReference"/>
        </w:rPr>
        <w:footnoteRef/>
      </w:r>
      <w:r>
        <w:t xml:space="preserve"> The Residential/Domiciliary program was discontinued on November 1, 2023. The Boise Home assisted all Dom/Res Veterans with finding suitable accommodations prior to the program being discontinued.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5D36CD" w14:paraId="7F62EECE" w14:textId="77777777" w:rsidTr="0044716D">
      <w:tc>
        <w:tcPr>
          <w:tcW w:w="10080" w:type="dxa"/>
          <w:shd w:val="clear" w:color="auto" w:fill="000080"/>
        </w:tcPr>
        <w:p w14:paraId="18BF566A" w14:textId="77777777" w:rsidR="005D36CD" w:rsidRDefault="005D36CD" w:rsidP="00F02905">
          <w:pPr>
            <w:tabs>
              <w:tab w:val="right" w:pos="9852"/>
            </w:tabs>
            <w:rPr>
              <w:rFonts w:ascii="Arial" w:hAnsi="Arial" w:cs="Arial"/>
              <w:color w:val="FFFFFF"/>
            </w:rPr>
          </w:pPr>
          <w:r>
            <w:rPr>
              <w:rFonts w:ascii="Arial" w:hAnsi="Arial" w:cs="Arial"/>
              <w:b/>
              <w:bCs/>
              <w:noProof/>
              <w:color w:val="FFFFFF"/>
            </w:rPr>
            <w:t>Veterans Services, Division of</w:t>
          </w:r>
          <w:r>
            <w:rPr>
              <w:rFonts w:ascii="Arial" w:hAnsi="Arial" w:cs="Arial"/>
              <w:b/>
              <w:bCs/>
              <w:color w:val="FFFFFF"/>
            </w:rPr>
            <w:tab/>
          </w:r>
          <w:r>
            <w:rPr>
              <w:rFonts w:ascii="Arial" w:hAnsi="Arial" w:cs="Arial"/>
              <w:color w:val="FFFFFF"/>
            </w:rPr>
            <w:t>Performance Report</w:t>
          </w:r>
        </w:p>
      </w:tc>
    </w:tr>
    <w:tr w:rsidR="005D36CD" w14:paraId="1C6A1E98" w14:textId="77777777" w:rsidTr="0044716D">
      <w:trPr>
        <w:trHeight w:hRule="exact" w:val="90"/>
      </w:trPr>
      <w:tc>
        <w:tcPr>
          <w:tcW w:w="10080" w:type="dxa"/>
          <w:tcBorders>
            <w:top w:val="nil"/>
          </w:tcBorders>
        </w:tcPr>
        <w:p w14:paraId="11704DEC" w14:textId="77777777" w:rsidR="005D36CD" w:rsidRDefault="005D36CD" w:rsidP="003654F5"/>
      </w:tc>
    </w:tr>
    <w:tr w:rsidR="005D36CD" w14:paraId="45BAF188" w14:textId="77777777" w:rsidTr="0044716D">
      <w:tc>
        <w:tcPr>
          <w:tcW w:w="10080" w:type="dxa"/>
          <w:tcBorders>
            <w:bottom w:val="nil"/>
          </w:tcBorders>
          <w:shd w:val="clear" w:color="auto" w:fill="000080"/>
        </w:tcPr>
        <w:p w14:paraId="2E24681D" w14:textId="77777777" w:rsidR="005D36CD" w:rsidRDefault="005D36CD" w:rsidP="003654F5"/>
      </w:tc>
    </w:tr>
  </w:tbl>
  <w:p w14:paraId="2FD0D5CF" w14:textId="77777777" w:rsidR="00B37A27" w:rsidRDefault="00B37A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8499F"/>
    <w:multiLevelType w:val="hybridMultilevel"/>
    <w:tmpl w:val="58E81A74"/>
    <w:lvl w:ilvl="0" w:tplc="CBA4EE14">
      <w:start w:val="13"/>
      <w:numFmt w:val="decimal"/>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393A1E"/>
    <w:multiLevelType w:val="hybridMultilevel"/>
    <w:tmpl w:val="7D9C47B2"/>
    <w:lvl w:ilvl="0" w:tplc="C6A89520">
      <w:start w:val="1"/>
      <w:numFmt w:val="bullet"/>
      <w:lvlText w:val=""/>
      <w:lvlJc w:val="left"/>
      <w:pPr>
        <w:tabs>
          <w:tab w:val="num" w:pos="1440"/>
        </w:tabs>
        <w:ind w:left="144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59D7371"/>
    <w:multiLevelType w:val="hybridMultilevel"/>
    <w:tmpl w:val="1ABAA710"/>
    <w:lvl w:ilvl="0" w:tplc="460CA5FE">
      <w:start w:val="8"/>
      <w:numFmt w:val="decimal"/>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5D5A98"/>
    <w:multiLevelType w:val="hybridMultilevel"/>
    <w:tmpl w:val="70FAB5BC"/>
    <w:lvl w:ilvl="0" w:tplc="C096DE36">
      <w:start w:val="14"/>
      <w:numFmt w:val="decimal"/>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1C1453"/>
    <w:multiLevelType w:val="hybridMultilevel"/>
    <w:tmpl w:val="C5AA98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4AF31751"/>
    <w:multiLevelType w:val="hybridMultilevel"/>
    <w:tmpl w:val="80C47964"/>
    <w:lvl w:ilvl="0" w:tplc="85163904">
      <w:start w:val="9"/>
      <w:numFmt w:val="decimal"/>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84137"/>
    <w:multiLevelType w:val="hybridMultilevel"/>
    <w:tmpl w:val="503A5B18"/>
    <w:lvl w:ilvl="0" w:tplc="651411D0">
      <w:start w:val="10"/>
      <w:numFmt w:val="decimal"/>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F0CDF"/>
    <w:multiLevelType w:val="hybridMultilevel"/>
    <w:tmpl w:val="1FF2EC70"/>
    <w:lvl w:ilvl="0" w:tplc="17BA825C">
      <w:start w:val="1"/>
      <w:numFmt w:val="decimal"/>
      <w:lvlText w:val="%1."/>
      <w:lvlJc w:val="left"/>
      <w:pPr>
        <w:ind w:left="810" w:hanging="360"/>
      </w:pPr>
      <w:rPr>
        <w:color w:val="auto"/>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53534C6F"/>
    <w:multiLevelType w:val="hybridMultilevel"/>
    <w:tmpl w:val="62E463EE"/>
    <w:lvl w:ilvl="0" w:tplc="A776E316">
      <w:start w:val="1"/>
      <w:numFmt w:val="decimal"/>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FB55B01"/>
    <w:multiLevelType w:val="multilevel"/>
    <w:tmpl w:val="18C48C74"/>
    <w:lvl w:ilvl="0">
      <w:start w:val="1"/>
      <w:numFmt w:val="decimal"/>
      <w:pStyle w:val="firstlevel"/>
      <w:lvlText w:val="%1."/>
      <w:lvlJc w:val="left"/>
      <w:pPr>
        <w:ind w:left="540" w:hanging="360"/>
      </w:pPr>
    </w:lvl>
    <w:lvl w:ilvl="1">
      <w:start w:val="1"/>
      <w:numFmt w:val="lowerLetter"/>
      <w:pStyle w:val="secondlevel"/>
      <w:lvlText w:val="%2."/>
      <w:lvlJc w:val="left"/>
      <w:pPr>
        <w:ind w:left="1440" w:hanging="360"/>
      </w:pPr>
      <w:rPr>
        <w:b w:val="0"/>
        <w:i/>
        <w:color w:val="auto"/>
        <w:sz w:val="20"/>
        <w:szCs w:val="20"/>
      </w:rPr>
    </w:lvl>
    <w:lvl w:ilvl="2">
      <w:numFmt w:val="bullet"/>
      <w:pStyle w:val="fourthlevel"/>
      <w:lvlText w:val=""/>
      <w:lvlJc w:val="left"/>
      <w:pPr>
        <w:ind w:left="2340" w:hanging="360"/>
      </w:pPr>
      <w:rPr>
        <w:rFonts w:ascii="Symbol" w:hAnsi="Symbol"/>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6F5429"/>
    <w:multiLevelType w:val="hybridMultilevel"/>
    <w:tmpl w:val="DE945C04"/>
    <w:lvl w:ilvl="0" w:tplc="85163904">
      <w:start w:val="9"/>
      <w:numFmt w:val="decimal"/>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9F5F6D"/>
    <w:multiLevelType w:val="multilevel"/>
    <w:tmpl w:val="2140FB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79DB0F0E"/>
    <w:multiLevelType w:val="hybridMultilevel"/>
    <w:tmpl w:val="5C76B5CC"/>
    <w:lvl w:ilvl="0" w:tplc="78969DA2">
      <w:start w:val="11"/>
      <w:numFmt w:val="decimal"/>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3837418">
    <w:abstractNumId w:val="11"/>
  </w:num>
  <w:num w:numId="2" w16cid:durableId="150415012">
    <w:abstractNumId w:val="1"/>
  </w:num>
  <w:num w:numId="3" w16cid:durableId="1680349974">
    <w:abstractNumId w:val="4"/>
  </w:num>
  <w:num w:numId="4" w16cid:durableId="1848862140">
    <w:abstractNumId w:val="8"/>
  </w:num>
  <w:num w:numId="5" w16cid:durableId="1525094070">
    <w:abstractNumId w:val="7"/>
  </w:num>
  <w:num w:numId="6" w16cid:durableId="2001157894">
    <w:abstractNumId w:val="9"/>
  </w:num>
  <w:num w:numId="7" w16cid:durableId="1967881619">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2679397">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5740179">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99309">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5739143">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5270194">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1522560">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9455893">
    <w:abstractNumId w:val="2"/>
  </w:num>
  <w:num w:numId="15" w16cid:durableId="1817842468">
    <w:abstractNumId w:val="6"/>
  </w:num>
  <w:num w:numId="16" w16cid:durableId="1164514549">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5897732">
    <w:abstractNumId w:val="0"/>
  </w:num>
  <w:num w:numId="18" w16cid:durableId="316081044">
    <w:abstractNumId w:val="10"/>
  </w:num>
  <w:num w:numId="19" w16cid:durableId="1719473680">
    <w:abstractNumId w:val="5"/>
  </w:num>
  <w:num w:numId="20" w16cid:durableId="218781663">
    <w:abstractNumId w:val="12"/>
  </w:num>
  <w:num w:numId="21" w16cid:durableId="1116145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1"/>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9F"/>
    <w:rsid w:val="0000138B"/>
    <w:rsid w:val="00007461"/>
    <w:rsid w:val="000135CB"/>
    <w:rsid w:val="00013A2F"/>
    <w:rsid w:val="000259DB"/>
    <w:rsid w:val="0002715D"/>
    <w:rsid w:val="00035D78"/>
    <w:rsid w:val="000361C8"/>
    <w:rsid w:val="00042418"/>
    <w:rsid w:val="000435C9"/>
    <w:rsid w:val="000515CF"/>
    <w:rsid w:val="00055CF5"/>
    <w:rsid w:val="00056C76"/>
    <w:rsid w:val="00056EEA"/>
    <w:rsid w:val="00063506"/>
    <w:rsid w:val="000717DE"/>
    <w:rsid w:val="00074B42"/>
    <w:rsid w:val="0007555F"/>
    <w:rsid w:val="00080E90"/>
    <w:rsid w:val="00085581"/>
    <w:rsid w:val="00086E04"/>
    <w:rsid w:val="000904B8"/>
    <w:rsid w:val="000A145C"/>
    <w:rsid w:val="000A5DA1"/>
    <w:rsid w:val="000A70BB"/>
    <w:rsid w:val="000B3B70"/>
    <w:rsid w:val="000C0932"/>
    <w:rsid w:val="000C274F"/>
    <w:rsid w:val="000C4464"/>
    <w:rsid w:val="000C56C7"/>
    <w:rsid w:val="000C68A0"/>
    <w:rsid w:val="000C7590"/>
    <w:rsid w:val="000D21BC"/>
    <w:rsid w:val="000D26FD"/>
    <w:rsid w:val="000D4EB9"/>
    <w:rsid w:val="000D7439"/>
    <w:rsid w:val="000E0CD3"/>
    <w:rsid w:val="000E4662"/>
    <w:rsid w:val="000E5121"/>
    <w:rsid w:val="000E5221"/>
    <w:rsid w:val="000E5E02"/>
    <w:rsid w:val="000F0930"/>
    <w:rsid w:val="000F1E91"/>
    <w:rsid w:val="000F2B87"/>
    <w:rsid w:val="000F4233"/>
    <w:rsid w:val="000F5CA9"/>
    <w:rsid w:val="0010052C"/>
    <w:rsid w:val="00103D7E"/>
    <w:rsid w:val="00105162"/>
    <w:rsid w:val="00107D11"/>
    <w:rsid w:val="001102DF"/>
    <w:rsid w:val="00113AC2"/>
    <w:rsid w:val="00121408"/>
    <w:rsid w:val="00125AC5"/>
    <w:rsid w:val="00132203"/>
    <w:rsid w:val="00133306"/>
    <w:rsid w:val="001339A6"/>
    <w:rsid w:val="00135DA7"/>
    <w:rsid w:val="00141182"/>
    <w:rsid w:val="0014232E"/>
    <w:rsid w:val="00144AF1"/>
    <w:rsid w:val="0015034D"/>
    <w:rsid w:val="00152E4E"/>
    <w:rsid w:val="00156D9D"/>
    <w:rsid w:val="00160AAE"/>
    <w:rsid w:val="00161B43"/>
    <w:rsid w:val="001679A5"/>
    <w:rsid w:val="00170E29"/>
    <w:rsid w:val="001726D8"/>
    <w:rsid w:val="00175678"/>
    <w:rsid w:val="00175DB8"/>
    <w:rsid w:val="00176EE7"/>
    <w:rsid w:val="0017778F"/>
    <w:rsid w:val="001823C2"/>
    <w:rsid w:val="001823FC"/>
    <w:rsid w:val="00183381"/>
    <w:rsid w:val="001849F2"/>
    <w:rsid w:val="0019494A"/>
    <w:rsid w:val="001966EB"/>
    <w:rsid w:val="001A0CD1"/>
    <w:rsid w:val="001A5A1B"/>
    <w:rsid w:val="001B5977"/>
    <w:rsid w:val="001C1921"/>
    <w:rsid w:val="001C308C"/>
    <w:rsid w:val="001C4B6B"/>
    <w:rsid w:val="001C5C57"/>
    <w:rsid w:val="001C70A3"/>
    <w:rsid w:val="001C7D75"/>
    <w:rsid w:val="001D2203"/>
    <w:rsid w:val="001D595B"/>
    <w:rsid w:val="001E249C"/>
    <w:rsid w:val="001E24C5"/>
    <w:rsid w:val="001E2E3F"/>
    <w:rsid w:val="00204C49"/>
    <w:rsid w:val="00204E8A"/>
    <w:rsid w:val="00207D16"/>
    <w:rsid w:val="00210DBF"/>
    <w:rsid w:val="0021285B"/>
    <w:rsid w:val="00220B08"/>
    <w:rsid w:val="002228FF"/>
    <w:rsid w:val="002237AF"/>
    <w:rsid w:val="00223FA2"/>
    <w:rsid w:val="002330F3"/>
    <w:rsid w:val="00233E68"/>
    <w:rsid w:val="00236ACB"/>
    <w:rsid w:val="00237776"/>
    <w:rsid w:val="00243DE0"/>
    <w:rsid w:val="00244CB5"/>
    <w:rsid w:val="00250A02"/>
    <w:rsid w:val="00251ECD"/>
    <w:rsid w:val="002528AF"/>
    <w:rsid w:val="00253477"/>
    <w:rsid w:val="002579BD"/>
    <w:rsid w:val="002623CF"/>
    <w:rsid w:val="00266A42"/>
    <w:rsid w:val="002804D8"/>
    <w:rsid w:val="002844A8"/>
    <w:rsid w:val="00287288"/>
    <w:rsid w:val="00292663"/>
    <w:rsid w:val="002942B7"/>
    <w:rsid w:val="00294D3B"/>
    <w:rsid w:val="00295804"/>
    <w:rsid w:val="002964D3"/>
    <w:rsid w:val="00296522"/>
    <w:rsid w:val="002A4A44"/>
    <w:rsid w:val="002A6CFA"/>
    <w:rsid w:val="002B0BCE"/>
    <w:rsid w:val="002B7AC6"/>
    <w:rsid w:val="002C0A58"/>
    <w:rsid w:val="002C10DD"/>
    <w:rsid w:val="002C618C"/>
    <w:rsid w:val="002C6295"/>
    <w:rsid w:val="002D01CA"/>
    <w:rsid w:val="002D2444"/>
    <w:rsid w:val="002D24D0"/>
    <w:rsid w:val="002D26B2"/>
    <w:rsid w:val="002D2E2B"/>
    <w:rsid w:val="002E32A6"/>
    <w:rsid w:val="002F1B2B"/>
    <w:rsid w:val="002F4E6B"/>
    <w:rsid w:val="002F5C20"/>
    <w:rsid w:val="00305946"/>
    <w:rsid w:val="00310603"/>
    <w:rsid w:val="00314A0F"/>
    <w:rsid w:val="00317F1C"/>
    <w:rsid w:val="003251D2"/>
    <w:rsid w:val="00326643"/>
    <w:rsid w:val="00332918"/>
    <w:rsid w:val="0033533B"/>
    <w:rsid w:val="00343EC4"/>
    <w:rsid w:val="00347165"/>
    <w:rsid w:val="00351B0D"/>
    <w:rsid w:val="00351D68"/>
    <w:rsid w:val="003535E0"/>
    <w:rsid w:val="0035447D"/>
    <w:rsid w:val="0035541D"/>
    <w:rsid w:val="003654F5"/>
    <w:rsid w:val="0036551B"/>
    <w:rsid w:val="00374947"/>
    <w:rsid w:val="00386052"/>
    <w:rsid w:val="0039091A"/>
    <w:rsid w:val="00394D3E"/>
    <w:rsid w:val="00396069"/>
    <w:rsid w:val="003A0660"/>
    <w:rsid w:val="003A423A"/>
    <w:rsid w:val="003A4551"/>
    <w:rsid w:val="003A597C"/>
    <w:rsid w:val="003A795E"/>
    <w:rsid w:val="003B3D8F"/>
    <w:rsid w:val="003C6A06"/>
    <w:rsid w:val="003C7C94"/>
    <w:rsid w:val="003D29B1"/>
    <w:rsid w:val="003D4809"/>
    <w:rsid w:val="003D669D"/>
    <w:rsid w:val="003D7BAF"/>
    <w:rsid w:val="003E2F32"/>
    <w:rsid w:val="003E52A6"/>
    <w:rsid w:val="003E52B5"/>
    <w:rsid w:val="003F095A"/>
    <w:rsid w:val="003F27D8"/>
    <w:rsid w:val="003F4561"/>
    <w:rsid w:val="00407D03"/>
    <w:rsid w:val="00410E06"/>
    <w:rsid w:val="004126FB"/>
    <w:rsid w:val="00415C03"/>
    <w:rsid w:val="0041743A"/>
    <w:rsid w:val="00424B68"/>
    <w:rsid w:val="004273C3"/>
    <w:rsid w:val="00437050"/>
    <w:rsid w:val="00441DCF"/>
    <w:rsid w:val="004458C9"/>
    <w:rsid w:val="0044716D"/>
    <w:rsid w:val="00447B7B"/>
    <w:rsid w:val="00451911"/>
    <w:rsid w:val="00455434"/>
    <w:rsid w:val="00455D83"/>
    <w:rsid w:val="004561E5"/>
    <w:rsid w:val="00456F8B"/>
    <w:rsid w:val="00457291"/>
    <w:rsid w:val="004644A5"/>
    <w:rsid w:val="004701DF"/>
    <w:rsid w:val="00474CB2"/>
    <w:rsid w:val="004758F9"/>
    <w:rsid w:val="00482501"/>
    <w:rsid w:val="004829EE"/>
    <w:rsid w:val="00486DBC"/>
    <w:rsid w:val="00493196"/>
    <w:rsid w:val="004970A9"/>
    <w:rsid w:val="004A22CE"/>
    <w:rsid w:val="004A43A9"/>
    <w:rsid w:val="004A5276"/>
    <w:rsid w:val="004B2C5F"/>
    <w:rsid w:val="004B7480"/>
    <w:rsid w:val="004C2A29"/>
    <w:rsid w:val="004C3546"/>
    <w:rsid w:val="004C406E"/>
    <w:rsid w:val="004C5AA1"/>
    <w:rsid w:val="004D5053"/>
    <w:rsid w:val="004D7206"/>
    <w:rsid w:val="004E4834"/>
    <w:rsid w:val="004E77C6"/>
    <w:rsid w:val="004F58FC"/>
    <w:rsid w:val="004F788C"/>
    <w:rsid w:val="00500BDA"/>
    <w:rsid w:val="005035BA"/>
    <w:rsid w:val="0051029F"/>
    <w:rsid w:val="00511717"/>
    <w:rsid w:val="005159FC"/>
    <w:rsid w:val="00522802"/>
    <w:rsid w:val="00523895"/>
    <w:rsid w:val="00531AE1"/>
    <w:rsid w:val="0053338F"/>
    <w:rsid w:val="00535EE7"/>
    <w:rsid w:val="00537C04"/>
    <w:rsid w:val="0054035A"/>
    <w:rsid w:val="005425D0"/>
    <w:rsid w:val="00543C0F"/>
    <w:rsid w:val="00544048"/>
    <w:rsid w:val="00547C81"/>
    <w:rsid w:val="005603AE"/>
    <w:rsid w:val="00567471"/>
    <w:rsid w:val="00570FFB"/>
    <w:rsid w:val="00571AB0"/>
    <w:rsid w:val="00580794"/>
    <w:rsid w:val="00582FBD"/>
    <w:rsid w:val="0058558A"/>
    <w:rsid w:val="005858F7"/>
    <w:rsid w:val="0058768F"/>
    <w:rsid w:val="00592187"/>
    <w:rsid w:val="005953F2"/>
    <w:rsid w:val="005955A3"/>
    <w:rsid w:val="0059712E"/>
    <w:rsid w:val="005976A5"/>
    <w:rsid w:val="005A3109"/>
    <w:rsid w:val="005A4E8F"/>
    <w:rsid w:val="005B3BED"/>
    <w:rsid w:val="005B5609"/>
    <w:rsid w:val="005C5781"/>
    <w:rsid w:val="005D32A5"/>
    <w:rsid w:val="005D36CD"/>
    <w:rsid w:val="005F1085"/>
    <w:rsid w:val="005F24B0"/>
    <w:rsid w:val="005F2A15"/>
    <w:rsid w:val="005F528F"/>
    <w:rsid w:val="005F5E72"/>
    <w:rsid w:val="005F7087"/>
    <w:rsid w:val="00602BF3"/>
    <w:rsid w:val="00606E60"/>
    <w:rsid w:val="0060780E"/>
    <w:rsid w:val="00607F39"/>
    <w:rsid w:val="00611199"/>
    <w:rsid w:val="006114AB"/>
    <w:rsid w:val="006119D5"/>
    <w:rsid w:val="00613911"/>
    <w:rsid w:val="006164FA"/>
    <w:rsid w:val="00632F33"/>
    <w:rsid w:val="006377F4"/>
    <w:rsid w:val="006405CA"/>
    <w:rsid w:val="0064218C"/>
    <w:rsid w:val="00643B8C"/>
    <w:rsid w:val="00644596"/>
    <w:rsid w:val="006553C2"/>
    <w:rsid w:val="00656DEE"/>
    <w:rsid w:val="00671130"/>
    <w:rsid w:val="00672182"/>
    <w:rsid w:val="006775D3"/>
    <w:rsid w:val="00681BFC"/>
    <w:rsid w:val="006900C6"/>
    <w:rsid w:val="00695720"/>
    <w:rsid w:val="006A13FC"/>
    <w:rsid w:val="006A275F"/>
    <w:rsid w:val="006A2A73"/>
    <w:rsid w:val="006A6EA3"/>
    <w:rsid w:val="006A7C8B"/>
    <w:rsid w:val="006B5778"/>
    <w:rsid w:val="006B5E5D"/>
    <w:rsid w:val="006C10B8"/>
    <w:rsid w:val="006C5F1C"/>
    <w:rsid w:val="006C5F25"/>
    <w:rsid w:val="006E0227"/>
    <w:rsid w:val="006E0A46"/>
    <w:rsid w:val="006E7FFE"/>
    <w:rsid w:val="006F203E"/>
    <w:rsid w:val="006F3221"/>
    <w:rsid w:val="006F4356"/>
    <w:rsid w:val="006F4D85"/>
    <w:rsid w:val="006F5A33"/>
    <w:rsid w:val="006F5B39"/>
    <w:rsid w:val="0070778F"/>
    <w:rsid w:val="00711080"/>
    <w:rsid w:val="007112FE"/>
    <w:rsid w:val="007115BE"/>
    <w:rsid w:val="0071563E"/>
    <w:rsid w:val="007156F8"/>
    <w:rsid w:val="00726AC3"/>
    <w:rsid w:val="00734D18"/>
    <w:rsid w:val="00736417"/>
    <w:rsid w:val="00736B19"/>
    <w:rsid w:val="007373B0"/>
    <w:rsid w:val="00737828"/>
    <w:rsid w:val="0074042A"/>
    <w:rsid w:val="00740BDF"/>
    <w:rsid w:val="00743C8D"/>
    <w:rsid w:val="00746210"/>
    <w:rsid w:val="00751B5E"/>
    <w:rsid w:val="00753E2D"/>
    <w:rsid w:val="00753EFA"/>
    <w:rsid w:val="00754575"/>
    <w:rsid w:val="0075568F"/>
    <w:rsid w:val="007628A1"/>
    <w:rsid w:val="00762F73"/>
    <w:rsid w:val="0076459E"/>
    <w:rsid w:val="00766599"/>
    <w:rsid w:val="00775197"/>
    <w:rsid w:val="00777BB4"/>
    <w:rsid w:val="00777C95"/>
    <w:rsid w:val="00781040"/>
    <w:rsid w:val="00784322"/>
    <w:rsid w:val="00787733"/>
    <w:rsid w:val="007919A5"/>
    <w:rsid w:val="007944F3"/>
    <w:rsid w:val="007A169D"/>
    <w:rsid w:val="007A638D"/>
    <w:rsid w:val="007A648A"/>
    <w:rsid w:val="007B2A74"/>
    <w:rsid w:val="007B573B"/>
    <w:rsid w:val="007C2582"/>
    <w:rsid w:val="007C5B25"/>
    <w:rsid w:val="007C6502"/>
    <w:rsid w:val="007C6763"/>
    <w:rsid w:val="007D1825"/>
    <w:rsid w:val="007D4E22"/>
    <w:rsid w:val="007D5998"/>
    <w:rsid w:val="007E152F"/>
    <w:rsid w:val="007E2A18"/>
    <w:rsid w:val="007E5685"/>
    <w:rsid w:val="007E661C"/>
    <w:rsid w:val="007E6DFC"/>
    <w:rsid w:val="0080045E"/>
    <w:rsid w:val="00810069"/>
    <w:rsid w:val="00810818"/>
    <w:rsid w:val="00815BCC"/>
    <w:rsid w:val="00821547"/>
    <w:rsid w:val="008267B0"/>
    <w:rsid w:val="00832598"/>
    <w:rsid w:val="00842C9F"/>
    <w:rsid w:val="008438A4"/>
    <w:rsid w:val="00853284"/>
    <w:rsid w:val="00856844"/>
    <w:rsid w:val="00862EAB"/>
    <w:rsid w:val="00863236"/>
    <w:rsid w:val="00872D8C"/>
    <w:rsid w:val="0087314D"/>
    <w:rsid w:val="00874F72"/>
    <w:rsid w:val="00891C7B"/>
    <w:rsid w:val="00892C39"/>
    <w:rsid w:val="008946B4"/>
    <w:rsid w:val="00896C7A"/>
    <w:rsid w:val="00897855"/>
    <w:rsid w:val="008A0E7A"/>
    <w:rsid w:val="008A4BE8"/>
    <w:rsid w:val="008B0CF7"/>
    <w:rsid w:val="008B2440"/>
    <w:rsid w:val="008B2F8D"/>
    <w:rsid w:val="008C0D09"/>
    <w:rsid w:val="008C1D0C"/>
    <w:rsid w:val="008C4100"/>
    <w:rsid w:val="008D3E73"/>
    <w:rsid w:val="008D3F87"/>
    <w:rsid w:val="008D4A82"/>
    <w:rsid w:val="008D64AB"/>
    <w:rsid w:val="008E0E90"/>
    <w:rsid w:val="008E519C"/>
    <w:rsid w:val="008E61FF"/>
    <w:rsid w:val="008F4844"/>
    <w:rsid w:val="008F5C2F"/>
    <w:rsid w:val="008F6DD9"/>
    <w:rsid w:val="00904707"/>
    <w:rsid w:val="009145DE"/>
    <w:rsid w:val="00917330"/>
    <w:rsid w:val="00920837"/>
    <w:rsid w:val="00921471"/>
    <w:rsid w:val="00927BAF"/>
    <w:rsid w:val="00931027"/>
    <w:rsid w:val="00932F4C"/>
    <w:rsid w:val="0094115E"/>
    <w:rsid w:val="0094324C"/>
    <w:rsid w:val="00945D06"/>
    <w:rsid w:val="00950170"/>
    <w:rsid w:val="00951C2B"/>
    <w:rsid w:val="00955CAF"/>
    <w:rsid w:val="00957056"/>
    <w:rsid w:val="0096129A"/>
    <w:rsid w:val="0096160F"/>
    <w:rsid w:val="009653A4"/>
    <w:rsid w:val="0096737B"/>
    <w:rsid w:val="00970C8A"/>
    <w:rsid w:val="00974ACB"/>
    <w:rsid w:val="00975A61"/>
    <w:rsid w:val="00984A0E"/>
    <w:rsid w:val="00987437"/>
    <w:rsid w:val="009925B2"/>
    <w:rsid w:val="00997E39"/>
    <w:rsid w:val="009A1DBD"/>
    <w:rsid w:val="009A60D0"/>
    <w:rsid w:val="009B50F6"/>
    <w:rsid w:val="009B5B7E"/>
    <w:rsid w:val="009B7320"/>
    <w:rsid w:val="009C1199"/>
    <w:rsid w:val="009C17CE"/>
    <w:rsid w:val="009C1CF4"/>
    <w:rsid w:val="009C3C70"/>
    <w:rsid w:val="009C3CC3"/>
    <w:rsid w:val="009C5C03"/>
    <w:rsid w:val="009C61A3"/>
    <w:rsid w:val="009C630F"/>
    <w:rsid w:val="009C6B6F"/>
    <w:rsid w:val="009D06B8"/>
    <w:rsid w:val="009D1729"/>
    <w:rsid w:val="009D2AF1"/>
    <w:rsid w:val="009D2E0D"/>
    <w:rsid w:val="009E5170"/>
    <w:rsid w:val="009F4B4B"/>
    <w:rsid w:val="00A00BFC"/>
    <w:rsid w:val="00A01807"/>
    <w:rsid w:val="00A03BC4"/>
    <w:rsid w:val="00A0705F"/>
    <w:rsid w:val="00A078D8"/>
    <w:rsid w:val="00A152EB"/>
    <w:rsid w:val="00A226F0"/>
    <w:rsid w:val="00A25041"/>
    <w:rsid w:val="00A258C3"/>
    <w:rsid w:val="00A25DF0"/>
    <w:rsid w:val="00A30251"/>
    <w:rsid w:val="00A304CA"/>
    <w:rsid w:val="00A37897"/>
    <w:rsid w:val="00A37988"/>
    <w:rsid w:val="00A43D1B"/>
    <w:rsid w:val="00A5689B"/>
    <w:rsid w:val="00A56B46"/>
    <w:rsid w:val="00A601EB"/>
    <w:rsid w:val="00A602A9"/>
    <w:rsid w:val="00A608BA"/>
    <w:rsid w:val="00A64AA8"/>
    <w:rsid w:val="00A70524"/>
    <w:rsid w:val="00A8515D"/>
    <w:rsid w:val="00A91901"/>
    <w:rsid w:val="00A92C1B"/>
    <w:rsid w:val="00A96A0E"/>
    <w:rsid w:val="00AA2A78"/>
    <w:rsid w:val="00AA3207"/>
    <w:rsid w:val="00AB25A8"/>
    <w:rsid w:val="00AB36F1"/>
    <w:rsid w:val="00AB776F"/>
    <w:rsid w:val="00AC0721"/>
    <w:rsid w:val="00AC76D9"/>
    <w:rsid w:val="00AC7F8C"/>
    <w:rsid w:val="00AD0A9A"/>
    <w:rsid w:val="00AD2079"/>
    <w:rsid w:val="00AD3E1D"/>
    <w:rsid w:val="00AD5313"/>
    <w:rsid w:val="00AD5321"/>
    <w:rsid w:val="00AD5FA8"/>
    <w:rsid w:val="00AD62C1"/>
    <w:rsid w:val="00AE3428"/>
    <w:rsid w:val="00AE711C"/>
    <w:rsid w:val="00AF0EF7"/>
    <w:rsid w:val="00AF296E"/>
    <w:rsid w:val="00AF5049"/>
    <w:rsid w:val="00B0023B"/>
    <w:rsid w:val="00B006FB"/>
    <w:rsid w:val="00B04292"/>
    <w:rsid w:val="00B06252"/>
    <w:rsid w:val="00B075E8"/>
    <w:rsid w:val="00B21425"/>
    <w:rsid w:val="00B25321"/>
    <w:rsid w:val="00B37A27"/>
    <w:rsid w:val="00B40948"/>
    <w:rsid w:val="00B43B56"/>
    <w:rsid w:val="00B46899"/>
    <w:rsid w:val="00B472B5"/>
    <w:rsid w:val="00B51706"/>
    <w:rsid w:val="00B531F6"/>
    <w:rsid w:val="00B54C1E"/>
    <w:rsid w:val="00B5563B"/>
    <w:rsid w:val="00B62B1D"/>
    <w:rsid w:val="00B63719"/>
    <w:rsid w:val="00B712A4"/>
    <w:rsid w:val="00B72025"/>
    <w:rsid w:val="00B76D96"/>
    <w:rsid w:val="00B80E21"/>
    <w:rsid w:val="00B9120C"/>
    <w:rsid w:val="00B91F65"/>
    <w:rsid w:val="00B9759B"/>
    <w:rsid w:val="00BA07E9"/>
    <w:rsid w:val="00BA3842"/>
    <w:rsid w:val="00BB1697"/>
    <w:rsid w:val="00BB1D8E"/>
    <w:rsid w:val="00BB5E49"/>
    <w:rsid w:val="00BB6FF1"/>
    <w:rsid w:val="00BC0E8D"/>
    <w:rsid w:val="00BD65C6"/>
    <w:rsid w:val="00BE4F0D"/>
    <w:rsid w:val="00BE5EB1"/>
    <w:rsid w:val="00BF0485"/>
    <w:rsid w:val="00BF3A42"/>
    <w:rsid w:val="00BF5A46"/>
    <w:rsid w:val="00C01918"/>
    <w:rsid w:val="00C02EFD"/>
    <w:rsid w:val="00C03281"/>
    <w:rsid w:val="00C046C1"/>
    <w:rsid w:val="00C06B06"/>
    <w:rsid w:val="00C10B73"/>
    <w:rsid w:val="00C204A1"/>
    <w:rsid w:val="00C2097B"/>
    <w:rsid w:val="00C31AA4"/>
    <w:rsid w:val="00C326F4"/>
    <w:rsid w:val="00C32B9C"/>
    <w:rsid w:val="00C3420E"/>
    <w:rsid w:val="00C34DF0"/>
    <w:rsid w:val="00C36F17"/>
    <w:rsid w:val="00C4548C"/>
    <w:rsid w:val="00C4773A"/>
    <w:rsid w:val="00C47B43"/>
    <w:rsid w:val="00C55087"/>
    <w:rsid w:val="00C55AB2"/>
    <w:rsid w:val="00C55F88"/>
    <w:rsid w:val="00C5699A"/>
    <w:rsid w:val="00C62227"/>
    <w:rsid w:val="00C672DC"/>
    <w:rsid w:val="00C71FB4"/>
    <w:rsid w:val="00C76796"/>
    <w:rsid w:val="00C806BA"/>
    <w:rsid w:val="00C8444F"/>
    <w:rsid w:val="00C84B0A"/>
    <w:rsid w:val="00C84B61"/>
    <w:rsid w:val="00C91775"/>
    <w:rsid w:val="00C92C59"/>
    <w:rsid w:val="00C93021"/>
    <w:rsid w:val="00C9401A"/>
    <w:rsid w:val="00CA5D5E"/>
    <w:rsid w:val="00CB2C16"/>
    <w:rsid w:val="00CC4474"/>
    <w:rsid w:val="00CD5A4E"/>
    <w:rsid w:val="00CE196C"/>
    <w:rsid w:val="00CE37B4"/>
    <w:rsid w:val="00CE7461"/>
    <w:rsid w:val="00CF080F"/>
    <w:rsid w:val="00CF4B30"/>
    <w:rsid w:val="00CF69EE"/>
    <w:rsid w:val="00CF7908"/>
    <w:rsid w:val="00D00744"/>
    <w:rsid w:val="00D01F90"/>
    <w:rsid w:val="00D02BA1"/>
    <w:rsid w:val="00D06833"/>
    <w:rsid w:val="00D10216"/>
    <w:rsid w:val="00D116F3"/>
    <w:rsid w:val="00D20487"/>
    <w:rsid w:val="00D33215"/>
    <w:rsid w:val="00D35AB7"/>
    <w:rsid w:val="00D43EA2"/>
    <w:rsid w:val="00D50A8C"/>
    <w:rsid w:val="00D5255B"/>
    <w:rsid w:val="00D533C5"/>
    <w:rsid w:val="00D546DB"/>
    <w:rsid w:val="00D55DF5"/>
    <w:rsid w:val="00D57EED"/>
    <w:rsid w:val="00D604E3"/>
    <w:rsid w:val="00D65893"/>
    <w:rsid w:val="00D667E4"/>
    <w:rsid w:val="00D70333"/>
    <w:rsid w:val="00D76489"/>
    <w:rsid w:val="00D7786C"/>
    <w:rsid w:val="00D80173"/>
    <w:rsid w:val="00D801F4"/>
    <w:rsid w:val="00D802CF"/>
    <w:rsid w:val="00D85035"/>
    <w:rsid w:val="00D856EC"/>
    <w:rsid w:val="00D9047F"/>
    <w:rsid w:val="00D909F4"/>
    <w:rsid w:val="00D92EBD"/>
    <w:rsid w:val="00D93084"/>
    <w:rsid w:val="00D94F74"/>
    <w:rsid w:val="00D96E90"/>
    <w:rsid w:val="00DA4BFE"/>
    <w:rsid w:val="00DA7C28"/>
    <w:rsid w:val="00DB1A4B"/>
    <w:rsid w:val="00DC1132"/>
    <w:rsid w:val="00DC201D"/>
    <w:rsid w:val="00DC2353"/>
    <w:rsid w:val="00DC2B10"/>
    <w:rsid w:val="00DC4BC0"/>
    <w:rsid w:val="00DC6554"/>
    <w:rsid w:val="00DC6F4D"/>
    <w:rsid w:val="00DD29F3"/>
    <w:rsid w:val="00DD4DD1"/>
    <w:rsid w:val="00DE0C5B"/>
    <w:rsid w:val="00DE1BB1"/>
    <w:rsid w:val="00DE1CDD"/>
    <w:rsid w:val="00DE1DDC"/>
    <w:rsid w:val="00DE2451"/>
    <w:rsid w:val="00DF1822"/>
    <w:rsid w:val="00DF2305"/>
    <w:rsid w:val="00DF4FAD"/>
    <w:rsid w:val="00DF5031"/>
    <w:rsid w:val="00DF5089"/>
    <w:rsid w:val="00DF5219"/>
    <w:rsid w:val="00DF7E62"/>
    <w:rsid w:val="00E00D0A"/>
    <w:rsid w:val="00E01319"/>
    <w:rsid w:val="00E04700"/>
    <w:rsid w:val="00E07A05"/>
    <w:rsid w:val="00E119DC"/>
    <w:rsid w:val="00E14056"/>
    <w:rsid w:val="00E14DC0"/>
    <w:rsid w:val="00E15772"/>
    <w:rsid w:val="00E20878"/>
    <w:rsid w:val="00E24349"/>
    <w:rsid w:val="00E311CD"/>
    <w:rsid w:val="00E3282A"/>
    <w:rsid w:val="00E4266B"/>
    <w:rsid w:val="00E45416"/>
    <w:rsid w:val="00E457D7"/>
    <w:rsid w:val="00E5657B"/>
    <w:rsid w:val="00E60167"/>
    <w:rsid w:val="00E61540"/>
    <w:rsid w:val="00E61922"/>
    <w:rsid w:val="00E67383"/>
    <w:rsid w:val="00E761D7"/>
    <w:rsid w:val="00E76C87"/>
    <w:rsid w:val="00E8586C"/>
    <w:rsid w:val="00E85E97"/>
    <w:rsid w:val="00E86E0F"/>
    <w:rsid w:val="00E90E7D"/>
    <w:rsid w:val="00E946EB"/>
    <w:rsid w:val="00E95744"/>
    <w:rsid w:val="00E96E48"/>
    <w:rsid w:val="00EA3183"/>
    <w:rsid w:val="00EA3CFF"/>
    <w:rsid w:val="00EA49F9"/>
    <w:rsid w:val="00EA4C0B"/>
    <w:rsid w:val="00EA5E05"/>
    <w:rsid w:val="00EB2BCB"/>
    <w:rsid w:val="00EB52A2"/>
    <w:rsid w:val="00EB7F42"/>
    <w:rsid w:val="00EC4222"/>
    <w:rsid w:val="00ED34DF"/>
    <w:rsid w:val="00ED6FEE"/>
    <w:rsid w:val="00EE54E4"/>
    <w:rsid w:val="00EE5D42"/>
    <w:rsid w:val="00EF038B"/>
    <w:rsid w:val="00EF0A27"/>
    <w:rsid w:val="00EF1F71"/>
    <w:rsid w:val="00EF2929"/>
    <w:rsid w:val="00EF5BE7"/>
    <w:rsid w:val="00F00C6A"/>
    <w:rsid w:val="00F02905"/>
    <w:rsid w:val="00F03353"/>
    <w:rsid w:val="00F04903"/>
    <w:rsid w:val="00F07D8C"/>
    <w:rsid w:val="00F125CA"/>
    <w:rsid w:val="00F20CAF"/>
    <w:rsid w:val="00F20D3F"/>
    <w:rsid w:val="00F24A01"/>
    <w:rsid w:val="00F31E7D"/>
    <w:rsid w:val="00F3385B"/>
    <w:rsid w:val="00F36FFC"/>
    <w:rsid w:val="00F402FE"/>
    <w:rsid w:val="00F43FD7"/>
    <w:rsid w:val="00F54737"/>
    <w:rsid w:val="00F6461A"/>
    <w:rsid w:val="00F65219"/>
    <w:rsid w:val="00F65D62"/>
    <w:rsid w:val="00F70593"/>
    <w:rsid w:val="00F7240F"/>
    <w:rsid w:val="00F7320F"/>
    <w:rsid w:val="00F86AEF"/>
    <w:rsid w:val="00F90077"/>
    <w:rsid w:val="00F964D9"/>
    <w:rsid w:val="00F970D8"/>
    <w:rsid w:val="00FA7529"/>
    <w:rsid w:val="00FA7A4F"/>
    <w:rsid w:val="00FB05B4"/>
    <w:rsid w:val="00FB3B48"/>
    <w:rsid w:val="00FB6E2C"/>
    <w:rsid w:val="00FC1CB4"/>
    <w:rsid w:val="00FC7F5B"/>
    <w:rsid w:val="00FD1315"/>
    <w:rsid w:val="00FE0B79"/>
    <w:rsid w:val="00FE3D39"/>
    <w:rsid w:val="00FE3EE4"/>
    <w:rsid w:val="00FE4541"/>
    <w:rsid w:val="00FE4C2F"/>
    <w:rsid w:val="00FE6BAC"/>
    <w:rsid w:val="00FE791E"/>
    <w:rsid w:val="00FF046D"/>
    <w:rsid w:val="00FF15FF"/>
    <w:rsid w:val="00FF3B4B"/>
    <w:rsid w:val="00FF5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B2FD66"/>
  <w15:docId w15:val="{5AF16ABA-5F7A-4D8F-B8DE-B9FA2804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182"/>
    <w:pPr>
      <w:spacing w:after="0" w:line="240" w:lineRule="auto"/>
    </w:pPr>
    <w:rPr>
      <w:sz w:val="24"/>
      <w:szCs w:val="24"/>
    </w:rPr>
  </w:style>
  <w:style w:type="paragraph" w:styleId="Heading1">
    <w:name w:val="heading 1"/>
    <w:basedOn w:val="Normal"/>
    <w:next w:val="Normal"/>
    <w:link w:val="Heading1Char"/>
    <w:qFormat/>
    <w:locked/>
    <w:rsid w:val="007E66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9"/>
    <w:qFormat/>
    <w:rsid w:val="00672182"/>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67218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E5EB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E5EB1"/>
    <w:rPr>
      <w:rFonts w:asciiTheme="majorHAnsi" w:eastAsiaTheme="majorEastAsia" w:hAnsiTheme="majorHAnsi" w:cstheme="majorBidi"/>
      <w:b/>
      <w:bCs/>
      <w:sz w:val="26"/>
      <w:szCs w:val="26"/>
    </w:rPr>
  </w:style>
  <w:style w:type="paragraph" w:styleId="EnvelopeAddress">
    <w:name w:val="envelope address"/>
    <w:basedOn w:val="Normal"/>
    <w:uiPriority w:val="99"/>
    <w:rsid w:val="00672182"/>
    <w:pPr>
      <w:framePr w:w="7920" w:h="1980" w:hRule="exact" w:hSpace="180" w:wrap="auto" w:hAnchor="page" w:xAlign="center" w:yAlign="bottom"/>
      <w:ind w:left="2880"/>
    </w:pPr>
    <w:rPr>
      <w:rFonts w:ascii="Courier New" w:hAnsi="Courier New" w:cs="Courier New"/>
      <w:caps/>
    </w:rPr>
  </w:style>
  <w:style w:type="paragraph" w:styleId="Header">
    <w:name w:val="header"/>
    <w:basedOn w:val="Normal"/>
    <w:link w:val="HeaderChar"/>
    <w:uiPriority w:val="99"/>
    <w:rsid w:val="00672182"/>
    <w:pPr>
      <w:tabs>
        <w:tab w:val="center" w:pos="4320"/>
        <w:tab w:val="right" w:pos="8640"/>
      </w:tabs>
    </w:pPr>
  </w:style>
  <w:style w:type="character" w:customStyle="1" w:styleId="HeaderChar">
    <w:name w:val="Header Char"/>
    <w:basedOn w:val="DefaultParagraphFont"/>
    <w:link w:val="Header"/>
    <w:uiPriority w:val="99"/>
    <w:semiHidden/>
    <w:rsid w:val="00BE5EB1"/>
    <w:rPr>
      <w:sz w:val="24"/>
      <w:szCs w:val="24"/>
    </w:rPr>
  </w:style>
  <w:style w:type="paragraph" w:styleId="Footer">
    <w:name w:val="footer"/>
    <w:basedOn w:val="Normal"/>
    <w:link w:val="FooterChar"/>
    <w:uiPriority w:val="99"/>
    <w:rsid w:val="00672182"/>
    <w:pPr>
      <w:tabs>
        <w:tab w:val="center" w:pos="4320"/>
        <w:tab w:val="right" w:pos="8640"/>
      </w:tabs>
    </w:pPr>
  </w:style>
  <w:style w:type="character" w:customStyle="1" w:styleId="FooterChar">
    <w:name w:val="Footer Char"/>
    <w:basedOn w:val="DefaultParagraphFont"/>
    <w:link w:val="Footer"/>
    <w:uiPriority w:val="99"/>
    <w:rsid w:val="00BE5EB1"/>
    <w:rPr>
      <w:sz w:val="24"/>
      <w:szCs w:val="24"/>
    </w:rPr>
  </w:style>
  <w:style w:type="character" w:styleId="PageNumber">
    <w:name w:val="page number"/>
    <w:basedOn w:val="DefaultParagraphFont"/>
    <w:uiPriority w:val="99"/>
    <w:rsid w:val="00672182"/>
  </w:style>
  <w:style w:type="paragraph" w:styleId="BalloonText">
    <w:name w:val="Balloon Text"/>
    <w:basedOn w:val="Normal"/>
    <w:link w:val="BalloonTextChar"/>
    <w:uiPriority w:val="99"/>
    <w:semiHidden/>
    <w:rsid w:val="00672182"/>
    <w:rPr>
      <w:rFonts w:ascii="Tahoma" w:hAnsi="Tahoma" w:cs="Tahoma"/>
      <w:sz w:val="16"/>
      <w:szCs w:val="16"/>
    </w:rPr>
  </w:style>
  <w:style w:type="character" w:customStyle="1" w:styleId="BalloonTextChar">
    <w:name w:val="Balloon Text Char"/>
    <w:basedOn w:val="DefaultParagraphFont"/>
    <w:link w:val="BalloonText"/>
    <w:uiPriority w:val="99"/>
    <w:semiHidden/>
    <w:rsid w:val="00BE5EB1"/>
    <w:rPr>
      <w:rFonts w:ascii="Tahoma" w:hAnsi="Tahoma" w:cs="Tahoma"/>
      <w:sz w:val="16"/>
      <w:szCs w:val="16"/>
    </w:rPr>
  </w:style>
  <w:style w:type="character" w:styleId="Hyperlink">
    <w:name w:val="Hyperlink"/>
    <w:basedOn w:val="DefaultParagraphFont"/>
    <w:uiPriority w:val="99"/>
    <w:rsid w:val="00672182"/>
    <w:rPr>
      <w:color w:val="0000FF"/>
      <w:u w:val="none"/>
      <w:effect w:val="none"/>
    </w:rPr>
  </w:style>
  <w:style w:type="paragraph" w:styleId="NormalWeb">
    <w:name w:val="Normal (Web)"/>
    <w:basedOn w:val="Normal"/>
    <w:uiPriority w:val="99"/>
    <w:rsid w:val="00672182"/>
    <w:pPr>
      <w:spacing w:before="100" w:beforeAutospacing="1" w:after="100" w:afterAutospacing="1"/>
    </w:pPr>
  </w:style>
  <w:style w:type="character" w:styleId="Strong">
    <w:name w:val="Strong"/>
    <w:basedOn w:val="DefaultParagraphFont"/>
    <w:uiPriority w:val="99"/>
    <w:qFormat/>
    <w:rsid w:val="00672182"/>
    <w:rPr>
      <w:b/>
      <w:bCs/>
    </w:rPr>
  </w:style>
  <w:style w:type="character" w:styleId="FollowedHyperlink">
    <w:name w:val="FollowedHyperlink"/>
    <w:basedOn w:val="DefaultParagraphFont"/>
    <w:uiPriority w:val="99"/>
    <w:rsid w:val="00672182"/>
    <w:rPr>
      <w:color w:val="800080"/>
      <w:u w:val="single"/>
    </w:rPr>
  </w:style>
  <w:style w:type="character" w:styleId="CommentReference">
    <w:name w:val="annotation reference"/>
    <w:basedOn w:val="DefaultParagraphFont"/>
    <w:uiPriority w:val="99"/>
    <w:semiHidden/>
    <w:rsid w:val="003E2F32"/>
    <w:rPr>
      <w:sz w:val="16"/>
      <w:szCs w:val="16"/>
    </w:rPr>
  </w:style>
  <w:style w:type="paragraph" w:styleId="CommentText">
    <w:name w:val="annotation text"/>
    <w:basedOn w:val="Normal"/>
    <w:link w:val="CommentTextChar"/>
    <w:uiPriority w:val="99"/>
    <w:semiHidden/>
    <w:rsid w:val="003E2F32"/>
    <w:rPr>
      <w:sz w:val="20"/>
      <w:szCs w:val="20"/>
    </w:rPr>
  </w:style>
  <w:style w:type="character" w:customStyle="1" w:styleId="CommentTextChar">
    <w:name w:val="Comment Text Char"/>
    <w:basedOn w:val="DefaultParagraphFont"/>
    <w:link w:val="CommentText"/>
    <w:uiPriority w:val="99"/>
    <w:semiHidden/>
    <w:rsid w:val="00BE5EB1"/>
    <w:rPr>
      <w:sz w:val="20"/>
      <w:szCs w:val="20"/>
    </w:rPr>
  </w:style>
  <w:style w:type="paragraph" w:styleId="CommentSubject">
    <w:name w:val="annotation subject"/>
    <w:basedOn w:val="CommentText"/>
    <w:next w:val="CommentText"/>
    <w:link w:val="CommentSubjectChar"/>
    <w:uiPriority w:val="99"/>
    <w:semiHidden/>
    <w:rsid w:val="003E2F32"/>
    <w:rPr>
      <w:b/>
      <w:bCs/>
    </w:rPr>
  </w:style>
  <w:style w:type="character" w:customStyle="1" w:styleId="CommentSubjectChar">
    <w:name w:val="Comment Subject Char"/>
    <w:basedOn w:val="CommentTextChar"/>
    <w:link w:val="CommentSubject"/>
    <w:uiPriority w:val="99"/>
    <w:semiHidden/>
    <w:rsid w:val="00BE5EB1"/>
    <w:rPr>
      <w:b/>
      <w:bCs/>
      <w:sz w:val="20"/>
      <w:szCs w:val="20"/>
    </w:rPr>
  </w:style>
  <w:style w:type="paragraph" w:styleId="ListParagraph">
    <w:name w:val="List Paragraph"/>
    <w:basedOn w:val="Normal"/>
    <w:uiPriority w:val="34"/>
    <w:qFormat/>
    <w:rsid w:val="002237AF"/>
    <w:pPr>
      <w:ind w:left="720"/>
      <w:contextualSpacing/>
    </w:pPr>
  </w:style>
  <w:style w:type="paragraph" w:customStyle="1" w:styleId="firstlevel">
    <w:name w:val="first level"/>
    <w:basedOn w:val="Normal"/>
    <w:link w:val="firstlevelChar"/>
    <w:qFormat/>
    <w:rsid w:val="000E5221"/>
    <w:pPr>
      <w:numPr>
        <w:numId w:val="6"/>
      </w:numPr>
      <w:suppressAutoHyphens/>
      <w:autoSpaceDN w:val="0"/>
      <w:spacing w:before="120"/>
      <w:ind w:right="403"/>
      <w:jc w:val="both"/>
      <w:textAlignment w:val="baseline"/>
    </w:pPr>
    <w:rPr>
      <w:rFonts w:ascii="Arial" w:hAnsi="Arial"/>
      <w:b/>
      <w:color w:val="CC0000"/>
      <w:sz w:val="28"/>
      <w:szCs w:val="28"/>
    </w:rPr>
  </w:style>
  <w:style w:type="paragraph" w:customStyle="1" w:styleId="secondlevel">
    <w:name w:val="second level"/>
    <w:basedOn w:val="Normal"/>
    <w:link w:val="secondlevelChar"/>
    <w:qFormat/>
    <w:rsid w:val="000E5221"/>
    <w:pPr>
      <w:numPr>
        <w:ilvl w:val="1"/>
        <w:numId w:val="6"/>
      </w:numPr>
      <w:suppressAutoHyphens/>
      <w:autoSpaceDN w:val="0"/>
      <w:spacing w:before="60"/>
      <w:jc w:val="both"/>
      <w:textAlignment w:val="baseline"/>
    </w:pPr>
    <w:rPr>
      <w:rFonts w:ascii="Arial" w:hAnsi="Arial"/>
      <w:b/>
      <w:color w:val="000080"/>
    </w:rPr>
  </w:style>
  <w:style w:type="character" w:customStyle="1" w:styleId="firstlevelChar">
    <w:name w:val="first level Char"/>
    <w:basedOn w:val="DefaultParagraphFont"/>
    <w:link w:val="firstlevel"/>
    <w:rsid w:val="000E5221"/>
    <w:rPr>
      <w:rFonts w:ascii="Arial" w:hAnsi="Arial"/>
      <w:b/>
      <w:color w:val="CC0000"/>
      <w:sz w:val="28"/>
      <w:szCs w:val="28"/>
    </w:rPr>
  </w:style>
  <w:style w:type="paragraph" w:customStyle="1" w:styleId="fourthlevel">
    <w:name w:val="fourth level"/>
    <w:basedOn w:val="Normal"/>
    <w:qFormat/>
    <w:rsid w:val="000E5221"/>
    <w:pPr>
      <w:numPr>
        <w:ilvl w:val="2"/>
        <w:numId w:val="6"/>
      </w:numPr>
      <w:suppressAutoHyphens/>
      <w:autoSpaceDN w:val="0"/>
      <w:spacing w:before="60"/>
      <w:jc w:val="both"/>
      <w:textAlignment w:val="baseline"/>
    </w:pPr>
    <w:rPr>
      <w:rFonts w:ascii="Arial" w:hAnsi="Arial"/>
      <w:color w:val="000080"/>
    </w:rPr>
  </w:style>
  <w:style w:type="character" w:customStyle="1" w:styleId="secondlevelChar">
    <w:name w:val="second level Char"/>
    <w:basedOn w:val="DefaultParagraphFont"/>
    <w:link w:val="secondlevel"/>
    <w:rsid w:val="000E5221"/>
    <w:rPr>
      <w:rFonts w:ascii="Arial" w:hAnsi="Arial"/>
      <w:b/>
      <w:color w:val="000080"/>
      <w:sz w:val="24"/>
      <w:szCs w:val="24"/>
    </w:rPr>
  </w:style>
  <w:style w:type="character" w:customStyle="1" w:styleId="Heading1Char">
    <w:name w:val="Heading 1 Char"/>
    <w:basedOn w:val="DefaultParagraphFont"/>
    <w:link w:val="Heading1"/>
    <w:rsid w:val="007E661C"/>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3A0660"/>
    <w:rPr>
      <w:color w:val="808080"/>
      <w:shd w:val="clear" w:color="auto" w:fill="E6E6E6"/>
    </w:rPr>
  </w:style>
  <w:style w:type="paragraph" w:styleId="EndnoteText">
    <w:name w:val="endnote text"/>
    <w:basedOn w:val="Normal"/>
    <w:link w:val="EndnoteTextChar"/>
    <w:uiPriority w:val="99"/>
    <w:semiHidden/>
    <w:unhideWhenUsed/>
    <w:rsid w:val="004C406E"/>
    <w:rPr>
      <w:sz w:val="20"/>
      <w:szCs w:val="20"/>
    </w:rPr>
  </w:style>
  <w:style w:type="character" w:customStyle="1" w:styleId="EndnoteTextChar">
    <w:name w:val="Endnote Text Char"/>
    <w:basedOn w:val="DefaultParagraphFont"/>
    <w:link w:val="EndnoteText"/>
    <w:uiPriority w:val="99"/>
    <w:semiHidden/>
    <w:rsid w:val="004C406E"/>
    <w:rPr>
      <w:sz w:val="20"/>
      <w:szCs w:val="20"/>
    </w:rPr>
  </w:style>
  <w:style w:type="character" w:styleId="EndnoteReference">
    <w:name w:val="endnote reference"/>
    <w:basedOn w:val="DefaultParagraphFont"/>
    <w:uiPriority w:val="99"/>
    <w:semiHidden/>
    <w:unhideWhenUsed/>
    <w:rsid w:val="004C406E"/>
    <w:rPr>
      <w:vertAlign w:val="superscript"/>
    </w:rPr>
  </w:style>
  <w:style w:type="paragraph" w:styleId="BodyText">
    <w:name w:val="Body Text"/>
    <w:basedOn w:val="Normal"/>
    <w:link w:val="BodyTextChar"/>
    <w:uiPriority w:val="1"/>
    <w:qFormat/>
    <w:rsid w:val="001E24C5"/>
    <w:pPr>
      <w:widowControl w:val="0"/>
      <w:autoSpaceDE w:val="0"/>
      <w:autoSpaceDN w:val="0"/>
    </w:pPr>
    <w:rPr>
      <w:rFonts w:ascii="Century Gothic" w:eastAsia="Century Gothic" w:hAnsi="Century Gothic" w:cs="Century Gothic"/>
      <w:lang w:bidi="en-US"/>
    </w:rPr>
  </w:style>
  <w:style w:type="character" w:customStyle="1" w:styleId="BodyTextChar">
    <w:name w:val="Body Text Char"/>
    <w:basedOn w:val="DefaultParagraphFont"/>
    <w:link w:val="BodyText"/>
    <w:uiPriority w:val="1"/>
    <w:rsid w:val="001E24C5"/>
    <w:rPr>
      <w:rFonts w:ascii="Century Gothic" w:eastAsia="Century Gothic" w:hAnsi="Century Gothic" w:cs="Century Gothic"/>
      <w:sz w:val="24"/>
      <w:szCs w:val="24"/>
      <w:lang w:bidi="en-US"/>
    </w:rPr>
  </w:style>
  <w:style w:type="character" w:styleId="UnresolvedMention">
    <w:name w:val="Unresolved Mention"/>
    <w:basedOn w:val="DefaultParagraphFont"/>
    <w:uiPriority w:val="99"/>
    <w:semiHidden/>
    <w:unhideWhenUsed/>
    <w:rsid w:val="00EE5D42"/>
    <w:rPr>
      <w:color w:val="605E5C"/>
      <w:shd w:val="clear" w:color="auto" w:fill="E1DFDD"/>
    </w:rPr>
  </w:style>
  <w:style w:type="paragraph" w:styleId="Revision">
    <w:name w:val="Revision"/>
    <w:hidden/>
    <w:uiPriority w:val="99"/>
    <w:semiHidden/>
    <w:rsid w:val="001823C2"/>
    <w:pPr>
      <w:spacing w:after="0" w:line="240" w:lineRule="auto"/>
    </w:pPr>
    <w:rPr>
      <w:sz w:val="24"/>
      <w:szCs w:val="24"/>
    </w:rPr>
  </w:style>
  <w:style w:type="paragraph" w:styleId="FootnoteText">
    <w:name w:val="footnote text"/>
    <w:basedOn w:val="Normal"/>
    <w:link w:val="FootnoteTextChar"/>
    <w:uiPriority w:val="99"/>
    <w:semiHidden/>
    <w:unhideWhenUsed/>
    <w:rsid w:val="009C1CF4"/>
    <w:rPr>
      <w:sz w:val="20"/>
      <w:szCs w:val="20"/>
    </w:rPr>
  </w:style>
  <w:style w:type="character" w:customStyle="1" w:styleId="FootnoteTextChar">
    <w:name w:val="Footnote Text Char"/>
    <w:basedOn w:val="DefaultParagraphFont"/>
    <w:link w:val="FootnoteText"/>
    <w:uiPriority w:val="99"/>
    <w:semiHidden/>
    <w:rsid w:val="009C1CF4"/>
    <w:rPr>
      <w:sz w:val="20"/>
      <w:szCs w:val="20"/>
    </w:rPr>
  </w:style>
  <w:style w:type="character" w:styleId="FootnoteReference">
    <w:name w:val="footnote reference"/>
    <w:basedOn w:val="DefaultParagraphFont"/>
    <w:uiPriority w:val="99"/>
    <w:semiHidden/>
    <w:unhideWhenUsed/>
    <w:rsid w:val="009C1C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7405">
      <w:bodyDiv w:val="1"/>
      <w:marLeft w:val="0"/>
      <w:marRight w:val="0"/>
      <w:marTop w:val="0"/>
      <w:marBottom w:val="0"/>
      <w:divBdr>
        <w:top w:val="none" w:sz="0" w:space="0" w:color="auto"/>
        <w:left w:val="none" w:sz="0" w:space="0" w:color="auto"/>
        <w:bottom w:val="none" w:sz="0" w:space="0" w:color="auto"/>
        <w:right w:val="none" w:sz="0" w:space="0" w:color="auto"/>
      </w:divBdr>
    </w:div>
    <w:div w:id="46875293">
      <w:bodyDiv w:val="1"/>
      <w:marLeft w:val="0"/>
      <w:marRight w:val="0"/>
      <w:marTop w:val="0"/>
      <w:marBottom w:val="0"/>
      <w:divBdr>
        <w:top w:val="none" w:sz="0" w:space="0" w:color="auto"/>
        <w:left w:val="none" w:sz="0" w:space="0" w:color="auto"/>
        <w:bottom w:val="none" w:sz="0" w:space="0" w:color="auto"/>
        <w:right w:val="none" w:sz="0" w:space="0" w:color="auto"/>
      </w:divBdr>
    </w:div>
    <w:div w:id="1011033294">
      <w:bodyDiv w:val="1"/>
      <w:marLeft w:val="0"/>
      <w:marRight w:val="0"/>
      <w:marTop w:val="0"/>
      <w:marBottom w:val="0"/>
      <w:divBdr>
        <w:top w:val="none" w:sz="0" w:space="0" w:color="auto"/>
        <w:left w:val="none" w:sz="0" w:space="0" w:color="auto"/>
        <w:bottom w:val="none" w:sz="0" w:space="0" w:color="auto"/>
        <w:right w:val="none" w:sz="0" w:space="0" w:color="auto"/>
      </w:divBdr>
    </w:div>
    <w:div w:id="1067604784">
      <w:marLeft w:val="0"/>
      <w:marRight w:val="0"/>
      <w:marTop w:val="0"/>
      <w:marBottom w:val="0"/>
      <w:divBdr>
        <w:top w:val="none" w:sz="0" w:space="0" w:color="auto"/>
        <w:left w:val="none" w:sz="0" w:space="0" w:color="auto"/>
        <w:bottom w:val="none" w:sz="0" w:space="0" w:color="auto"/>
        <w:right w:val="none" w:sz="0" w:space="0" w:color="auto"/>
      </w:divBdr>
    </w:div>
    <w:div w:id="1067604785">
      <w:marLeft w:val="0"/>
      <w:marRight w:val="0"/>
      <w:marTop w:val="0"/>
      <w:marBottom w:val="0"/>
      <w:divBdr>
        <w:top w:val="none" w:sz="0" w:space="0" w:color="auto"/>
        <w:left w:val="none" w:sz="0" w:space="0" w:color="auto"/>
        <w:bottom w:val="none" w:sz="0" w:space="0" w:color="auto"/>
        <w:right w:val="none" w:sz="0" w:space="0" w:color="auto"/>
      </w:divBdr>
    </w:div>
    <w:div w:id="1067604786">
      <w:marLeft w:val="0"/>
      <w:marRight w:val="0"/>
      <w:marTop w:val="0"/>
      <w:marBottom w:val="0"/>
      <w:divBdr>
        <w:top w:val="none" w:sz="0" w:space="0" w:color="auto"/>
        <w:left w:val="none" w:sz="0" w:space="0" w:color="auto"/>
        <w:bottom w:val="none" w:sz="0" w:space="0" w:color="auto"/>
        <w:right w:val="none" w:sz="0" w:space="0" w:color="auto"/>
      </w:divBdr>
    </w:div>
    <w:div w:id="1253851427">
      <w:bodyDiv w:val="1"/>
      <w:marLeft w:val="0"/>
      <w:marRight w:val="0"/>
      <w:marTop w:val="0"/>
      <w:marBottom w:val="0"/>
      <w:divBdr>
        <w:top w:val="none" w:sz="0" w:space="0" w:color="auto"/>
        <w:left w:val="none" w:sz="0" w:space="0" w:color="auto"/>
        <w:bottom w:val="none" w:sz="0" w:space="0" w:color="auto"/>
        <w:right w:val="none" w:sz="0" w:space="0" w:color="auto"/>
      </w:divBdr>
    </w:div>
    <w:div w:id="206597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tschampl@veterans.idaho.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3B166-198F-4717-918F-A7743FD38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5872</TotalTime>
  <Pages>5</Pages>
  <Words>2153</Words>
  <Characters>12648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14772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Brenda Nunley</cp:lastModifiedBy>
  <cp:revision>80</cp:revision>
  <cp:lastPrinted>2024-01-04T20:41:00Z</cp:lastPrinted>
  <dcterms:created xsi:type="dcterms:W3CDTF">2024-01-04T20:41:00Z</dcterms:created>
  <dcterms:modified xsi:type="dcterms:W3CDTF">2025-06-24T17:48:00Z</dcterms:modified>
</cp:coreProperties>
</file>