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E065" w14:textId="77777777" w:rsidR="0062679A" w:rsidRPr="00487FCD" w:rsidRDefault="0062679A" w:rsidP="00600899">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783C793A" w14:textId="1CAA412A" w:rsidR="0062679A" w:rsidRPr="00F853E2" w:rsidRDefault="00704F84" w:rsidP="0062679A">
      <w:pPr>
        <w:tabs>
          <w:tab w:val="left" w:pos="4095"/>
          <w:tab w:val="left" w:pos="4515"/>
        </w:tabs>
        <w:rPr>
          <w:b/>
          <w:bCs/>
          <w:color w:val="FFFFFF" w:themeColor="background1"/>
          <w:szCs w:val="16"/>
        </w:rPr>
      </w:pPr>
      <w:r>
        <w:rPr>
          <w:b/>
          <w:bCs/>
          <w:color w:val="FFFFFF" w:themeColor="background1"/>
          <w:szCs w:val="16"/>
        </w:rPr>
        <w:t>FY 2019</w:t>
      </w:r>
      <w:r w:rsidR="0062679A" w:rsidRPr="00F853E2">
        <w:rPr>
          <w:b/>
          <w:bCs/>
          <w:color w:val="FFFFFF" w:themeColor="background1"/>
          <w:szCs w:val="16"/>
        </w:rPr>
        <w:t xml:space="preserve"> – Dot is text</w:t>
      </w:r>
    </w:p>
    <w:p w14:paraId="00916930" w14:textId="77777777" w:rsidR="000B30BD" w:rsidRDefault="000B30BD" w:rsidP="00E80EE2">
      <w:pPr>
        <w:rPr>
          <w:b/>
          <w:bCs/>
        </w:rPr>
      </w:pPr>
      <w:r w:rsidRPr="00E80EE2">
        <w:rPr>
          <w:b/>
          <w:bCs/>
        </w:rPr>
        <w:t>Agency Overview</w:t>
      </w:r>
    </w:p>
    <w:p w14:paraId="53404B4C" w14:textId="77777777" w:rsidR="00600899" w:rsidRPr="00E80EE2" w:rsidRDefault="00600899" w:rsidP="00E80EE2"/>
    <w:p w14:paraId="657D0EEE" w14:textId="7C90C49A" w:rsidR="00CA1B9B" w:rsidRPr="00E80EE2" w:rsidRDefault="005E0BEB" w:rsidP="00FC6B15">
      <w:pPr>
        <w:jc w:val="both"/>
        <w:rPr>
          <w:sz w:val="20"/>
        </w:rPr>
      </w:pPr>
      <w:r w:rsidRPr="00E80EE2">
        <w:rPr>
          <w:sz w:val="20"/>
        </w:rPr>
        <w:t>Boise State University is a public, metropolitan research university that foster</w:t>
      </w:r>
      <w:r w:rsidR="00DC1D40">
        <w:rPr>
          <w:sz w:val="20"/>
        </w:rPr>
        <w:t>s</w:t>
      </w:r>
      <w:r w:rsidRPr="00E80EE2">
        <w:rPr>
          <w:sz w:val="20"/>
        </w:rPr>
        <w:t xml:space="preserve"> student success in and after their college years, lifelong learning, community engagement, innovation</w:t>
      </w:r>
      <w:r w:rsidR="00190EEC">
        <w:rPr>
          <w:sz w:val="20"/>
        </w:rPr>
        <w:t>,</w:t>
      </w:r>
      <w:r w:rsidRPr="00E80EE2">
        <w:rPr>
          <w:sz w:val="20"/>
        </w:rPr>
        <w:t xml:space="preserve"> and creativity.</w:t>
      </w:r>
      <w:r w:rsidR="0052002B">
        <w:rPr>
          <w:sz w:val="20"/>
        </w:rPr>
        <w:t xml:space="preserve"> </w:t>
      </w:r>
      <w:r w:rsidRPr="00E80EE2">
        <w:rPr>
          <w:sz w:val="20"/>
        </w:rPr>
        <w:t>Research and creative activity advance new knowledge and benefit students, the economy, the community, the state and the nation.</w:t>
      </w:r>
      <w:r w:rsidR="00955852">
        <w:rPr>
          <w:sz w:val="20"/>
        </w:rPr>
        <w:t xml:space="preserve"> </w:t>
      </w:r>
      <w:r w:rsidR="00955852">
        <w:rPr>
          <w:sz w:val="20"/>
          <w:szCs w:val="20"/>
        </w:rPr>
        <w:t xml:space="preserve">Boise State is </w:t>
      </w:r>
      <w:r w:rsidR="00DC1D40">
        <w:rPr>
          <w:sz w:val="20"/>
          <w:szCs w:val="20"/>
        </w:rPr>
        <w:t xml:space="preserve">a Carnegie </w:t>
      </w:r>
      <w:r w:rsidR="00955852">
        <w:rPr>
          <w:sz w:val="20"/>
          <w:szCs w:val="20"/>
        </w:rPr>
        <w:t>doctoral university with high research activity.</w:t>
      </w:r>
      <w:r w:rsidRPr="00E80EE2">
        <w:rPr>
          <w:sz w:val="20"/>
        </w:rPr>
        <w:t xml:space="preserve"> </w:t>
      </w:r>
      <w:r w:rsidR="00DC1D40">
        <w:rPr>
          <w:sz w:val="20"/>
        </w:rPr>
        <w:t xml:space="preserve">We </w:t>
      </w:r>
      <w:r w:rsidR="00E67AA7" w:rsidRPr="00E67AA7">
        <w:rPr>
          <w:sz w:val="20"/>
        </w:rPr>
        <w:t xml:space="preserve">lead the way </w:t>
      </w:r>
      <w:r w:rsidR="00DC1D40">
        <w:rPr>
          <w:sz w:val="20"/>
        </w:rPr>
        <w:t xml:space="preserve">on </w:t>
      </w:r>
      <w:r w:rsidR="00E67AA7" w:rsidRPr="00E67AA7">
        <w:rPr>
          <w:sz w:val="20"/>
        </w:rPr>
        <w:t>Idaho's goal of ensuring that 60 percent of Idahoans have a college degree or cer</w:t>
      </w:r>
      <w:r w:rsidR="00190EEC">
        <w:rPr>
          <w:sz w:val="20"/>
        </w:rPr>
        <w:t>tificate and produce more than 5</w:t>
      </w:r>
      <w:r w:rsidR="00E67AA7" w:rsidRPr="00E67AA7">
        <w:rPr>
          <w:sz w:val="20"/>
        </w:rPr>
        <w:t>0 percent of all bachelor's degrees awarded by Idaho public universities.</w:t>
      </w:r>
    </w:p>
    <w:p w14:paraId="09B2BF05" w14:textId="77777777" w:rsidR="005E0BEB" w:rsidRPr="00E80EE2" w:rsidRDefault="005E0BEB" w:rsidP="00FC6B15">
      <w:pPr>
        <w:jc w:val="both"/>
        <w:rPr>
          <w:sz w:val="20"/>
        </w:rPr>
      </w:pPr>
    </w:p>
    <w:p w14:paraId="238F9A78" w14:textId="6BCEB882" w:rsidR="00190EEC" w:rsidRPr="00190EEC" w:rsidRDefault="00190EEC" w:rsidP="00190EEC">
      <w:pPr>
        <w:jc w:val="both"/>
        <w:rPr>
          <w:sz w:val="20"/>
        </w:rPr>
      </w:pPr>
      <w:r w:rsidRPr="00190EEC">
        <w:rPr>
          <w:sz w:val="20"/>
        </w:rPr>
        <w:t>Boise State University employs over 3,</w:t>
      </w:r>
      <w:r w:rsidR="00515D8F">
        <w:rPr>
          <w:sz w:val="20"/>
        </w:rPr>
        <w:t>6</w:t>
      </w:r>
      <w:r w:rsidRPr="00190EEC">
        <w:rPr>
          <w:sz w:val="20"/>
        </w:rPr>
        <w:t>00 full</w:t>
      </w:r>
      <w:r w:rsidR="00515D8F">
        <w:rPr>
          <w:sz w:val="20"/>
        </w:rPr>
        <w:t>-</w:t>
      </w:r>
      <w:r w:rsidRPr="00190EEC">
        <w:rPr>
          <w:sz w:val="20"/>
        </w:rPr>
        <w:t xml:space="preserve"> and part-time employees</w:t>
      </w:r>
      <w:r w:rsidR="00515D8F">
        <w:rPr>
          <w:sz w:val="20"/>
        </w:rPr>
        <w:t xml:space="preserve"> (3,147 </w:t>
      </w:r>
      <w:r w:rsidR="006F3FB3">
        <w:rPr>
          <w:sz w:val="20"/>
        </w:rPr>
        <w:t>full-time equivalent employees</w:t>
      </w:r>
      <w:r w:rsidR="00515D8F">
        <w:rPr>
          <w:sz w:val="20"/>
        </w:rPr>
        <w:t>)</w:t>
      </w:r>
      <w:r w:rsidRPr="00190EEC">
        <w:rPr>
          <w:sz w:val="20"/>
        </w:rPr>
        <w:t xml:space="preserve">, including </w:t>
      </w:r>
      <w:r w:rsidR="008B27B4">
        <w:rPr>
          <w:sz w:val="20"/>
        </w:rPr>
        <w:t>over</w:t>
      </w:r>
      <w:r w:rsidRPr="00190EEC">
        <w:rPr>
          <w:sz w:val="20"/>
        </w:rPr>
        <w:t xml:space="preserve"> </w:t>
      </w:r>
      <w:r w:rsidR="00515D8F">
        <w:rPr>
          <w:sz w:val="20"/>
        </w:rPr>
        <w:t>2,000</w:t>
      </w:r>
      <w:r w:rsidRPr="00190EEC">
        <w:rPr>
          <w:sz w:val="20"/>
        </w:rPr>
        <w:t xml:space="preserve"> full-time professional and classified staff and </w:t>
      </w:r>
      <w:r w:rsidR="008B27B4">
        <w:rPr>
          <w:sz w:val="20"/>
        </w:rPr>
        <w:t>over</w:t>
      </w:r>
      <w:r w:rsidRPr="00190EEC">
        <w:rPr>
          <w:sz w:val="20"/>
        </w:rPr>
        <w:t xml:space="preserve"> 800 full-time instructional faculty members. The main campus of Boise State University is located at 1910 University Drive in Boise, Idaho. Classes also are offered at Twin Falls’ CSI campus; Coeur d’Alene’s North Idaho College, downtown Boise (</w:t>
      </w:r>
      <w:proofErr w:type="spellStart"/>
      <w:r w:rsidRPr="00190EEC">
        <w:rPr>
          <w:sz w:val="20"/>
        </w:rPr>
        <w:t>BoDo</w:t>
      </w:r>
      <w:proofErr w:type="spellEnd"/>
      <w:r w:rsidRPr="00190EEC">
        <w:rPr>
          <w:sz w:val="20"/>
        </w:rPr>
        <w:t>), and Boise State University at College of Western Idaho. Boise State University provides an impressive array of online courses and programs that are available across the state and nation.</w:t>
      </w:r>
    </w:p>
    <w:p w14:paraId="5725BD17" w14:textId="77777777" w:rsidR="00190EEC" w:rsidRPr="00190EEC" w:rsidRDefault="00190EEC" w:rsidP="00190EEC">
      <w:pPr>
        <w:jc w:val="both"/>
        <w:rPr>
          <w:sz w:val="20"/>
        </w:rPr>
      </w:pPr>
    </w:p>
    <w:p w14:paraId="5DD410D7" w14:textId="19C77323" w:rsidR="00190EEC" w:rsidRPr="00190EEC" w:rsidRDefault="00190EEC" w:rsidP="00190EEC">
      <w:pPr>
        <w:jc w:val="both"/>
        <w:rPr>
          <w:sz w:val="20"/>
        </w:rPr>
      </w:pPr>
      <w:r w:rsidRPr="00190EEC">
        <w:rPr>
          <w:sz w:val="20"/>
        </w:rPr>
        <w:t xml:space="preserve">Boise State University offers studies in </w:t>
      </w:r>
      <w:r w:rsidR="00522375">
        <w:rPr>
          <w:sz w:val="20"/>
        </w:rPr>
        <w:t>more than</w:t>
      </w:r>
      <w:r w:rsidRPr="00190EEC">
        <w:rPr>
          <w:sz w:val="20"/>
        </w:rPr>
        <w:t xml:space="preserve"> 200 fields of interest in 1</w:t>
      </w:r>
      <w:r w:rsidR="00522375">
        <w:rPr>
          <w:sz w:val="20"/>
        </w:rPr>
        <w:t>02</w:t>
      </w:r>
      <w:r w:rsidRPr="00190EEC">
        <w:rPr>
          <w:sz w:val="20"/>
        </w:rPr>
        <w:t xml:space="preserve"> </w:t>
      </w:r>
      <w:proofErr w:type="gramStart"/>
      <w:r w:rsidRPr="00190EEC">
        <w:rPr>
          <w:sz w:val="20"/>
        </w:rPr>
        <w:t>bachelor</w:t>
      </w:r>
      <w:proofErr w:type="gramEnd"/>
      <w:r w:rsidRPr="00190EEC">
        <w:rPr>
          <w:sz w:val="20"/>
        </w:rPr>
        <w:t xml:space="preserve"> degree programs, 6</w:t>
      </w:r>
      <w:r w:rsidR="00C07162">
        <w:rPr>
          <w:sz w:val="20"/>
        </w:rPr>
        <w:t>9</w:t>
      </w:r>
      <w:r w:rsidRPr="00190EEC">
        <w:rPr>
          <w:sz w:val="20"/>
        </w:rPr>
        <w:t xml:space="preserve"> master’s programs, 2 education specialist programs, and 1</w:t>
      </w:r>
      <w:r w:rsidR="00522375">
        <w:rPr>
          <w:sz w:val="20"/>
        </w:rPr>
        <w:t>6</w:t>
      </w:r>
      <w:r w:rsidRPr="00190EEC">
        <w:rPr>
          <w:sz w:val="20"/>
        </w:rPr>
        <w:t xml:space="preserve"> doctoral programs. These are delivered through our College of Arts and Sciences, College of Business and Economics, College of Education, College of Engineering, College of Health Sciences, College of Innovation and Design, and School of Public Service.</w:t>
      </w:r>
    </w:p>
    <w:p w14:paraId="2B97011E" w14:textId="77777777" w:rsidR="00190EEC" w:rsidRPr="00190EEC" w:rsidRDefault="00190EEC" w:rsidP="00190EEC">
      <w:pPr>
        <w:jc w:val="both"/>
        <w:rPr>
          <w:sz w:val="20"/>
        </w:rPr>
      </w:pPr>
    </w:p>
    <w:p w14:paraId="2F82826D" w14:textId="390B37EF" w:rsidR="008B27B4" w:rsidRDefault="008B27B4" w:rsidP="008B27B4">
      <w:pPr>
        <w:jc w:val="both"/>
        <w:rPr>
          <w:sz w:val="20"/>
        </w:rPr>
      </w:pPr>
      <w:r>
        <w:rPr>
          <w:sz w:val="20"/>
        </w:rPr>
        <w:t xml:space="preserve">In 2021, Boise State University implemented a new strategic plan, </w:t>
      </w:r>
      <w:r>
        <w:rPr>
          <w:i/>
          <w:iCs/>
          <w:sz w:val="20"/>
        </w:rPr>
        <w:t>Blueprint for Success</w:t>
      </w:r>
      <w:r>
        <w:rPr>
          <w:sz w:val="20"/>
        </w:rPr>
        <w:t>, which is centered on the following five goals:</w:t>
      </w:r>
    </w:p>
    <w:p w14:paraId="3CD25F2C" w14:textId="77777777" w:rsidR="008B27B4" w:rsidRDefault="008B27B4" w:rsidP="008B27B4">
      <w:pPr>
        <w:jc w:val="both"/>
        <w:rPr>
          <w:sz w:val="20"/>
        </w:rPr>
      </w:pPr>
    </w:p>
    <w:p w14:paraId="6D99F113" w14:textId="77777777" w:rsidR="008B27B4" w:rsidRDefault="008B27B4" w:rsidP="008B27B4">
      <w:pPr>
        <w:pStyle w:val="ListParagraph"/>
        <w:numPr>
          <w:ilvl w:val="0"/>
          <w:numId w:val="33"/>
        </w:numPr>
        <w:jc w:val="both"/>
        <w:rPr>
          <w:sz w:val="20"/>
        </w:rPr>
      </w:pPr>
      <w:r>
        <w:rPr>
          <w:sz w:val="20"/>
        </w:rPr>
        <w:t>Improve Educational Access and Success</w:t>
      </w:r>
    </w:p>
    <w:p w14:paraId="45C25ACA" w14:textId="77777777" w:rsidR="008B27B4" w:rsidRDefault="008B27B4" w:rsidP="008B27B4">
      <w:pPr>
        <w:pStyle w:val="ListParagraph"/>
        <w:numPr>
          <w:ilvl w:val="0"/>
          <w:numId w:val="33"/>
        </w:numPr>
        <w:jc w:val="both"/>
        <w:rPr>
          <w:sz w:val="20"/>
        </w:rPr>
      </w:pPr>
      <w:r>
        <w:rPr>
          <w:sz w:val="20"/>
        </w:rPr>
        <w:t>Innovation for Institutional Impact</w:t>
      </w:r>
    </w:p>
    <w:p w14:paraId="4C21DF02" w14:textId="77777777" w:rsidR="008B27B4" w:rsidRDefault="008B27B4" w:rsidP="008B27B4">
      <w:pPr>
        <w:pStyle w:val="ListParagraph"/>
        <w:numPr>
          <w:ilvl w:val="0"/>
          <w:numId w:val="33"/>
        </w:numPr>
        <w:jc w:val="both"/>
        <w:rPr>
          <w:sz w:val="20"/>
        </w:rPr>
      </w:pPr>
      <w:r>
        <w:rPr>
          <w:sz w:val="20"/>
        </w:rPr>
        <w:t>Advance Research and Creative Activity</w:t>
      </w:r>
    </w:p>
    <w:p w14:paraId="4A753195" w14:textId="77777777" w:rsidR="008B27B4" w:rsidRDefault="008B27B4" w:rsidP="008B27B4">
      <w:pPr>
        <w:pStyle w:val="ListParagraph"/>
        <w:numPr>
          <w:ilvl w:val="0"/>
          <w:numId w:val="33"/>
        </w:numPr>
        <w:jc w:val="both"/>
        <w:rPr>
          <w:sz w:val="20"/>
        </w:rPr>
      </w:pPr>
      <w:r>
        <w:rPr>
          <w:sz w:val="20"/>
        </w:rPr>
        <w:t>Foster Thriving Community</w:t>
      </w:r>
    </w:p>
    <w:p w14:paraId="0CFC0383" w14:textId="77777777" w:rsidR="008B27B4" w:rsidRPr="008A495E" w:rsidRDefault="008B27B4" w:rsidP="008B27B4">
      <w:pPr>
        <w:pStyle w:val="ListParagraph"/>
        <w:numPr>
          <w:ilvl w:val="0"/>
          <w:numId w:val="32"/>
        </w:numPr>
        <w:jc w:val="both"/>
        <w:rPr>
          <w:b/>
          <w:bCs/>
          <w:sz w:val="16"/>
          <w:szCs w:val="20"/>
        </w:rPr>
      </w:pPr>
      <w:r w:rsidRPr="0049412F">
        <w:rPr>
          <w:sz w:val="20"/>
        </w:rPr>
        <w:t>Trailbla</w:t>
      </w:r>
      <w:r w:rsidRPr="003719DF">
        <w:rPr>
          <w:sz w:val="20"/>
        </w:rPr>
        <w:t>ze Programs and Partnerships</w:t>
      </w:r>
    </w:p>
    <w:p w14:paraId="1C797223" w14:textId="7E6D9C12" w:rsidR="009D4822" w:rsidRDefault="009D4822" w:rsidP="00FC6B15">
      <w:pPr>
        <w:jc w:val="both"/>
        <w:rPr>
          <w:b/>
          <w:bCs/>
        </w:rPr>
      </w:pPr>
    </w:p>
    <w:p w14:paraId="4E094CFC" w14:textId="7BE11909" w:rsidR="008B27B4" w:rsidRDefault="008B27B4" w:rsidP="00FC6B15">
      <w:pPr>
        <w:jc w:val="both"/>
        <w:rPr>
          <w:b/>
          <w:bCs/>
        </w:rPr>
      </w:pPr>
      <w:r w:rsidRPr="00190EEC">
        <w:rPr>
          <w:sz w:val="20"/>
        </w:rPr>
        <w:t>Boise State University is governed by the Idaho State Board of Education, which is statutorily designated as the Board of Trustees for the institution. Dr. Marlene Tromp is President of Boise State University</w:t>
      </w:r>
      <w:r>
        <w:rPr>
          <w:sz w:val="20"/>
        </w:rPr>
        <w:t>.</w:t>
      </w:r>
    </w:p>
    <w:p w14:paraId="54B9EDB5" w14:textId="77777777" w:rsidR="008B27B4" w:rsidRPr="00E80EE2" w:rsidRDefault="008B27B4" w:rsidP="00FC6B15">
      <w:pPr>
        <w:jc w:val="both"/>
        <w:rPr>
          <w:b/>
          <w:bCs/>
        </w:rPr>
      </w:pPr>
    </w:p>
    <w:p w14:paraId="7A1C6CAC" w14:textId="5BEFB3A6" w:rsidR="009110C6" w:rsidRDefault="00FC1B8C" w:rsidP="00FC6B15">
      <w:pPr>
        <w:jc w:val="both"/>
        <w:rPr>
          <w:b/>
          <w:bCs/>
        </w:rPr>
      </w:pPr>
      <w:r>
        <w:rPr>
          <w:b/>
          <w:bCs/>
        </w:rPr>
        <w:t xml:space="preserve">Boise State University (BSU) </w:t>
      </w:r>
      <w:r w:rsidR="009110C6" w:rsidRPr="00E80EE2">
        <w:rPr>
          <w:b/>
          <w:bCs/>
        </w:rPr>
        <w:t>Core Functions/Idaho Code</w:t>
      </w:r>
    </w:p>
    <w:p w14:paraId="59E1CAC3" w14:textId="77777777" w:rsidR="00600899" w:rsidRPr="00E80EE2" w:rsidRDefault="00600899" w:rsidP="00FC6B15">
      <w:pPr>
        <w:jc w:val="both"/>
      </w:pPr>
    </w:p>
    <w:p w14:paraId="2F81F906" w14:textId="4E845076" w:rsidR="009110C6" w:rsidRDefault="00CA1B9B" w:rsidP="00FC6B15">
      <w:pPr>
        <w:jc w:val="both"/>
        <w:rPr>
          <w:sz w:val="20"/>
        </w:rPr>
      </w:pPr>
      <w:r w:rsidRPr="00E80EE2">
        <w:rPr>
          <w:sz w:val="20"/>
        </w:rPr>
        <w:t>Boise State University is created by Idaho Code Title 33, Chapter 40.  Idaho Code 33-4001 provides the primary function of Boise State University to be that of “an institution of higher education” and “for the purposes of giving instruction in college courses…”  In addition, it provides the “standards of the courses and departments maintained in said university shall be at least equal to, or on a parity with those</w:t>
      </w:r>
      <w:r w:rsidR="00F57B84">
        <w:rPr>
          <w:sz w:val="20"/>
        </w:rPr>
        <w:t xml:space="preserve"> </w:t>
      </w:r>
      <w:r w:rsidRPr="00E80EE2">
        <w:rPr>
          <w:sz w:val="20"/>
        </w:rPr>
        <w:t xml:space="preserve">maintained in other similar colleges and universities in Idaho and other states,” and that the “courses </w:t>
      </w:r>
      <w:proofErr w:type="gramStart"/>
      <w:r w:rsidRPr="00E80EE2">
        <w:rPr>
          <w:sz w:val="20"/>
        </w:rPr>
        <w:t>offered</w:t>
      </w:r>
      <w:proofErr w:type="gramEnd"/>
      <w:r w:rsidRPr="00E80EE2">
        <w:rPr>
          <w:sz w:val="20"/>
        </w:rPr>
        <w:t xml:space="preserve"> and degrees granted at said university shall be determined by the board of trustees.”</w:t>
      </w:r>
    </w:p>
    <w:p w14:paraId="35A5B1D0" w14:textId="77777777" w:rsidR="00DD5FB1" w:rsidRDefault="00DD5FB1" w:rsidP="00DD5FB1">
      <w:bookmarkStart w:id="0" w:name="_Hlk175294164"/>
    </w:p>
    <w:p w14:paraId="0C03B06D" w14:textId="3F51869B" w:rsidR="00FC1B8C" w:rsidRPr="00DD5FB1" w:rsidRDefault="00FC1B8C" w:rsidP="00DD5FB1">
      <w:pPr>
        <w:rPr>
          <w:b/>
          <w:bCs/>
          <w:i/>
          <w:iCs/>
        </w:rPr>
      </w:pPr>
      <w:r w:rsidRPr="00DD5FB1">
        <w:rPr>
          <w:b/>
          <w:bCs/>
        </w:rPr>
        <w:t xml:space="preserve">Small Business Development Center (SBDC) </w:t>
      </w:r>
      <w:bookmarkEnd w:id="0"/>
      <w:r w:rsidRPr="00DD5FB1">
        <w:rPr>
          <w:b/>
          <w:bCs/>
        </w:rPr>
        <w:t>Core Functions/Idaho Code</w:t>
      </w:r>
    </w:p>
    <w:p w14:paraId="04940777" w14:textId="77777777" w:rsidR="00FC1B8C" w:rsidRDefault="00FC1B8C" w:rsidP="00DD5FB1">
      <w:pPr>
        <w:rPr>
          <w:b/>
          <w:color w:val="000000"/>
        </w:rPr>
      </w:pPr>
    </w:p>
    <w:p w14:paraId="3DEF06BE" w14:textId="77777777" w:rsidR="00FC1B8C" w:rsidRDefault="00FC1B8C" w:rsidP="00DD5FB1">
      <w:pPr>
        <w:rPr>
          <w:color w:val="000000"/>
          <w:sz w:val="20"/>
          <w:szCs w:val="20"/>
        </w:rPr>
      </w:pPr>
      <w:r>
        <w:rPr>
          <w:color w:val="212121"/>
          <w:sz w:val="20"/>
          <w:szCs w:val="20"/>
        </w:rPr>
        <w:t xml:space="preserve">Pursuant to Title </w:t>
      </w:r>
      <w:r>
        <w:rPr>
          <w:b/>
          <w:color w:val="212121"/>
          <w:sz w:val="20"/>
          <w:szCs w:val="20"/>
        </w:rPr>
        <w:t xml:space="preserve">15 U.S.C. § 648 </w:t>
      </w:r>
      <w:r>
        <w:rPr>
          <w:color w:val="212121"/>
          <w:sz w:val="20"/>
          <w:szCs w:val="20"/>
        </w:rPr>
        <w:t xml:space="preserve">authorizes the State Board of Education to outline requirements </w:t>
      </w:r>
      <w:proofErr w:type="gramStart"/>
      <w:r>
        <w:rPr>
          <w:color w:val="212121"/>
          <w:sz w:val="20"/>
          <w:szCs w:val="20"/>
        </w:rPr>
        <w:t>in order to</w:t>
      </w:r>
      <w:proofErr w:type="gramEnd"/>
      <w:r>
        <w:rPr>
          <w:color w:val="212121"/>
          <w:sz w:val="20"/>
          <w:szCs w:val="20"/>
        </w:rPr>
        <w:t xml:space="preserve"> </w:t>
      </w:r>
      <w:proofErr w:type="gramStart"/>
      <w:r>
        <w:rPr>
          <w:color w:val="212121"/>
          <w:sz w:val="20"/>
          <w:szCs w:val="20"/>
        </w:rPr>
        <w:t>provide assistance</w:t>
      </w:r>
      <w:proofErr w:type="gramEnd"/>
      <w:r>
        <w:rPr>
          <w:color w:val="212121"/>
          <w:sz w:val="20"/>
          <w:szCs w:val="20"/>
        </w:rPr>
        <w:t xml:space="preserve"> towards small business development.</w:t>
      </w:r>
    </w:p>
    <w:p w14:paraId="15E28ECD" w14:textId="77777777" w:rsidR="00FC1B8C" w:rsidRDefault="00FC1B8C" w:rsidP="00DD5FB1">
      <w:pPr>
        <w:rPr>
          <w:color w:val="000000"/>
          <w:sz w:val="20"/>
          <w:szCs w:val="20"/>
        </w:rPr>
      </w:pPr>
    </w:p>
    <w:p w14:paraId="2F8D17E7" w14:textId="77777777" w:rsidR="00FC1B8C" w:rsidRDefault="00FC1B8C" w:rsidP="00DD5FB1">
      <w:pPr>
        <w:rPr>
          <w:color w:val="000000"/>
          <w:sz w:val="20"/>
          <w:szCs w:val="20"/>
        </w:rPr>
      </w:pPr>
      <w:r>
        <w:rPr>
          <w:color w:val="000000"/>
          <w:sz w:val="20"/>
          <w:szCs w:val="20"/>
        </w:rPr>
        <w:t>The Idaho Small Business Development Center has two basic functions—coaching/consulting and training.</w:t>
      </w:r>
    </w:p>
    <w:p w14:paraId="52DAD30E" w14:textId="77777777" w:rsidR="00FC1B8C" w:rsidRDefault="00FC1B8C" w:rsidP="00DD5FB1">
      <w:pPr>
        <w:rPr>
          <w:color w:val="000000"/>
          <w:sz w:val="20"/>
          <w:szCs w:val="20"/>
        </w:rPr>
      </w:pPr>
    </w:p>
    <w:p w14:paraId="2FDFADA2" w14:textId="77777777" w:rsidR="00FC1B8C" w:rsidRDefault="00FC1B8C" w:rsidP="00DD5FB1">
      <w:pPr>
        <w:rPr>
          <w:color w:val="000000"/>
          <w:sz w:val="20"/>
          <w:szCs w:val="20"/>
        </w:rPr>
      </w:pPr>
      <w:r>
        <w:rPr>
          <w:color w:val="000000"/>
          <w:sz w:val="20"/>
          <w:szCs w:val="20"/>
        </w:rPr>
        <w:lastRenderedPageBreak/>
        <w:t>Coaching/Consulting - The Idaho SBDC provides confidential, no-cost, individualized business consulting and coaching to help small business owners and entrepreneurs increase their knowledge, skills, and abilities for running a successful business. Primary consulting is accomplished with a small core staff of professionals, most with advanced degrees and five years or more of small business ownership/management experience. Business coaching/consulting is designed to provide in-depth business assistance in areas such as marketing, finance, management, production, innovation, government contracting and overall business planning.</w:t>
      </w:r>
    </w:p>
    <w:p w14:paraId="3314E8C2" w14:textId="77777777" w:rsidR="00FC1B8C" w:rsidRDefault="00FC1B8C" w:rsidP="00DD5FB1">
      <w:pPr>
        <w:rPr>
          <w:color w:val="000000"/>
          <w:sz w:val="20"/>
          <w:szCs w:val="20"/>
        </w:rPr>
      </w:pPr>
    </w:p>
    <w:p w14:paraId="44322A33" w14:textId="77777777" w:rsidR="00FC1B8C" w:rsidRDefault="00FC1B8C" w:rsidP="00DD5FB1">
      <w:pPr>
        <w:rPr>
          <w:color w:val="000000"/>
          <w:sz w:val="20"/>
          <w:szCs w:val="20"/>
        </w:rPr>
      </w:pPr>
      <w:r>
        <w:rPr>
          <w:color w:val="000000"/>
          <w:sz w:val="20"/>
          <w:szCs w:val="20"/>
        </w:rPr>
        <w:t>Faculty and students at each institution expand the Center’s knowledge and resource base and provide direct assistance in appropriate cases working directly with business owners and entrepreneurs on specific projects. The students are provided the opportunity, under the direction of professional staff and faculty, to apply classroom learning in real-world situations. ‘Real-world’ laboratory experience for our college and university faculty and students provides long-term benefits to the business community and helps the academic institutions remain current on needs, problems, and opportunities of Idaho’s business sector.</w:t>
      </w:r>
    </w:p>
    <w:p w14:paraId="5389CA8E" w14:textId="77777777" w:rsidR="00FC1B8C" w:rsidRDefault="00FC1B8C" w:rsidP="00DD5FB1">
      <w:pPr>
        <w:rPr>
          <w:color w:val="000000"/>
          <w:sz w:val="20"/>
          <w:szCs w:val="20"/>
        </w:rPr>
      </w:pPr>
    </w:p>
    <w:p w14:paraId="682C963B" w14:textId="30622A1D" w:rsidR="00FC1B8C" w:rsidRDefault="00FC1B8C" w:rsidP="00DD5FB1">
      <w:pPr>
        <w:rPr>
          <w:color w:val="000000"/>
          <w:sz w:val="20"/>
          <w:szCs w:val="20"/>
        </w:rPr>
        <w:sectPr w:rsidR="00FC1B8C" w:rsidSect="00FC1B8C">
          <w:headerReference w:type="default" r:id="rId8"/>
          <w:footerReference w:type="default" r:id="rId9"/>
          <w:type w:val="continuous"/>
          <w:pgSz w:w="12240" w:h="15840"/>
          <w:pgMar w:top="1880" w:right="940" w:bottom="940" w:left="980" w:header="1030" w:footer="743" w:gutter="0"/>
          <w:pgNumType w:start="1"/>
          <w:cols w:space="720"/>
        </w:sectPr>
      </w:pPr>
      <w:r>
        <w:rPr>
          <w:color w:val="000000"/>
          <w:sz w:val="20"/>
          <w:szCs w:val="20"/>
        </w:rPr>
        <w:t>The Idaho SBDC also provides low-cost, non-credit training to improve business skills. Workshops, primarily directed at business owners, are typically 2 – 4 hours in length and attended by 10 – 25 participants. Training covers topics such as marketing, accounting, management, finance, social media, etc. A variety of faculty, staff and private sector experts are used to ensure timely, useful material is presented by a subject-matter expert. A standard training format allows the Idaho SBDC to provide consistent, cost-effective training throughout the state</w:t>
      </w:r>
    </w:p>
    <w:p w14:paraId="01367E23" w14:textId="77777777" w:rsidR="00FC1B8C" w:rsidRDefault="00FC1B8C" w:rsidP="00DD5FB1">
      <w:pPr>
        <w:rPr>
          <w:sz w:val="20"/>
        </w:rPr>
      </w:pPr>
    </w:p>
    <w:p w14:paraId="5DCE33B6" w14:textId="752199F1" w:rsidR="005332E9" w:rsidRPr="00DD5FB1" w:rsidRDefault="005332E9" w:rsidP="00DD5FB1">
      <w:pPr>
        <w:rPr>
          <w:b/>
          <w:bCs/>
          <w:i/>
          <w:iCs/>
        </w:rPr>
      </w:pPr>
      <w:proofErr w:type="spellStart"/>
      <w:r w:rsidRPr="00DD5FB1">
        <w:rPr>
          <w:b/>
          <w:bCs/>
        </w:rPr>
        <w:t>TechHelp</w:t>
      </w:r>
      <w:proofErr w:type="spellEnd"/>
      <w:r w:rsidRPr="00DD5FB1">
        <w:rPr>
          <w:b/>
          <w:bCs/>
        </w:rPr>
        <w:t xml:space="preserve"> Core</w:t>
      </w:r>
      <w:r w:rsidRPr="00DD5FB1">
        <w:rPr>
          <w:b/>
          <w:bCs/>
          <w:spacing w:val="-5"/>
        </w:rPr>
        <w:t xml:space="preserve"> </w:t>
      </w:r>
      <w:r w:rsidRPr="00DD5FB1">
        <w:rPr>
          <w:b/>
          <w:bCs/>
        </w:rPr>
        <w:t>Functions/Idaho</w:t>
      </w:r>
      <w:r w:rsidRPr="00DD5FB1">
        <w:rPr>
          <w:b/>
          <w:bCs/>
          <w:spacing w:val="-4"/>
        </w:rPr>
        <w:t xml:space="preserve"> Code</w:t>
      </w:r>
    </w:p>
    <w:p w14:paraId="4AA2BCE9" w14:textId="77777777" w:rsidR="005332E9" w:rsidRPr="00DD5FB1" w:rsidRDefault="005332E9" w:rsidP="00DD5FB1">
      <w:pPr>
        <w:rPr>
          <w:sz w:val="20"/>
          <w:szCs w:val="20"/>
        </w:rPr>
      </w:pPr>
      <w:r w:rsidRPr="00DD5FB1">
        <w:rPr>
          <w:color w:val="212121"/>
          <w:sz w:val="20"/>
          <w:szCs w:val="20"/>
        </w:rPr>
        <w:t>Pursuant</w:t>
      </w:r>
      <w:r w:rsidRPr="00DD5FB1">
        <w:rPr>
          <w:color w:val="212121"/>
          <w:spacing w:val="-14"/>
          <w:sz w:val="20"/>
          <w:szCs w:val="20"/>
        </w:rPr>
        <w:t xml:space="preserve"> </w:t>
      </w:r>
      <w:r w:rsidRPr="00DD5FB1">
        <w:rPr>
          <w:color w:val="212121"/>
          <w:sz w:val="20"/>
          <w:szCs w:val="20"/>
        </w:rPr>
        <w:t>to</w:t>
      </w:r>
      <w:r w:rsidRPr="00DD5FB1">
        <w:rPr>
          <w:color w:val="212121"/>
          <w:spacing w:val="-14"/>
          <w:sz w:val="20"/>
          <w:szCs w:val="20"/>
        </w:rPr>
        <w:t xml:space="preserve"> </w:t>
      </w:r>
      <w:r w:rsidRPr="00DD5FB1">
        <w:rPr>
          <w:color w:val="212121"/>
          <w:sz w:val="20"/>
          <w:szCs w:val="20"/>
        </w:rPr>
        <w:t>Title</w:t>
      </w:r>
      <w:r w:rsidRPr="00DD5FB1">
        <w:rPr>
          <w:color w:val="212121"/>
          <w:spacing w:val="-14"/>
          <w:sz w:val="20"/>
          <w:szCs w:val="20"/>
        </w:rPr>
        <w:t xml:space="preserve"> </w:t>
      </w:r>
      <w:r w:rsidRPr="00DD5FB1">
        <w:rPr>
          <w:b/>
          <w:color w:val="212121"/>
          <w:sz w:val="20"/>
          <w:szCs w:val="20"/>
        </w:rPr>
        <w:t>15</w:t>
      </w:r>
      <w:r w:rsidRPr="00DD5FB1">
        <w:rPr>
          <w:b/>
          <w:color w:val="212121"/>
          <w:spacing w:val="-14"/>
          <w:sz w:val="20"/>
          <w:szCs w:val="20"/>
        </w:rPr>
        <w:t xml:space="preserve"> </w:t>
      </w:r>
      <w:r w:rsidRPr="00DD5FB1">
        <w:rPr>
          <w:b/>
          <w:color w:val="212121"/>
          <w:sz w:val="20"/>
          <w:szCs w:val="20"/>
        </w:rPr>
        <w:t>U.S.C.</w:t>
      </w:r>
      <w:r w:rsidRPr="00DD5FB1">
        <w:rPr>
          <w:b/>
          <w:color w:val="212121"/>
          <w:spacing w:val="-14"/>
          <w:sz w:val="20"/>
          <w:szCs w:val="20"/>
        </w:rPr>
        <w:t xml:space="preserve"> </w:t>
      </w:r>
      <w:r w:rsidRPr="00DD5FB1">
        <w:rPr>
          <w:b/>
          <w:color w:val="212121"/>
          <w:sz w:val="20"/>
          <w:szCs w:val="20"/>
        </w:rPr>
        <w:t>§</w:t>
      </w:r>
      <w:r w:rsidRPr="00DD5FB1">
        <w:rPr>
          <w:b/>
          <w:color w:val="212121"/>
          <w:spacing w:val="-14"/>
          <w:sz w:val="20"/>
          <w:szCs w:val="20"/>
        </w:rPr>
        <w:t xml:space="preserve"> </w:t>
      </w:r>
      <w:r w:rsidRPr="00DD5FB1">
        <w:rPr>
          <w:b/>
          <w:color w:val="212121"/>
          <w:sz w:val="20"/>
          <w:szCs w:val="20"/>
        </w:rPr>
        <w:t>648</w:t>
      </w:r>
      <w:r w:rsidRPr="00DD5FB1">
        <w:rPr>
          <w:b/>
          <w:color w:val="212121"/>
          <w:spacing w:val="-3"/>
          <w:sz w:val="20"/>
          <w:szCs w:val="20"/>
        </w:rPr>
        <w:t xml:space="preserve"> </w:t>
      </w:r>
      <w:r w:rsidRPr="00DD5FB1">
        <w:rPr>
          <w:color w:val="212121"/>
          <w:sz w:val="20"/>
          <w:szCs w:val="20"/>
        </w:rPr>
        <w:t>authorizes</w:t>
      </w:r>
      <w:r w:rsidRPr="00DD5FB1">
        <w:rPr>
          <w:color w:val="212121"/>
          <w:spacing w:val="-14"/>
          <w:sz w:val="20"/>
          <w:szCs w:val="20"/>
        </w:rPr>
        <w:t xml:space="preserve"> </w:t>
      </w:r>
      <w:r w:rsidRPr="00DD5FB1">
        <w:rPr>
          <w:color w:val="212121"/>
          <w:sz w:val="20"/>
          <w:szCs w:val="20"/>
        </w:rPr>
        <w:t>the</w:t>
      </w:r>
      <w:r w:rsidRPr="00DD5FB1">
        <w:rPr>
          <w:color w:val="212121"/>
          <w:spacing w:val="-14"/>
          <w:sz w:val="20"/>
          <w:szCs w:val="20"/>
        </w:rPr>
        <w:t xml:space="preserve"> </w:t>
      </w:r>
      <w:r w:rsidRPr="00DD5FB1">
        <w:rPr>
          <w:color w:val="212121"/>
          <w:sz w:val="20"/>
          <w:szCs w:val="20"/>
        </w:rPr>
        <w:t>State</w:t>
      </w:r>
      <w:r w:rsidRPr="00DD5FB1">
        <w:rPr>
          <w:color w:val="212121"/>
          <w:spacing w:val="-14"/>
          <w:sz w:val="20"/>
          <w:szCs w:val="20"/>
        </w:rPr>
        <w:t xml:space="preserve"> </w:t>
      </w:r>
      <w:r w:rsidRPr="00DD5FB1">
        <w:rPr>
          <w:color w:val="212121"/>
          <w:sz w:val="20"/>
          <w:szCs w:val="20"/>
        </w:rPr>
        <w:t>Board</w:t>
      </w:r>
      <w:r w:rsidRPr="00DD5FB1">
        <w:rPr>
          <w:color w:val="212121"/>
          <w:spacing w:val="-13"/>
          <w:sz w:val="20"/>
          <w:szCs w:val="20"/>
        </w:rPr>
        <w:t xml:space="preserve"> </w:t>
      </w:r>
      <w:r w:rsidRPr="00DD5FB1">
        <w:rPr>
          <w:color w:val="212121"/>
          <w:sz w:val="20"/>
          <w:szCs w:val="20"/>
        </w:rPr>
        <w:t>of</w:t>
      </w:r>
      <w:r w:rsidRPr="00DD5FB1">
        <w:rPr>
          <w:color w:val="212121"/>
          <w:spacing w:val="-14"/>
          <w:sz w:val="20"/>
          <w:szCs w:val="20"/>
        </w:rPr>
        <w:t xml:space="preserve"> </w:t>
      </w:r>
      <w:r w:rsidRPr="00DD5FB1">
        <w:rPr>
          <w:color w:val="212121"/>
          <w:sz w:val="20"/>
          <w:szCs w:val="20"/>
        </w:rPr>
        <w:t>Education</w:t>
      </w:r>
      <w:r w:rsidRPr="00DD5FB1">
        <w:rPr>
          <w:color w:val="212121"/>
          <w:spacing w:val="-14"/>
          <w:sz w:val="20"/>
          <w:szCs w:val="20"/>
        </w:rPr>
        <w:t xml:space="preserve"> </w:t>
      </w:r>
      <w:r w:rsidRPr="00DD5FB1">
        <w:rPr>
          <w:color w:val="212121"/>
          <w:sz w:val="20"/>
          <w:szCs w:val="20"/>
        </w:rPr>
        <w:t>to</w:t>
      </w:r>
      <w:r w:rsidRPr="00DD5FB1">
        <w:rPr>
          <w:color w:val="212121"/>
          <w:spacing w:val="-14"/>
          <w:sz w:val="20"/>
          <w:szCs w:val="20"/>
        </w:rPr>
        <w:t xml:space="preserve"> </w:t>
      </w:r>
      <w:r w:rsidRPr="00DD5FB1">
        <w:rPr>
          <w:color w:val="212121"/>
          <w:sz w:val="20"/>
          <w:szCs w:val="20"/>
        </w:rPr>
        <w:t>outline</w:t>
      </w:r>
      <w:r w:rsidRPr="00DD5FB1">
        <w:rPr>
          <w:color w:val="212121"/>
          <w:spacing w:val="-14"/>
          <w:sz w:val="20"/>
          <w:szCs w:val="20"/>
        </w:rPr>
        <w:t xml:space="preserve"> </w:t>
      </w:r>
      <w:r w:rsidRPr="00DD5FB1">
        <w:rPr>
          <w:color w:val="212121"/>
          <w:sz w:val="20"/>
          <w:szCs w:val="20"/>
        </w:rPr>
        <w:t>requirements</w:t>
      </w:r>
      <w:r w:rsidRPr="00DD5FB1">
        <w:rPr>
          <w:color w:val="212121"/>
          <w:spacing w:val="-12"/>
          <w:sz w:val="20"/>
          <w:szCs w:val="20"/>
        </w:rPr>
        <w:t xml:space="preserve"> </w:t>
      </w:r>
      <w:proofErr w:type="gramStart"/>
      <w:r w:rsidRPr="00DD5FB1">
        <w:rPr>
          <w:color w:val="212121"/>
          <w:sz w:val="20"/>
          <w:szCs w:val="20"/>
        </w:rPr>
        <w:t>in</w:t>
      </w:r>
      <w:r w:rsidRPr="00DD5FB1">
        <w:rPr>
          <w:color w:val="212121"/>
          <w:spacing w:val="-14"/>
          <w:sz w:val="20"/>
          <w:szCs w:val="20"/>
        </w:rPr>
        <w:t xml:space="preserve"> </w:t>
      </w:r>
      <w:r w:rsidRPr="00DD5FB1">
        <w:rPr>
          <w:color w:val="212121"/>
          <w:sz w:val="20"/>
          <w:szCs w:val="20"/>
        </w:rPr>
        <w:t>order</w:t>
      </w:r>
      <w:r w:rsidRPr="00DD5FB1">
        <w:rPr>
          <w:color w:val="212121"/>
          <w:spacing w:val="-14"/>
          <w:sz w:val="20"/>
          <w:szCs w:val="20"/>
        </w:rPr>
        <w:t xml:space="preserve"> </w:t>
      </w:r>
      <w:r w:rsidRPr="00DD5FB1">
        <w:rPr>
          <w:color w:val="212121"/>
          <w:sz w:val="20"/>
          <w:szCs w:val="20"/>
        </w:rPr>
        <w:t>to</w:t>
      </w:r>
      <w:proofErr w:type="gramEnd"/>
      <w:r w:rsidRPr="00DD5FB1">
        <w:rPr>
          <w:color w:val="212121"/>
          <w:spacing w:val="-14"/>
          <w:sz w:val="20"/>
          <w:szCs w:val="20"/>
        </w:rPr>
        <w:t xml:space="preserve"> </w:t>
      </w:r>
      <w:proofErr w:type="gramStart"/>
      <w:r w:rsidRPr="00DD5FB1">
        <w:rPr>
          <w:color w:val="212121"/>
          <w:sz w:val="20"/>
          <w:szCs w:val="20"/>
        </w:rPr>
        <w:t>provide assistance</w:t>
      </w:r>
      <w:proofErr w:type="gramEnd"/>
      <w:r w:rsidRPr="00DD5FB1">
        <w:rPr>
          <w:color w:val="212121"/>
          <w:sz w:val="20"/>
          <w:szCs w:val="20"/>
        </w:rPr>
        <w:t xml:space="preserve"> towards Idaho businesses.</w:t>
      </w:r>
    </w:p>
    <w:p w14:paraId="603610C8" w14:textId="77777777" w:rsidR="005332E9" w:rsidRPr="00DD5FB1" w:rsidRDefault="005332E9" w:rsidP="00DD5FB1">
      <w:pPr>
        <w:rPr>
          <w:sz w:val="20"/>
          <w:szCs w:val="20"/>
        </w:rPr>
      </w:pPr>
    </w:p>
    <w:p w14:paraId="152EB634" w14:textId="77777777" w:rsidR="005332E9" w:rsidRPr="00DD5FB1" w:rsidRDefault="005332E9" w:rsidP="00DD5FB1">
      <w:pPr>
        <w:rPr>
          <w:sz w:val="20"/>
          <w:szCs w:val="20"/>
        </w:rPr>
      </w:pPr>
      <w:proofErr w:type="spellStart"/>
      <w:r w:rsidRPr="00DD5FB1">
        <w:rPr>
          <w:sz w:val="20"/>
          <w:szCs w:val="20"/>
        </w:rPr>
        <w:t>TechHelp</w:t>
      </w:r>
      <w:proofErr w:type="spellEnd"/>
      <w:r w:rsidRPr="00DD5FB1">
        <w:rPr>
          <w:spacing w:val="-13"/>
          <w:sz w:val="20"/>
          <w:szCs w:val="20"/>
        </w:rPr>
        <w:t xml:space="preserve"> </w:t>
      </w:r>
      <w:r w:rsidRPr="00DD5FB1">
        <w:rPr>
          <w:sz w:val="20"/>
          <w:szCs w:val="20"/>
        </w:rPr>
        <w:t>helps</w:t>
      </w:r>
      <w:r w:rsidRPr="00DD5FB1">
        <w:rPr>
          <w:spacing w:val="-11"/>
          <w:sz w:val="20"/>
          <w:szCs w:val="20"/>
        </w:rPr>
        <w:t xml:space="preserve"> </w:t>
      </w:r>
      <w:r w:rsidRPr="00DD5FB1">
        <w:rPr>
          <w:sz w:val="20"/>
          <w:szCs w:val="20"/>
        </w:rPr>
        <w:t>Idaho</w:t>
      </w:r>
      <w:r w:rsidRPr="00DD5FB1">
        <w:rPr>
          <w:spacing w:val="-13"/>
          <w:sz w:val="20"/>
          <w:szCs w:val="20"/>
        </w:rPr>
        <w:t xml:space="preserve"> small and medium-sized </w:t>
      </w:r>
      <w:r w:rsidRPr="00DD5FB1">
        <w:rPr>
          <w:sz w:val="20"/>
          <w:szCs w:val="20"/>
        </w:rPr>
        <w:t>manufacturers</w:t>
      </w:r>
      <w:r w:rsidRPr="00DD5FB1">
        <w:rPr>
          <w:spacing w:val="-7"/>
          <w:sz w:val="20"/>
          <w:szCs w:val="20"/>
        </w:rPr>
        <w:t xml:space="preserve"> and engineering firms with projects at</w:t>
      </w:r>
      <w:r w:rsidRPr="00DD5FB1">
        <w:rPr>
          <w:spacing w:val="-11"/>
          <w:sz w:val="20"/>
          <w:szCs w:val="20"/>
        </w:rPr>
        <w:t xml:space="preserve"> </w:t>
      </w:r>
      <w:r w:rsidRPr="00DD5FB1">
        <w:rPr>
          <w:sz w:val="20"/>
          <w:szCs w:val="20"/>
        </w:rPr>
        <w:t>their</w:t>
      </w:r>
      <w:r w:rsidRPr="00DD5FB1">
        <w:rPr>
          <w:spacing w:val="-11"/>
          <w:sz w:val="20"/>
          <w:szCs w:val="20"/>
        </w:rPr>
        <w:t xml:space="preserve"> </w:t>
      </w:r>
      <w:r w:rsidRPr="00DD5FB1">
        <w:rPr>
          <w:sz w:val="20"/>
          <w:szCs w:val="20"/>
        </w:rPr>
        <w:t>companies,</w:t>
      </w:r>
      <w:r w:rsidRPr="00DD5FB1">
        <w:rPr>
          <w:spacing w:val="-8"/>
          <w:sz w:val="20"/>
          <w:szCs w:val="20"/>
        </w:rPr>
        <w:t xml:space="preserve"> </w:t>
      </w:r>
      <w:r w:rsidRPr="00DD5FB1">
        <w:rPr>
          <w:sz w:val="20"/>
          <w:szCs w:val="20"/>
        </w:rPr>
        <w:t>primarily</w:t>
      </w:r>
      <w:r w:rsidRPr="00DD5FB1">
        <w:rPr>
          <w:spacing w:val="-11"/>
          <w:sz w:val="20"/>
          <w:szCs w:val="20"/>
        </w:rPr>
        <w:t xml:space="preserve"> </w:t>
      </w:r>
      <w:r w:rsidRPr="00DD5FB1">
        <w:rPr>
          <w:sz w:val="20"/>
          <w:szCs w:val="20"/>
        </w:rPr>
        <w:t>through</w:t>
      </w:r>
      <w:r w:rsidRPr="00DD5FB1">
        <w:rPr>
          <w:spacing w:val="-10"/>
          <w:sz w:val="20"/>
          <w:szCs w:val="20"/>
        </w:rPr>
        <w:t xml:space="preserve"> </w:t>
      </w:r>
      <w:r w:rsidRPr="00DD5FB1">
        <w:rPr>
          <w:sz w:val="20"/>
          <w:szCs w:val="20"/>
        </w:rPr>
        <w:t>one-on-one</w:t>
      </w:r>
      <w:r w:rsidRPr="00DD5FB1">
        <w:rPr>
          <w:spacing w:val="-10"/>
          <w:sz w:val="20"/>
          <w:szCs w:val="20"/>
        </w:rPr>
        <w:t xml:space="preserve"> </w:t>
      </w:r>
      <w:r w:rsidRPr="00DD5FB1">
        <w:rPr>
          <w:sz w:val="20"/>
          <w:szCs w:val="20"/>
        </w:rPr>
        <w:t>training</w:t>
      </w:r>
      <w:r w:rsidRPr="00DD5FB1">
        <w:rPr>
          <w:spacing w:val="-13"/>
          <w:sz w:val="20"/>
          <w:szCs w:val="20"/>
        </w:rPr>
        <w:t xml:space="preserve"> </w:t>
      </w:r>
      <w:r w:rsidRPr="00DD5FB1">
        <w:rPr>
          <w:sz w:val="20"/>
          <w:szCs w:val="20"/>
        </w:rPr>
        <w:t>and</w:t>
      </w:r>
      <w:r w:rsidRPr="00DD5FB1">
        <w:rPr>
          <w:spacing w:val="-13"/>
          <w:sz w:val="20"/>
          <w:szCs w:val="20"/>
        </w:rPr>
        <w:t xml:space="preserve"> </w:t>
      </w:r>
      <w:r w:rsidRPr="00DD5FB1">
        <w:rPr>
          <w:sz w:val="20"/>
          <w:szCs w:val="20"/>
        </w:rPr>
        <w:t>technical assistance</w:t>
      </w:r>
      <w:r w:rsidRPr="00DD5FB1">
        <w:rPr>
          <w:spacing w:val="-7"/>
          <w:sz w:val="20"/>
          <w:szCs w:val="20"/>
        </w:rPr>
        <w:t xml:space="preserve"> </w:t>
      </w:r>
      <w:r w:rsidRPr="00DD5FB1">
        <w:rPr>
          <w:sz w:val="20"/>
          <w:szCs w:val="20"/>
        </w:rPr>
        <w:t>services.</w:t>
      </w:r>
      <w:r w:rsidRPr="00DD5FB1">
        <w:rPr>
          <w:spacing w:val="-7"/>
          <w:sz w:val="20"/>
          <w:szCs w:val="20"/>
        </w:rPr>
        <w:t xml:space="preserve"> </w:t>
      </w:r>
      <w:r w:rsidRPr="00DD5FB1">
        <w:rPr>
          <w:sz w:val="20"/>
          <w:szCs w:val="20"/>
        </w:rPr>
        <w:t>This</w:t>
      </w:r>
      <w:r w:rsidRPr="00DD5FB1">
        <w:rPr>
          <w:spacing w:val="-6"/>
          <w:sz w:val="20"/>
          <w:szCs w:val="20"/>
        </w:rPr>
        <w:t xml:space="preserve"> </w:t>
      </w:r>
      <w:r w:rsidRPr="00DD5FB1">
        <w:rPr>
          <w:sz w:val="20"/>
          <w:szCs w:val="20"/>
        </w:rPr>
        <w:t>customer</w:t>
      </w:r>
      <w:r w:rsidRPr="00DD5FB1">
        <w:rPr>
          <w:spacing w:val="-5"/>
          <w:sz w:val="20"/>
          <w:szCs w:val="20"/>
        </w:rPr>
        <w:t xml:space="preserve"> </w:t>
      </w:r>
      <w:r w:rsidRPr="00DD5FB1">
        <w:rPr>
          <w:sz w:val="20"/>
          <w:szCs w:val="20"/>
        </w:rPr>
        <w:t>interaction</w:t>
      </w:r>
      <w:r w:rsidRPr="00DD5FB1">
        <w:rPr>
          <w:spacing w:val="-8"/>
          <w:sz w:val="20"/>
          <w:szCs w:val="20"/>
        </w:rPr>
        <w:t xml:space="preserve"> </w:t>
      </w:r>
      <w:r w:rsidRPr="00DD5FB1">
        <w:rPr>
          <w:sz w:val="20"/>
          <w:szCs w:val="20"/>
        </w:rPr>
        <w:t>ranges</w:t>
      </w:r>
      <w:r w:rsidRPr="00DD5FB1">
        <w:rPr>
          <w:spacing w:val="-7"/>
          <w:sz w:val="20"/>
          <w:szCs w:val="20"/>
        </w:rPr>
        <w:t xml:space="preserve"> </w:t>
      </w:r>
      <w:r w:rsidRPr="00DD5FB1">
        <w:rPr>
          <w:sz w:val="20"/>
          <w:szCs w:val="20"/>
        </w:rPr>
        <w:t>from</w:t>
      </w:r>
      <w:r w:rsidRPr="00DD5FB1">
        <w:rPr>
          <w:spacing w:val="-8"/>
          <w:sz w:val="20"/>
          <w:szCs w:val="20"/>
        </w:rPr>
        <w:t xml:space="preserve"> </w:t>
      </w:r>
      <w:r w:rsidRPr="00DD5FB1">
        <w:rPr>
          <w:sz w:val="20"/>
          <w:szCs w:val="20"/>
        </w:rPr>
        <w:t>major</w:t>
      </w:r>
      <w:r w:rsidRPr="00DD5FB1">
        <w:rPr>
          <w:spacing w:val="-7"/>
          <w:sz w:val="20"/>
          <w:szCs w:val="20"/>
        </w:rPr>
        <w:t xml:space="preserve"> </w:t>
      </w:r>
      <w:r w:rsidRPr="00DD5FB1">
        <w:rPr>
          <w:sz w:val="20"/>
          <w:szCs w:val="20"/>
        </w:rPr>
        <w:t>collaborative</w:t>
      </w:r>
      <w:r w:rsidRPr="00DD5FB1">
        <w:rPr>
          <w:spacing w:val="-5"/>
          <w:sz w:val="20"/>
          <w:szCs w:val="20"/>
        </w:rPr>
        <w:t xml:space="preserve"> </w:t>
      </w:r>
      <w:r w:rsidRPr="00DD5FB1">
        <w:rPr>
          <w:sz w:val="20"/>
          <w:szCs w:val="20"/>
        </w:rPr>
        <w:t>projects,</w:t>
      </w:r>
      <w:r w:rsidRPr="00DD5FB1">
        <w:rPr>
          <w:spacing w:val="-7"/>
          <w:sz w:val="20"/>
          <w:szCs w:val="20"/>
        </w:rPr>
        <w:t xml:space="preserve"> </w:t>
      </w:r>
      <w:r w:rsidRPr="00DD5FB1">
        <w:rPr>
          <w:sz w:val="20"/>
          <w:szCs w:val="20"/>
        </w:rPr>
        <w:t>which</w:t>
      </w:r>
      <w:r w:rsidRPr="00DD5FB1">
        <w:rPr>
          <w:spacing w:val="-8"/>
          <w:sz w:val="20"/>
          <w:szCs w:val="20"/>
        </w:rPr>
        <w:t xml:space="preserve"> </w:t>
      </w:r>
      <w:r w:rsidRPr="00DD5FB1">
        <w:rPr>
          <w:sz w:val="20"/>
          <w:szCs w:val="20"/>
        </w:rPr>
        <w:t>usually</w:t>
      </w:r>
      <w:r w:rsidRPr="00DD5FB1">
        <w:rPr>
          <w:spacing w:val="-6"/>
          <w:sz w:val="20"/>
          <w:szCs w:val="20"/>
        </w:rPr>
        <w:t xml:space="preserve"> </w:t>
      </w:r>
      <w:r w:rsidRPr="00DD5FB1">
        <w:rPr>
          <w:sz w:val="20"/>
          <w:szCs w:val="20"/>
        </w:rPr>
        <w:t xml:space="preserve">address fundamental challenges facing the companies, to smaller, value-added projects, which bring a specific improvement to some </w:t>
      </w:r>
      <w:proofErr w:type="gramStart"/>
      <w:r w:rsidRPr="00DD5FB1">
        <w:rPr>
          <w:sz w:val="20"/>
          <w:szCs w:val="20"/>
        </w:rPr>
        <w:t>aspect</w:t>
      </w:r>
      <w:proofErr w:type="gramEnd"/>
      <w:r w:rsidRPr="00DD5FB1">
        <w:rPr>
          <w:sz w:val="20"/>
          <w:szCs w:val="20"/>
        </w:rPr>
        <w:t xml:space="preserve"> of company operations. </w:t>
      </w:r>
      <w:proofErr w:type="spellStart"/>
      <w:r w:rsidRPr="00DD5FB1">
        <w:rPr>
          <w:sz w:val="20"/>
          <w:szCs w:val="20"/>
        </w:rPr>
        <w:t>TechHelp</w:t>
      </w:r>
      <w:proofErr w:type="spellEnd"/>
      <w:r w:rsidRPr="00DD5FB1">
        <w:rPr>
          <w:sz w:val="20"/>
          <w:szCs w:val="20"/>
        </w:rPr>
        <w:t xml:space="preserve"> and its partners also host public workshops and seminars statewide focusing on topics that positively impact manufacturing in Idaho.</w:t>
      </w:r>
    </w:p>
    <w:p w14:paraId="3C10B1CC" w14:textId="77777777" w:rsidR="005332E9" w:rsidRPr="00DD5FB1" w:rsidRDefault="005332E9" w:rsidP="00DD5FB1">
      <w:pPr>
        <w:rPr>
          <w:sz w:val="20"/>
          <w:szCs w:val="20"/>
        </w:rPr>
      </w:pPr>
    </w:p>
    <w:p w14:paraId="6781AED5" w14:textId="77777777" w:rsidR="005332E9" w:rsidRPr="00DD5FB1" w:rsidRDefault="005332E9" w:rsidP="00DD5FB1">
      <w:pPr>
        <w:rPr>
          <w:sz w:val="20"/>
          <w:szCs w:val="20"/>
        </w:rPr>
      </w:pPr>
      <w:proofErr w:type="spellStart"/>
      <w:r w:rsidRPr="00DD5FB1">
        <w:rPr>
          <w:sz w:val="20"/>
          <w:szCs w:val="20"/>
        </w:rPr>
        <w:t>TechHelp’s</w:t>
      </w:r>
      <w:proofErr w:type="spellEnd"/>
      <w:r w:rsidRPr="00DD5FB1">
        <w:rPr>
          <w:spacing w:val="-9"/>
          <w:sz w:val="20"/>
          <w:szCs w:val="20"/>
        </w:rPr>
        <w:t xml:space="preserve"> </w:t>
      </w:r>
      <w:r w:rsidRPr="00DD5FB1">
        <w:rPr>
          <w:sz w:val="20"/>
          <w:szCs w:val="20"/>
        </w:rPr>
        <w:t>team</w:t>
      </w:r>
      <w:r w:rsidRPr="00DD5FB1">
        <w:rPr>
          <w:spacing w:val="-8"/>
          <w:sz w:val="20"/>
          <w:szCs w:val="20"/>
        </w:rPr>
        <w:t xml:space="preserve"> </w:t>
      </w:r>
      <w:r w:rsidRPr="00DD5FB1">
        <w:rPr>
          <w:sz w:val="20"/>
          <w:szCs w:val="20"/>
        </w:rPr>
        <w:t>of</w:t>
      </w:r>
      <w:r w:rsidRPr="00DD5FB1">
        <w:rPr>
          <w:spacing w:val="-10"/>
          <w:sz w:val="20"/>
          <w:szCs w:val="20"/>
        </w:rPr>
        <w:t xml:space="preserve"> </w:t>
      </w:r>
      <w:r w:rsidRPr="00DD5FB1">
        <w:rPr>
          <w:sz w:val="20"/>
          <w:szCs w:val="20"/>
        </w:rPr>
        <w:t>experts</w:t>
      </w:r>
      <w:r w:rsidRPr="00DD5FB1">
        <w:rPr>
          <w:spacing w:val="-8"/>
          <w:sz w:val="20"/>
          <w:szCs w:val="20"/>
        </w:rPr>
        <w:t xml:space="preserve"> </w:t>
      </w:r>
      <w:r w:rsidRPr="00DD5FB1">
        <w:rPr>
          <w:sz w:val="20"/>
          <w:szCs w:val="20"/>
        </w:rPr>
        <w:t>provides</w:t>
      </w:r>
      <w:r w:rsidRPr="00DD5FB1">
        <w:rPr>
          <w:spacing w:val="-7"/>
          <w:sz w:val="20"/>
          <w:szCs w:val="20"/>
        </w:rPr>
        <w:t xml:space="preserve"> </w:t>
      </w:r>
      <w:r w:rsidRPr="00DD5FB1">
        <w:rPr>
          <w:sz w:val="20"/>
          <w:szCs w:val="20"/>
        </w:rPr>
        <w:t>personalized</w:t>
      </w:r>
      <w:r w:rsidRPr="00DD5FB1">
        <w:rPr>
          <w:spacing w:val="-10"/>
          <w:sz w:val="20"/>
          <w:szCs w:val="20"/>
        </w:rPr>
        <w:t xml:space="preserve"> </w:t>
      </w:r>
      <w:r w:rsidRPr="00DD5FB1">
        <w:rPr>
          <w:sz w:val="20"/>
          <w:szCs w:val="20"/>
        </w:rPr>
        <w:t>solutions</w:t>
      </w:r>
      <w:r w:rsidRPr="00DD5FB1">
        <w:rPr>
          <w:spacing w:val="-7"/>
          <w:sz w:val="20"/>
          <w:szCs w:val="20"/>
        </w:rPr>
        <w:t xml:space="preserve"> </w:t>
      </w:r>
      <w:r w:rsidRPr="00DD5FB1">
        <w:rPr>
          <w:sz w:val="20"/>
          <w:szCs w:val="20"/>
        </w:rPr>
        <w:t>in</w:t>
      </w:r>
      <w:r w:rsidRPr="00DD5FB1">
        <w:rPr>
          <w:spacing w:val="-10"/>
          <w:sz w:val="20"/>
          <w:szCs w:val="20"/>
        </w:rPr>
        <w:t xml:space="preserve"> </w:t>
      </w:r>
      <w:r w:rsidRPr="00DD5FB1">
        <w:rPr>
          <w:sz w:val="20"/>
          <w:szCs w:val="20"/>
        </w:rPr>
        <w:t>the</w:t>
      </w:r>
      <w:r w:rsidRPr="00DD5FB1">
        <w:rPr>
          <w:spacing w:val="-10"/>
          <w:sz w:val="20"/>
          <w:szCs w:val="20"/>
        </w:rPr>
        <w:t xml:space="preserve"> </w:t>
      </w:r>
      <w:r w:rsidRPr="00DD5FB1">
        <w:rPr>
          <w:sz w:val="20"/>
          <w:szCs w:val="20"/>
        </w:rPr>
        <w:t>following</w:t>
      </w:r>
      <w:r w:rsidRPr="00DD5FB1">
        <w:rPr>
          <w:spacing w:val="-9"/>
          <w:sz w:val="20"/>
          <w:szCs w:val="20"/>
        </w:rPr>
        <w:t xml:space="preserve"> </w:t>
      </w:r>
      <w:r w:rsidRPr="00DD5FB1">
        <w:rPr>
          <w:sz w:val="20"/>
          <w:szCs w:val="20"/>
        </w:rPr>
        <w:t>areas</w:t>
      </w:r>
      <w:r w:rsidRPr="00DD5FB1">
        <w:rPr>
          <w:spacing w:val="-7"/>
          <w:sz w:val="20"/>
          <w:szCs w:val="20"/>
        </w:rPr>
        <w:t xml:space="preserve"> </w:t>
      </w:r>
      <w:r w:rsidRPr="00DD5FB1">
        <w:rPr>
          <w:sz w:val="20"/>
          <w:szCs w:val="20"/>
        </w:rPr>
        <w:t>of</w:t>
      </w:r>
      <w:r w:rsidRPr="00DD5FB1">
        <w:rPr>
          <w:spacing w:val="-11"/>
          <w:sz w:val="20"/>
          <w:szCs w:val="20"/>
        </w:rPr>
        <w:t xml:space="preserve"> </w:t>
      </w:r>
      <w:r w:rsidRPr="00DD5FB1">
        <w:rPr>
          <w:spacing w:val="-2"/>
          <w:sz w:val="20"/>
          <w:szCs w:val="20"/>
        </w:rPr>
        <w:t>manufacturing.</w:t>
      </w:r>
    </w:p>
    <w:p w14:paraId="751D0568" w14:textId="77777777" w:rsidR="005332E9" w:rsidRPr="00DD5FB1" w:rsidRDefault="005332E9" w:rsidP="00DD5FB1">
      <w:pPr>
        <w:rPr>
          <w:sz w:val="20"/>
          <w:szCs w:val="20"/>
        </w:rPr>
      </w:pPr>
    </w:p>
    <w:p w14:paraId="7565536D" w14:textId="77777777" w:rsidR="005332E9" w:rsidRPr="00DD5FB1" w:rsidRDefault="005332E9" w:rsidP="00DD5FB1">
      <w:pPr>
        <w:rPr>
          <w:sz w:val="20"/>
          <w:szCs w:val="20"/>
        </w:rPr>
        <w:sectPr w:rsidR="005332E9" w:rsidRPr="00DD5FB1" w:rsidSect="005332E9">
          <w:type w:val="continuous"/>
          <w:pgSz w:w="12240" w:h="15840"/>
          <w:pgMar w:top="1360" w:right="680" w:bottom="940" w:left="980" w:header="1080" w:footer="742" w:gutter="0"/>
          <w:cols w:space="720"/>
        </w:sectPr>
      </w:pPr>
    </w:p>
    <w:p w14:paraId="4B3E651F" w14:textId="4A27F23D" w:rsidR="005332E9" w:rsidRPr="00DD5FB1" w:rsidRDefault="00DD5FB1" w:rsidP="00DD5FB1">
      <w:pPr>
        <w:rPr>
          <w:sz w:val="20"/>
          <w:szCs w:val="20"/>
        </w:rPr>
      </w:pPr>
      <w:r>
        <w:rPr>
          <w:sz w:val="20"/>
          <w:szCs w:val="20"/>
        </w:rPr>
        <w:t>S</w:t>
      </w:r>
      <w:r w:rsidR="005332E9" w:rsidRPr="00DD5FB1">
        <w:rPr>
          <w:sz w:val="20"/>
          <w:szCs w:val="20"/>
        </w:rPr>
        <w:t>tudio\Blu,</w:t>
      </w:r>
      <w:r w:rsidR="005332E9" w:rsidRPr="00DD5FB1">
        <w:rPr>
          <w:spacing w:val="-8"/>
          <w:sz w:val="20"/>
          <w:szCs w:val="20"/>
        </w:rPr>
        <w:t xml:space="preserve"> </w:t>
      </w:r>
      <w:r w:rsidR="005332E9" w:rsidRPr="00DD5FB1">
        <w:rPr>
          <w:sz w:val="20"/>
          <w:szCs w:val="20"/>
        </w:rPr>
        <w:t xml:space="preserve">student arm of </w:t>
      </w:r>
      <w:proofErr w:type="spellStart"/>
      <w:r w:rsidR="005332E9" w:rsidRPr="00DD5FB1">
        <w:rPr>
          <w:sz w:val="20"/>
          <w:szCs w:val="20"/>
        </w:rPr>
        <w:t>TechHelp</w:t>
      </w:r>
      <w:proofErr w:type="spellEnd"/>
    </w:p>
    <w:p w14:paraId="33BA3F16" w14:textId="77777777" w:rsidR="005332E9" w:rsidRPr="00DD5FB1" w:rsidRDefault="005332E9" w:rsidP="00DD5FB1">
      <w:pPr>
        <w:pStyle w:val="ListParagraph"/>
        <w:numPr>
          <w:ilvl w:val="0"/>
          <w:numId w:val="40"/>
        </w:numPr>
        <w:rPr>
          <w:sz w:val="20"/>
          <w:szCs w:val="20"/>
        </w:rPr>
      </w:pPr>
      <w:r w:rsidRPr="00DD5FB1">
        <w:rPr>
          <w:sz w:val="20"/>
          <w:szCs w:val="20"/>
        </w:rPr>
        <w:t>New</w:t>
      </w:r>
      <w:r w:rsidRPr="00DD5FB1">
        <w:rPr>
          <w:spacing w:val="-8"/>
          <w:sz w:val="20"/>
          <w:szCs w:val="20"/>
        </w:rPr>
        <w:t xml:space="preserve"> </w:t>
      </w:r>
      <w:r w:rsidRPr="00DD5FB1">
        <w:rPr>
          <w:sz w:val="20"/>
          <w:szCs w:val="20"/>
        </w:rPr>
        <w:t>Product</w:t>
      </w:r>
      <w:r w:rsidRPr="00DD5FB1">
        <w:rPr>
          <w:spacing w:val="-7"/>
          <w:sz w:val="20"/>
          <w:szCs w:val="20"/>
        </w:rPr>
        <w:t xml:space="preserve"> </w:t>
      </w:r>
      <w:r w:rsidRPr="00DD5FB1">
        <w:rPr>
          <w:spacing w:val="-2"/>
          <w:sz w:val="20"/>
          <w:szCs w:val="20"/>
        </w:rPr>
        <w:t>Development</w:t>
      </w:r>
    </w:p>
    <w:p w14:paraId="0B130D41" w14:textId="77777777" w:rsidR="005332E9" w:rsidRPr="00DD5FB1" w:rsidRDefault="005332E9" w:rsidP="00DD5FB1">
      <w:pPr>
        <w:pStyle w:val="ListParagraph"/>
        <w:numPr>
          <w:ilvl w:val="0"/>
          <w:numId w:val="40"/>
        </w:numPr>
        <w:rPr>
          <w:sz w:val="20"/>
          <w:szCs w:val="20"/>
        </w:rPr>
      </w:pPr>
      <w:r w:rsidRPr="00DD5FB1">
        <w:rPr>
          <w:sz w:val="20"/>
          <w:szCs w:val="20"/>
        </w:rPr>
        <w:t>Design: Product</w:t>
      </w:r>
      <w:r w:rsidRPr="00DD5FB1">
        <w:rPr>
          <w:spacing w:val="-8"/>
          <w:sz w:val="20"/>
          <w:szCs w:val="20"/>
        </w:rPr>
        <w:t xml:space="preserve"> </w:t>
      </w:r>
      <w:r w:rsidRPr="00DD5FB1">
        <w:rPr>
          <w:sz w:val="20"/>
          <w:szCs w:val="20"/>
        </w:rPr>
        <w:t>Design,</w:t>
      </w:r>
      <w:r w:rsidRPr="00DD5FB1">
        <w:rPr>
          <w:spacing w:val="-8"/>
          <w:sz w:val="20"/>
          <w:szCs w:val="20"/>
        </w:rPr>
        <w:t xml:space="preserve"> </w:t>
      </w:r>
      <w:r w:rsidRPr="00DD5FB1">
        <w:rPr>
          <w:sz w:val="20"/>
          <w:szCs w:val="20"/>
        </w:rPr>
        <w:t>Prototyping</w:t>
      </w:r>
      <w:r w:rsidRPr="00DD5FB1">
        <w:rPr>
          <w:spacing w:val="-10"/>
          <w:sz w:val="20"/>
          <w:szCs w:val="20"/>
        </w:rPr>
        <w:t xml:space="preserve"> </w:t>
      </w:r>
      <w:r w:rsidRPr="00DD5FB1">
        <w:rPr>
          <w:sz w:val="20"/>
          <w:szCs w:val="20"/>
        </w:rPr>
        <w:t>&amp;</w:t>
      </w:r>
      <w:r w:rsidRPr="00DD5FB1">
        <w:rPr>
          <w:spacing w:val="-8"/>
          <w:sz w:val="20"/>
          <w:szCs w:val="20"/>
        </w:rPr>
        <w:t xml:space="preserve"> </w:t>
      </w:r>
      <w:r w:rsidRPr="00DD5FB1">
        <w:rPr>
          <w:spacing w:val="-2"/>
          <w:sz w:val="20"/>
          <w:szCs w:val="20"/>
        </w:rPr>
        <w:t>Testing</w:t>
      </w:r>
    </w:p>
    <w:p w14:paraId="74F03D6B" w14:textId="77777777" w:rsidR="005332E9" w:rsidRPr="00DD5FB1" w:rsidRDefault="005332E9" w:rsidP="00DD5FB1">
      <w:pPr>
        <w:pStyle w:val="ListParagraph"/>
        <w:numPr>
          <w:ilvl w:val="0"/>
          <w:numId w:val="40"/>
        </w:numPr>
        <w:rPr>
          <w:sz w:val="20"/>
          <w:szCs w:val="20"/>
        </w:rPr>
      </w:pPr>
      <w:r w:rsidRPr="00DD5FB1">
        <w:rPr>
          <w:sz w:val="20"/>
          <w:szCs w:val="20"/>
        </w:rPr>
        <w:t>Create:  Process Design and Scale, Design for Manufacturability</w:t>
      </w:r>
    </w:p>
    <w:p w14:paraId="3F7124A9" w14:textId="77777777" w:rsidR="005332E9" w:rsidRPr="00DD5FB1" w:rsidRDefault="005332E9" w:rsidP="00DD5FB1">
      <w:pPr>
        <w:pStyle w:val="ListParagraph"/>
        <w:numPr>
          <w:ilvl w:val="0"/>
          <w:numId w:val="40"/>
        </w:numPr>
        <w:rPr>
          <w:sz w:val="20"/>
          <w:szCs w:val="20"/>
        </w:rPr>
      </w:pPr>
      <w:r w:rsidRPr="00DD5FB1">
        <w:rPr>
          <w:sz w:val="20"/>
          <w:szCs w:val="20"/>
        </w:rPr>
        <w:t>Launch:  Market Research, Product Commercialization, New Market Development, Export Excellence</w:t>
      </w:r>
    </w:p>
    <w:p w14:paraId="72984BB9" w14:textId="77777777" w:rsidR="005332E9" w:rsidRPr="00DD5FB1" w:rsidRDefault="005332E9" w:rsidP="00DD5FB1">
      <w:pPr>
        <w:rPr>
          <w:sz w:val="20"/>
          <w:szCs w:val="20"/>
        </w:rPr>
      </w:pPr>
    </w:p>
    <w:p w14:paraId="579DDA5D" w14:textId="77777777" w:rsidR="005332E9" w:rsidRPr="00DD5FB1" w:rsidRDefault="005332E9" w:rsidP="00DD5FB1">
      <w:pPr>
        <w:rPr>
          <w:sz w:val="20"/>
          <w:szCs w:val="20"/>
        </w:rPr>
      </w:pPr>
      <w:r w:rsidRPr="00DD5FB1">
        <w:rPr>
          <w:spacing w:val="-2"/>
          <w:sz w:val="20"/>
          <w:szCs w:val="20"/>
        </w:rPr>
        <w:t>Operational</w:t>
      </w:r>
      <w:r w:rsidRPr="00DD5FB1">
        <w:rPr>
          <w:spacing w:val="4"/>
          <w:sz w:val="20"/>
          <w:szCs w:val="20"/>
        </w:rPr>
        <w:t xml:space="preserve"> </w:t>
      </w:r>
      <w:r w:rsidRPr="00DD5FB1">
        <w:rPr>
          <w:spacing w:val="-2"/>
          <w:sz w:val="20"/>
          <w:szCs w:val="20"/>
        </w:rPr>
        <w:t>Excellence</w:t>
      </w:r>
    </w:p>
    <w:p w14:paraId="5DCEF9D3" w14:textId="77777777" w:rsidR="005332E9" w:rsidRPr="00DD5FB1" w:rsidRDefault="005332E9" w:rsidP="00DD5FB1">
      <w:pPr>
        <w:pStyle w:val="ListParagraph"/>
        <w:numPr>
          <w:ilvl w:val="0"/>
          <w:numId w:val="42"/>
        </w:numPr>
        <w:rPr>
          <w:sz w:val="20"/>
          <w:szCs w:val="20"/>
        </w:rPr>
      </w:pPr>
      <w:r w:rsidRPr="00DD5FB1">
        <w:rPr>
          <w:sz w:val="20"/>
          <w:szCs w:val="20"/>
        </w:rPr>
        <w:t>Lean</w:t>
      </w:r>
      <w:r w:rsidRPr="00DD5FB1">
        <w:rPr>
          <w:spacing w:val="-6"/>
          <w:sz w:val="20"/>
          <w:szCs w:val="20"/>
        </w:rPr>
        <w:t xml:space="preserve"> </w:t>
      </w:r>
      <w:r w:rsidRPr="00DD5FB1">
        <w:rPr>
          <w:sz w:val="20"/>
          <w:szCs w:val="20"/>
        </w:rPr>
        <w:t>Manufacturing</w:t>
      </w:r>
      <w:r w:rsidRPr="00DD5FB1">
        <w:rPr>
          <w:spacing w:val="-6"/>
          <w:sz w:val="20"/>
          <w:szCs w:val="20"/>
        </w:rPr>
        <w:t xml:space="preserve"> </w:t>
      </w:r>
      <w:r w:rsidRPr="00DD5FB1">
        <w:rPr>
          <w:sz w:val="20"/>
          <w:szCs w:val="20"/>
        </w:rPr>
        <w:t>and</w:t>
      </w:r>
      <w:r w:rsidRPr="00DD5FB1">
        <w:rPr>
          <w:spacing w:val="-6"/>
          <w:sz w:val="20"/>
          <w:szCs w:val="20"/>
        </w:rPr>
        <w:t xml:space="preserve"> </w:t>
      </w:r>
      <w:r w:rsidRPr="00DD5FB1">
        <w:rPr>
          <w:sz w:val="20"/>
          <w:szCs w:val="20"/>
        </w:rPr>
        <w:t>Six</w:t>
      </w:r>
      <w:r w:rsidRPr="00DD5FB1">
        <w:rPr>
          <w:spacing w:val="-7"/>
          <w:sz w:val="20"/>
          <w:szCs w:val="20"/>
        </w:rPr>
        <w:t xml:space="preserve"> </w:t>
      </w:r>
      <w:r w:rsidRPr="00DD5FB1">
        <w:rPr>
          <w:spacing w:val="-4"/>
          <w:sz w:val="20"/>
          <w:szCs w:val="20"/>
        </w:rPr>
        <w:t>Sigma</w:t>
      </w:r>
    </w:p>
    <w:p w14:paraId="6852FDE6" w14:textId="77777777" w:rsidR="005332E9" w:rsidRPr="00DD5FB1" w:rsidRDefault="005332E9" w:rsidP="00DD5FB1">
      <w:pPr>
        <w:pStyle w:val="ListParagraph"/>
        <w:numPr>
          <w:ilvl w:val="0"/>
          <w:numId w:val="42"/>
        </w:numPr>
        <w:rPr>
          <w:sz w:val="20"/>
          <w:szCs w:val="20"/>
        </w:rPr>
      </w:pPr>
      <w:r w:rsidRPr="00DD5FB1">
        <w:rPr>
          <w:sz w:val="20"/>
          <w:szCs w:val="20"/>
        </w:rPr>
        <w:t>Lean</w:t>
      </w:r>
      <w:r w:rsidRPr="00DD5FB1">
        <w:rPr>
          <w:spacing w:val="-5"/>
          <w:sz w:val="20"/>
          <w:szCs w:val="20"/>
        </w:rPr>
        <w:t xml:space="preserve"> </w:t>
      </w:r>
      <w:r w:rsidRPr="00DD5FB1">
        <w:rPr>
          <w:sz w:val="20"/>
          <w:szCs w:val="20"/>
        </w:rPr>
        <w:t>Six</w:t>
      </w:r>
      <w:r w:rsidRPr="00DD5FB1">
        <w:rPr>
          <w:spacing w:val="-5"/>
          <w:sz w:val="20"/>
          <w:szCs w:val="20"/>
        </w:rPr>
        <w:t xml:space="preserve"> </w:t>
      </w:r>
      <w:r w:rsidRPr="00DD5FB1">
        <w:rPr>
          <w:sz w:val="20"/>
          <w:szCs w:val="20"/>
        </w:rPr>
        <w:t>Sigma</w:t>
      </w:r>
      <w:r w:rsidRPr="00DD5FB1">
        <w:rPr>
          <w:spacing w:val="-7"/>
          <w:sz w:val="20"/>
          <w:szCs w:val="20"/>
        </w:rPr>
        <w:t xml:space="preserve"> </w:t>
      </w:r>
      <w:r w:rsidRPr="00DD5FB1">
        <w:rPr>
          <w:sz w:val="20"/>
          <w:szCs w:val="20"/>
        </w:rPr>
        <w:t>Green</w:t>
      </w:r>
      <w:r w:rsidRPr="00DD5FB1">
        <w:rPr>
          <w:spacing w:val="-6"/>
          <w:sz w:val="20"/>
          <w:szCs w:val="20"/>
        </w:rPr>
        <w:t xml:space="preserve"> </w:t>
      </w:r>
      <w:r w:rsidRPr="00DD5FB1">
        <w:rPr>
          <w:spacing w:val="-4"/>
          <w:sz w:val="20"/>
          <w:szCs w:val="20"/>
        </w:rPr>
        <w:t>Belt</w:t>
      </w:r>
    </w:p>
    <w:p w14:paraId="52E3501F" w14:textId="77777777" w:rsidR="005332E9" w:rsidRPr="00DD5FB1" w:rsidRDefault="005332E9" w:rsidP="00DD5FB1">
      <w:pPr>
        <w:pStyle w:val="ListParagraph"/>
        <w:numPr>
          <w:ilvl w:val="0"/>
          <w:numId w:val="42"/>
        </w:numPr>
        <w:rPr>
          <w:sz w:val="20"/>
          <w:szCs w:val="20"/>
        </w:rPr>
      </w:pPr>
      <w:r w:rsidRPr="00DD5FB1">
        <w:rPr>
          <w:sz w:val="20"/>
          <w:szCs w:val="20"/>
        </w:rPr>
        <w:t>Lean</w:t>
      </w:r>
      <w:r w:rsidRPr="00DD5FB1">
        <w:rPr>
          <w:spacing w:val="-5"/>
          <w:sz w:val="20"/>
          <w:szCs w:val="20"/>
        </w:rPr>
        <w:t xml:space="preserve"> </w:t>
      </w:r>
      <w:r w:rsidRPr="00DD5FB1">
        <w:rPr>
          <w:sz w:val="20"/>
          <w:szCs w:val="20"/>
        </w:rPr>
        <w:t>Manufacturing</w:t>
      </w:r>
      <w:r w:rsidRPr="00DD5FB1">
        <w:rPr>
          <w:spacing w:val="-7"/>
          <w:sz w:val="20"/>
          <w:szCs w:val="20"/>
        </w:rPr>
        <w:t xml:space="preserve"> </w:t>
      </w:r>
      <w:r w:rsidRPr="00DD5FB1">
        <w:rPr>
          <w:sz w:val="20"/>
          <w:szCs w:val="20"/>
        </w:rPr>
        <w:t>for</w:t>
      </w:r>
      <w:r w:rsidRPr="00DD5FB1">
        <w:rPr>
          <w:spacing w:val="-6"/>
          <w:sz w:val="20"/>
          <w:szCs w:val="20"/>
        </w:rPr>
        <w:t xml:space="preserve"> </w:t>
      </w:r>
      <w:r w:rsidRPr="00DD5FB1">
        <w:rPr>
          <w:sz w:val="20"/>
          <w:szCs w:val="20"/>
        </w:rPr>
        <w:t>the</w:t>
      </w:r>
      <w:r w:rsidRPr="00DD5FB1">
        <w:rPr>
          <w:spacing w:val="-8"/>
          <w:sz w:val="20"/>
          <w:szCs w:val="20"/>
        </w:rPr>
        <w:t xml:space="preserve"> </w:t>
      </w:r>
      <w:r w:rsidRPr="00DD5FB1">
        <w:rPr>
          <w:sz w:val="20"/>
          <w:szCs w:val="20"/>
        </w:rPr>
        <w:t>Food</w:t>
      </w:r>
      <w:r w:rsidRPr="00DD5FB1">
        <w:rPr>
          <w:spacing w:val="-6"/>
          <w:sz w:val="20"/>
          <w:szCs w:val="20"/>
        </w:rPr>
        <w:t xml:space="preserve"> </w:t>
      </w:r>
      <w:r w:rsidRPr="00DD5FB1">
        <w:rPr>
          <w:spacing w:val="-2"/>
          <w:sz w:val="20"/>
          <w:szCs w:val="20"/>
        </w:rPr>
        <w:t>Industry</w:t>
      </w:r>
    </w:p>
    <w:p w14:paraId="7585A0DB" w14:textId="77777777" w:rsidR="005332E9" w:rsidRPr="00DD5FB1" w:rsidRDefault="005332E9" w:rsidP="00DD5FB1">
      <w:pPr>
        <w:pStyle w:val="ListParagraph"/>
        <w:numPr>
          <w:ilvl w:val="0"/>
          <w:numId w:val="42"/>
        </w:numPr>
        <w:rPr>
          <w:sz w:val="20"/>
          <w:szCs w:val="20"/>
        </w:rPr>
      </w:pPr>
      <w:r w:rsidRPr="00DD5FB1">
        <w:rPr>
          <w:sz w:val="20"/>
          <w:szCs w:val="20"/>
        </w:rPr>
        <w:t>Lean</w:t>
      </w:r>
      <w:r w:rsidRPr="00DD5FB1">
        <w:rPr>
          <w:spacing w:val="-5"/>
          <w:sz w:val="20"/>
          <w:szCs w:val="20"/>
        </w:rPr>
        <w:t xml:space="preserve"> </w:t>
      </w:r>
      <w:r w:rsidRPr="00DD5FB1">
        <w:rPr>
          <w:sz w:val="20"/>
          <w:szCs w:val="20"/>
        </w:rPr>
        <w:t>Office,</w:t>
      </w:r>
      <w:r w:rsidRPr="00DD5FB1">
        <w:rPr>
          <w:spacing w:val="-5"/>
          <w:sz w:val="20"/>
          <w:szCs w:val="20"/>
        </w:rPr>
        <w:t xml:space="preserve"> </w:t>
      </w:r>
      <w:r w:rsidRPr="00DD5FB1">
        <w:rPr>
          <w:sz w:val="20"/>
          <w:szCs w:val="20"/>
        </w:rPr>
        <w:t>Lean</w:t>
      </w:r>
      <w:r w:rsidRPr="00DD5FB1">
        <w:rPr>
          <w:spacing w:val="-6"/>
          <w:sz w:val="20"/>
          <w:szCs w:val="20"/>
        </w:rPr>
        <w:t xml:space="preserve"> </w:t>
      </w:r>
      <w:r w:rsidRPr="00DD5FB1">
        <w:rPr>
          <w:spacing w:val="-2"/>
          <w:sz w:val="20"/>
          <w:szCs w:val="20"/>
        </w:rPr>
        <w:t>Enterprise</w:t>
      </w:r>
    </w:p>
    <w:p w14:paraId="2278EB78" w14:textId="77777777" w:rsidR="005332E9" w:rsidRPr="00DD5FB1" w:rsidRDefault="005332E9" w:rsidP="00DD5FB1">
      <w:pPr>
        <w:pStyle w:val="ListParagraph"/>
        <w:numPr>
          <w:ilvl w:val="0"/>
          <w:numId w:val="42"/>
        </w:numPr>
        <w:rPr>
          <w:sz w:val="20"/>
          <w:szCs w:val="20"/>
        </w:rPr>
      </w:pPr>
      <w:r w:rsidRPr="00DD5FB1">
        <w:rPr>
          <w:sz w:val="20"/>
          <w:szCs w:val="20"/>
        </w:rPr>
        <w:t>Lean</w:t>
      </w:r>
      <w:r w:rsidRPr="00DD5FB1">
        <w:rPr>
          <w:spacing w:val="-6"/>
          <w:sz w:val="20"/>
          <w:szCs w:val="20"/>
        </w:rPr>
        <w:t xml:space="preserve"> </w:t>
      </w:r>
      <w:r w:rsidRPr="00DD5FB1">
        <w:rPr>
          <w:spacing w:val="-2"/>
          <w:sz w:val="20"/>
          <w:szCs w:val="20"/>
        </w:rPr>
        <w:t>Leadership</w:t>
      </w:r>
    </w:p>
    <w:p w14:paraId="13EE2274" w14:textId="77777777" w:rsidR="005332E9" w:rsidRPr="00DD5FB1" w:rsidRDefault="005332E9" w:rsidP="00DD5FB1">
      <w:pPr>
        <w:pStyle w:val="ListParagraph"/>
        <w:numPr>
          <w:ilvl w:val="0"/>
          <w:numId w:val="42"/>
        </w:numPr>
        <w:rPr>
          <w:sz w:val="20"/>
          <w:szCs w:val="20"/>
        </w:rPr>
      </w:pPr>
      <w:r w:rsidRPr="00DD5FB1">
        <w:rPr>
          <w:sz w:val="20"/>
          <w:szCs w:val="20"/>
        </w:rPr>
        <w:t>Quality Systems, ISO, Six Sigma</w:t>
      </w:r>
    </w:p>
    <w:p w14:paraId="31AC7709" w14:textId="77777777" w:rsidR="005332E9" w:rsidRPr="00DD5FB1" w:rsidRDefault="005332E9" w:rsidP="00DD5FB1">
      <w:pPr>
        <w:pStyle w:val="ListParagraph"/>
        <w:numPr>
          <w:ilvl w:val="0"/>
          <w:numId w:val="42"/>
        </w:numPr>
        <w:rPr>
          <w:sz w:val="20"/>
          <w:szCs w:val="20"/>
        </w:rPr>
      </w:pPr>
      <w:r w:rsidRPr="00DD5FB1">
        <w:rPr>
          <w:spacing w:val="-14"/>
          <w:sz w:val="20"/>
          <w:szCs w:val="20"/>
        </w:rPr>
        <w:t xml:space="preserve">Business &amp; Engineering </w:t>
      </w:r>
      <w:r w:rsidRPr="00DD5FB1">
        <w:rPr>
          <w:sz w:val="20"/>
          <w:szCs w:val="20"/>
        </w:rPr>
        <w:t>student</w:t>
      </w:r>
      <w:r w:rsidRPr="00DD5FB1">
        <w:rPr>
          <w:spacing w:val="-14"/>
          <w:sz w:val="20"/>
          <w:szCs w:val="20"/>
        </w:rPr>
        <w:t xml:space="preserve"> </w:t>
      </w:r>
      <w:r w:rsidRPr="00DD5FB1">
        <w:rPr>
          <w:sz w:val="20"/>
          <w:szCs w:val="20"/>
        </w:rPr>
        <w:t>work</w:t>
      </w:r>
      <w:r w:rsidRPr="00DD5FB1">
        <w:rPr>
          <w:spacing w:val="-14"/>
          <w:sz w:val="20"/>
          <w:szCs w:val="20"/>
        </w:rPr>
        <w:t xml:space="preserve"> </w:t>
      </w:r>
      <w:r w:rsidRPr="00DD5FB1">
        <w:rPr>
          <w:sz w:val="20"/>
          <w:szCs w:val="20"/>
        </w:rPr>
        <w:t>experience</w:t>
      </w:r>
    </w:p>
    <w:p w14:paraId="405F6544" w14:textId="77777777" w:rsidR="005332E9" w:rsidRPr="00DD5FB1" w:rsidRDefault="005332E9" w:rsidP="00DD5FB1">
      <w:pPr>
        <w:rPr>
          <w:sz w:val="20"/>
          <w:szCs w:val="20"/>
        </w:rPr>
      </w:pPr>
      <w:r>
        <w:br w:type="column"/>
      </w:r>
      <w:r w:rsidRPr="00DD5FB1">
        <w:rPr>
          <w:sz w:val="20"/>
          <w:szCs w:val="20"/>
        </w:rPr>
        <w:t>Food</w:t>
      </w:r>
      <w:r w:rsidRPr="00DD5FB1">
        <w:rPr>
          <w:spacing w:val="-4"/>
          <w:sz w:val="20"/>
          <w:szCs w:val="20"/>
        </w:rPr>
        <w:t xml:space="preserve"> </w:t>
      </w:r>
      <w:r w:rsidRPr="00DD5FB1">
        <w:rPr>
          <w:sz w:val="20"/>
          <w:szCs w:val="20"/>
        </w:rPr>
        <w:t>&amp;</w:t>
      </w:r>
      <w:r w:rsidRPr="00DD5FB1">
        <w:rPr>
          <w:spacing w:val="-4"/>
          <w:sz w:val="20"/>
          <w:szCs w:val="20"/>
        </w:rPr>
        <w:t xml:space="preserve"> </w:t>
      </w:r>
      <w:r w:rsidRPr="00DD5FB1">
        <w:rPr>
          <w:sz w:val="20"/>
          <w:szCs w:val="20"/>
        </w:rPr>
        <w:t>Dairy</w:t>
      </w:r>
      <w:r w:rsidRPr="00DD5FB1">
        <w:rPr>
          <w:spacing w:val="-4"/>
          <w:sz w:val="20"/>
          <w:szCs w:val="20"/>
        </w:rPr>
        <w:t xml:space="preserve"> </w:t>
      </w:r>
      <w:r w:rsidRPr="00DD5FB1">
        <w:rPr>
          <w:spacing w:val="-2"/>
          <w:sz w:val="20"/>
          <w:szCs w:val="20"/>
        </w:rPr>
        <w:t>Processing</w:t>
      </w:r>
    </w:p>
    <w:p w14:paraId="26BCC91B" w14:textId="77777777" w:rsidR="005332E9" w:rsidRPr="00DD5FB1" w:rsidRDefault="005332E9" w:rsidP="00DD5FB1">
      <w:pPr>
        <w:pStyle w:val="ListParagraph"/>
        <w:numPr>
          <w:ilvl w:val="0"/>
          <w:numId w:val="43"/>
        </w:numPr>
        <w:rPr>
          <w:sz w:val="20"/>
          <w:szCs w:val="20"/>
        </w:rPr>
      </w:pPr>
      <w:r w:rsidRPr="00DD5FB1">
        <w:rPr>
          <w:sz w:val="20"/>
          <w:szCs w:val="20"/>
        </w:rPr>
        <w:t>Food</w:t>
      </w:r>
      <w:r w:rsidRPr="00DD5FB1">
        <w:rPr>
          <w:spacing w:val="-7"/>
          <w:sz w:val="20"/>
          <w:szCs w:val="20"/>
        </w:rPr>
        <w:t xml:space="preserve"> </w:t>
      </w:r>
      <w:r w:rsidRPr="00DD5FB1">
        <w:rPr>
          <w:sz w:val="20"/>
          <w:szCs w:val="20"/>
        </w:rPr>
        <w:t>Safety</w:t>
      </w:r>
      <w:r w:rsidRPr="00DD5FB1">
        <w:rPr>
          <w:spacing w:val="-8"/>
          <w:sz w:val="20"/>
          <w:szCs w:val="20"/>
        </w:rPr>
        <w:t xml:space="preserve"> </w:t>
      </w:r>
      <w:r w:rsidRPr="00DD5FB1">
        <w:rPr>
          <w:sz w:val="20"/>
          <w:szCs w:val="20"/>
        </w:rPr>
        <w:t>Programs</w:t>
      </w:r>
      <w:r w:rsidRPr="00DD5FB1">
        <w:rPr>
          <w:spacing w:val="-7"/>
          <w:sz w:val="20"/>
          <w:szCs w:val="20"/>
        </w:rPr>
        <w:t xml:space="preserve"> </w:t>
      </w:r>
      <w:r w:rsidRPr="00DD5FB1">
        <w:rPr>
          <w:sz w:val="20"/>
          <w:szCs w:val="20"/>
        </w:rPr>
        <w:t>and</w:t>
      </w:r>
      <w:r w:rsidRPr="00DD5FB1">
        <w:rPr>
          <w:spacing w:val="-8"/>
          <w:sz w:val="20"/>
          <w:szCs w:val="20"/>
        </w:rPr>
        <w:t xml:space="preserve"> </w:t>
      </w:r>
      <w:r w:rsidRPr="00DD5FB1">
        <w:rPr>
          <w:spacing w:val="-2"/>
          <w:sz w:val="20"/>
          <w:szCs w:val="20"/>
        </w:rPr>
        <w:t>Assistance</w:t>
      </w:r>
    </w:p>
    <w:p w14:paraId="337BDDC3" w14:textId="77777777" w:rsidR="005332E9" w:rsidRPr="00DD5FB1" w:rsidRDefault="005332E9" w:rsidP="00DD5FB1">
      <w:pPr>
        <w:pStyle w:val="ListParagraph"/>
        <w:numPr>
          <w:ilvl w:val="0"/>
          <w:numId w:val="41"/>
        </w:numPr>
        <w:rPr>
          <w:sz w:val="20"/>
        </w:rPr>
      </w:pPr>
      <w:r w:rsidRPr="00DD5FB1">
        <w:rPr>
          <w:sz w:val="20"/>
        </w:rPr>
        <w:t>Training</w:t>
      </w:r>
      <w:r w:rsidRPr="00DD5FB1">
        <w:rPr>
          <w:spacing w:val="-10"/>
          <w:sz w:val="20"/>
        </w:rPr>
        <w:t xml:space="preserve"> </w:t>
      </w:r>
      <w:r w:rsidRPr="00DD5FB1">
        <w:rPr>
          <w:sz w:val="20"/>
        </w:rPr>
        <w:t>and</w:t>
      </w:r>
      <w:r w:rsidRPr="00DD5FB1">
        <w:rPr>
          <w:spacing w:val="-8"/>
          <w:sz w:val="20"/>
        </w:rPr>
        <w:t xml:space="preserve"> </w:t>
      </w:r>
      <w:r w:rsidRPr="00DD5FB1">
        <w:rPr>
          <w:sz w:val="20"/>
        </w:rPr>
        <w:t>technical</w:t>
      </w:r>
      <w:r w:rsidRPr="00DD5FB1">
        <w:rPr>
          <w:spacing w:val="-9"/>
          <w:sz w:val="20"/>
        </w:rPr>
        <w:t xml:space="preserve"> </w:t>
      </w:r>
      <w:r w:rsidRPr="00DD5FB1">
        <w:rPr>
          <w:spacing w:val="-2"/>
          <w:sz w:val="20"/>
        </w:rPr>
        <w:t>assistance</w:t>
      </w:r>
    </w:p>
    <w:p w14:paraId="31F74A39" w14:textId="77777777" w:rsidR="005332E9" w:rsidRPr="00DD5FB1" w:rsidRDefault="005332E9" w:rsidP="00DD5FB1">
      <w:pPr>
        <w:pStyle w:val="ListParagraph"/>
        <w:numPr>
          <w:ilvl w:val="0"/>
          <w:numId w:val="41"/>
        </w:numPr>
        <w:rPr>
          <w:sz w:val="20"/>
        </w:rPr>
      </w:pPr>
      <w:r w:rsidRPr="00DD5FB1">
        <w:rPr>
          <w:sz w:val="20"/>
        </w:rPr>
        <w:t>Food</w:t>
      </w:r>
      <w:r w:rsidRPr="00DD5FB1">
        <w:rPr>
          <w:spacing w:val="-10"/>
          <w:sz w:val="20"/>
        </w:rPr>
        <w:t xml:space="preserve"> </w:t>
      </w:r>
      <w:r w:rsidRPr="00DD5FB1">
        <w:rPr>
          <w:sz w:val="20"/>
        </w:rPr>
        <w:t>Safety</w:t>
      </w:r>
      <w:r w:rsidRPr="00DD5FB1">
        <w:rPr>
          <w:spacing w:val="-9"/>
          <w:sz w:val="20"/>
        </w:rPr>
        <w:t xml:space="preserve"> </w:t>
      </w:r>
      <w:r w:rsidRPr="00DD5FB1">
        <w:rPr>
          <w:sz w:val="20"/>
        </w:rPr>
        <w:t>Prerequisite</w:t>
      </w:r>
      <w:r w:rsidRPr="00DD5FB1">
        <w:rPr>
          <w:spacing w:val="-9"/>
          <w:sz w:val="20"/>
        </w:rPr>
        <w:t xml:space="preserve"> </w:t>
      </w:r>
      <w:r w:rsidRPr="00DD5FB1">
        <w:rPr>
          <w:spacing w:val="-2"/>
          <w:sz w:val="20"/>
        </w:rPr>
        <w:t>Programs</w:t>
      </w:r>
    </w:p>
    <w:p w14:paraId="76E73203" w14:textId="77777777" w:rsidR="005332E9" w:rsidRPr="00DD5FB1" w:rsidRDefault="005332E9" w:rsidP="00DD5FB1">
      <w:pPr>
        <w:pStyle w:val="ListParagraph"/>
        <w:numPr>
          <w:ilvl w:val="0"/>
          <w:numId w:val="41"/>
        </w:numPr>
        <w:rPr>
          <w:sz w:val="20"/>
        </w:rPr>
      </w:pPr>
      <w:r w:rsidRPr="00DD5FB1">
        <w:rPr>
          <w:sz w:val="20"/>
        </w:rPr>
        <w:t>HACCP</w:t>
      </w:r>
      <w:r w:rsidRPr="00DD5FB1">
        <w:rPr>
          <w:spacing w:val="-6"/>
          <w:sz w:val="20"/>
        </w:rPr>
        <w:t xml:space="preserve"> </w:t>
      </w:r>
      <w:r w:rsidRPr="00DD5FB1">
        <w:rPr>
          <w:sz w:val="20"/>
        </w:rPr>
        <w:t>Systems</w:t>
      </w:r>
      <w:r w:rsidRPr="00DD5FB1">
        <w:rPr>
          <w:spacing w:val="-7"/>
          <w:sz w:val="20"/>
        </w:rPr>
        <w:t xml:space="preserve"> </w:t>
      </w:r>
      <w:r w:rsidRPr="00DD5FB1">
        <w:rPr>
          <w:sz w:val="20"/>
        </w:rPr>
        <w:t>and</w:t>
      </w:r>
      <w:r w:rsidRPr="00DD5FB1">
        <w:rPr>
          <w:spacing w:val="-8"/>
          <w:sz w:val="20"/>
        </w:rPr>
        <w:t xml:space="preserve"> </w:t>
      </w:r>
      <w:r w:rsidRPr="00DD5FB1">
        <w:rPr>
          <w:sz w:val="20"/>
        </w:rPr>
        <w:t>Training Product</w:t>
      </w:r>
      <w:r w:rsidRPr="00DD5FB1">
        <w:rPr>
          <w:spacing w:val="-14"/>
          <w:sz w:val="20"/>
        </w:rPr>
        <w:t xml:space="preserve"> </w:t>
      </w:r>
      <w:r w:rsidRPr="00DD5FB1">
        <w:rPr>
          <w:sz w:val="20"/>
        </w:rPr>
        <w:t>&amp;</w:t>
      </w:r>
      <w:r w:rsidRPr="00DD5FB1">
        <w:rPr>
          <w:spacing w:val="-14"/>
          <w:sz w:val="20"/>
        </w:rPr>
        <w:t xml:space="preserve"> </w:t>
      </w:r>
      <w:r w:rsidRPr="00DD5FB1">
        <w:rPr>
          <w:sz w:val="20"/>
        </w:rPr>
        <w:t>Process</w:t>
      </w:r>
      <w:r w:rsidRPr="00DD5FB1">
        <w:rPr>
          <w:spacing w:val="-14"/>
          <w:sz w:val="20"/>
        </w:rPr>
        <w:t xml:space="preserve"> </w:t>
      </w:r>
      <w:r w:rsidRPr="00DD5FB1">
        <w:rPr>
          <w:sz w:val="20"/>
        </w:rPr>
        <w:t>Development</w:t>
      </w:r>
    </w:p>
    <w:p w14:paraId="1E769DF8" w14:textId="77777777" w:rsidR="005332E9" w:rsidRPr="00DD5FB1" w:rsidRDefault="005332E9" w:rsidP="00DD5FB1">
      <w:pPr>
        <w:pStyle w:val="ListParagraph"/>
        <w:numPr>
          <w:ilvl w:val="0"/>
          <w:numId w:val="41"/>
        </w:numPr>
        <w:rPr>
          <w:sz w:val="20"/>
        </w:rPr>
      </w:pPr>
      <w:r w:rsidRPr="00DD5FB1">
        <w:rPr>
          <w:sz w:val="20"/>
        </w:rPr>
        <w:t>Commissioning</w:t>
      </w:r>
      <w:r w:rsidRPr="00DD5FB1">
        <w:rPr>
          <w:spacing w:val="-11"/>
          <w:sz w:val="20"/>
        </w:rPr>
        <w:t xml:space="preserve"> </w:t>
      </w:r>
      <w:r w:rsidRPr="00DD5FB1">
        <w:rPr>
          <w:sz w:val="20"/>
        </w:rPr>
        <w:t>equipment</w:t>
      </w:r>
      <w:r w:rsidRPr="00DD5FB1">
        <w:rPr>
          <w:spacing w:val="-12"/>
          <w:sz w:val="20"/>
        </w:rPr>
        <w:t xml:space="preserve"> </w:t>
      </w:r>
      <w:r w:rsidRPr="00DD5FB1">
        <w:rPr>
          <w:sz w:val="20"/>
        </w:rPr>
        <w:t>and</w:t>
      </w:r>
      <w:r w:rsidRPr="00DD5FB1">
        <w:rPr>
          <w:spacing w:val="-11"/>
          <w:sz w:val="20"/>
        </w:rPr>
        <w:t xml:space="preserve"> </w:t>
      </w:r>
      <w:r w:rsidRPr="00DD5FB1">
        <w:rPr>
          <w:sz w:val="20"/>
        </w:rPr>
        <w:t>processing</w:t>
      </w:r>
      <w:r w:rsidRPr="00DD5FB1">
        <w:rPr>
          <w:spacing w:val="-11"/>
          <w:sz w:val="20"/>
        </w:rPr>
        <w:t xml:space="preserve"> </w:t>
      </w:r>
      <w:r w:rsidRPr="00DD5FB1">
        <w:rPr>
          <w:spacing w:val="-4"/>
          <w:sz w:val="20"/>
        </w:rPr>
        <w:t>lines</w:t>
      </w:r>
    </w:p>
    <w:p w14:paraId="4796F6C1" w14:textId="77777777" w:rsidR="005332E9" w:rsidRPr="00DD5FB1" w:rsidRDefault="005332E9" w:rsidP="00DD5FB1">
      <w:pPr>
        <w:pStyle w:val="ListParagraph"/>
        <w:numPr>
          <w:ilvl w:val="0"/>
          <w:numId w:val="41"/>
        </w:numPr>
        <w:rPr>
          <w:sz w:val="20"/>
        </w:rPr>
      </w:pPr>
      <w:r w:rsidRPr="00DD5FB1">
        <w:rPr>
          <w:sz w:val="20"/>
        </w:rPr>
        <w:t>Scale-up</w:t>
      </w:r>
      <w:r w:rsidRPr="00DD5FB1">
        <w:rPr>
          <w:spacing w:val="-8"/>
          <w:sz w:val="20"/>
        </w:rPr>
        <w:t xml:space="preserve"> </w:t>
      </w:r>
      <w:r w:rsidRPr="00DD5FB1">
        <w:rPr>
          <w:sz w:val="20"/>
        </w:rPr>
        <w:t>assistance,</w:t>
      </w:r>
      <w:r w:rsidRPr="00DD5FB1">
        <w:rPr>
          <w:spacing w:val="-9"/>
          <w:sz w:val="20"/>
        </w:rPr>
        <w:t xml:space="preserve"> </w:t>
      </w:r>
      <w:r w:rsidRPr="00DD5FB1">
        <w:rPr>
          <w:sz w:val="20"/>
        </w:rPr>
        <w:t>benchtop</w:t>
      </w:r>
      <w:r w:rsidRPr="00DD5FB1">
        <w:rPr>
          <w:spacing w:val="-7"/>
          <w:sz w:val="20"/>
        </w:rPr>
        <w:t xml:space="preserve"> </w:t>
      </w:r>
      <w:r w:rsidRPr="00DD5FB1">
        <w:rPr>
          <w:sz w:val="20"/>
        </w:rPr>
        <w:t>–</w:t>
      </w:r>
      <w:r w:rsidRPr="00DD5FB1">
        <w:rPr>
          <w:spacing w:val="-6"/>
          <w:sz w:val="20"/>
        </w:rPr>
        <w:t xml:space="preserve"> </w:t>
      </w:r>
      <w:r w:rsidRPr="00DD5FB1">
        <w:rPr>
          <w:sz w:val="20"/>
        </w:rPr>
        <w:t>pilot</w:t>
      </w:r>
      <w:r w:rsidRPr="00DD5FB1">
        <w:rPr>
          <w:spacing w:val="-6"/>
          <w:sz w:val="20"/>
        </w:rPr>
        <w:t xml:space="preserve"> </w:t>
      </w:r>
      <w:r w:rsidRPr="00DD5FB1">
        <w:rPr>
          <w:sz w:val="20"/>
        </w:rPr>
        <w:t>plant</w:t>
      </w:r>
      <w:r w:rsidRPr="00DD5FB1">
        <w:rPr>
          <w:spacing w:val="-5"/>
          <w:sz w:val="20"/>
        </w:rPr>
        <w:t xml:space="preserve"> </w:t>
      </w:r>
      <w:r w:rsidRPr="00DD5FB1">
        <w:rPr>
          <w:sz w:val="20"/>
        </w:rPr>
        <w:t xml:space="preserve">– </w:t>
      </w:r>
      <w:r w:rsidRPr="00DD5FB1">
        <w:rPr>
          <w:spacing w:val="-2"/>
          <w:sz w:val="20"/>
        </w:rPr>
        <w:t>factory</w:t>
      </w:r>
    </w:p>
    <w:p w14:paraId="058524C8" w14:textId="77777777" w:rsidR="005332E9" w:rsidRPr="00DD5FB1" w:rsidRDefault="005332E9" w:rsidP="00DD5FB1">
      <w:pPr>
        <w:pStyle w:val="ListParagraph"/>
        <w:numPr>
          <w:ilvl w:val="0"/>
          <w:numId w:val="41"/>
        </w:numPr>
        <w:rPr>
          <w:sz w:val="20"/>
        </w:rPr>
      </w:pPr>
      <w:r w:rsidRPr="00DD5FB1">
        <w:rPr>
          <w:sz w:val="20"/>
        </w:rPr>
        <w:t>Shelf</w:t>
      </w:r>
      <w:r w:rsidRPr="00DD5FB1">
        <w:rPr>
          <w:spacing w:val="-6"/>
          <w:sz w:val="20"/>
        </w:rPr>
        <w:t xml:space="preserve"> </w:t>
      </w:r>
      <w:r w:rsidRPr="00DD5FB1">
        <w:rPr>
          <w:sz w:val="20"/>
        </w:rPr>
        <w:t>life,</w:t>
      </w:r>
      <w:r w:rsidRPr="00DD5FB1">
        <w:rPr>
          <w:spacing w:val="-8"/>
          <w:sz w:val="20"/>
        </w:rPr>
        <w:t xml:space="preserve"> </w:t>
      </w:r>
      <w:r w:rsidRPr="00DD5FB1">
        <w:rPr>
          <w:sz w:val="20"/>
        </w:rPr>
        <w:t>setting</w:t>
      </w:r>
      <w:r w:rsidRPr="00DD5FB1">
        <w:rPr>
          <w:spacing w:val="-6"/>
          <w:sz w:val="20"/>
        </w:rPr>
        <w:t xml:space="preserve"> </w:t>
      </w:r>
      <w:r w:rsidRPr="00DD5FB1">
        <w:rPr>
          <w:sz w:val="20"/>
        </w:rPr>
        <w:t>and</w:t>
      </w:r>
      <w:r w:rsidRPr="00DD5FB1">
        <w:rPr>
          <w:spacing w:val="-7"/>
          <w:sz w:val="20"/>
        </w:rPr>
        <w:t xml:space="preserve"> </w:t>
      </w:r>
      <w:r w:rsidRPr="00DD5FB1">
        <w:rPr>
          <w:spacing w:val="-2"/>
          <w:sz w:val="20"/>
        </w:rPr>
        <w:t>extending</w:t>
      </w:r>
    </w:p>
    <w:p w14:paraId="5FE0B7E3" w14:textId="77777777" w:rsidR="005332E9" w:rsidRPr="00DD5FB1" w:rsidRDefault="005332E9" w:rsidP="00DD5FB1">
      <w:pPr>
        <w:pStyle w:val="ListParagraph"/>
        <w:numPr>
          <w:ilvl w:val="0"/>
          <w:numId w:val="41"/>
        </w:numPr>
        <w:rPr>
          <w:sz w:val="20"/>
        </w:rPr>
      </w:pPr>
      <w:r w:rsidRPr="00DD5FB1">
        <w:rPr>
          <w:sz w:val="20"/>
        </w:rPr>
        <w:t>Ingredient</w:t>
      </w:r>
      <w:r w:rsidRPr="00DD5FB1">
        <w:rPr>
          <w:spacing w:val="-13"/>
          <w:sz w:val="20"/>
        </w:rPr>
        <w:t xml:space="preserve"> </w:t>
      </w:r>
      <w:r w:rsidRPr="00DD5FB1">
        <w:rPr>
          <w:spacing w:val="-2"/>
          <w:sz w:val="20"/>
        </w:rPr>
        <w:t>sourcing</w:t>
      </w:r>
    </w:p>
    <w:p w14:paraId="4AFB7840" w14:textId="77777777" w:rsidR="005332E9" w:rsidRPr="00DD5FB1" w:rsidRDefault="005332E9" w:rsidP="00DD5FB1">
      <w:pPr>
        <w:pStyle w:val="ListParagraph"/>
        <w:numPr>
          <w:ilvl w:val="0"/>
          <w:numId w:val="41"/>
        </w:numPr>
        <w:rPr>
          <w:sz w:val="20"/>
        </w:rPr>
      </w:pPr>
      <w:r w:rsidRPr="00DD5FB1">
        <w:rPr>
          <w:sz w:val="20"/>
        </w:rPr>
        <w:t>Market</w:t>
      </w:r>
      <w:r w:rsidRPr="00DD5FB1">
        <w:rPr>
          <w:spacing w:val="-11"/>
          <w:sz w:val="20"/>
        </w:rPr>
        <w:t xml:space="preserve"> </w:t>
      </w:r>
      <w:r w:rsidRPr="00DD5FB1">
        <w:rPr>
          <w:sz w:val="20"/>
        </w:rPr>
        <w:t>research,</w:t>
      </w:r>
      <w:r w:rsidRPr="00DD5FB1">
        <w:rPr>
          <w:spacing w:val="-11"/>
          <w:sz w:val="20"/>
        </w:rPr>
        <w:t xml:space="preserve"> </w:t>
      </w:r>
      <w:r w:rsidRPr="00DD5FB1">
        <w:rPr>
          <w:sz w:val="20"/>
        </w:rPr>
        <w:t>sensory</w:t>
      </w:r>
      <w:r w:rsidRPr="00DD5FB1">
        <w:rPr>
          <w:spacing w:val="-8"/>
          <w:sz w:val="20"/>
        </w:rPr>
        <w:t xml:space="preserve"> </w:t>
      </w:r>
      <w:r w:rsidRPr="00DD5FB1">
        <w:rPr>
          <w:sz w:val="20"/>
        </w:rPr>
        <w:t>and</w:t>
      </w:r>
      <w:r w:rsidRPr="00DD5FB1">
        <w:rPr>
          <w:spacing w:val="-9"/>
          <w:sz w:val="20"/>
        </w:rPr>
        <w:t xml:space="preserve"> </w:t>
      </w:r>
      <w:r w:rsidRPr="00DD5FB1">
        <w:rPr>
          <w:sz w:val="20"/>
        </w:rPr>
        <w:t>consumer</w:t>
      </w:r>
      <w:r w:rsidRPr="00DD5FB1">
        <w:rPr>
          <w:spacing w:val="-10"/>
          <w:sz w:val="20"/>
        </w:rPr>
        <w:t xml:space="preserve"> </w:t>
      </w:r>
      <w:r w:rsidRPr="00DD5FB1">
        <w:rPr>
          <w:spacing w:val="-2"/>
          <w:sz w:val="20"/>
        </w:rPr>
        <w:t>science</w:t>
      </w:r>
    </w:p>
    <w:p w14:paraId="2C410199" w14:textId="77777777" w:rsidR="005332E9" w:rsidRPr="00DD5FB1" w:rsidRDefault="005332E9" w:rsidP="00DD5FB1">
      <w:pPr>
        <w:pStyle w:val="ListParagraph"/>
        <w:numPr>
          <w:ilvl w:val="0"/>
          <w:numId w:val="41"/>
        </w:numPr>
        <w:rPr>
          <w:sz w:val="20"/>
        </w:rPr>
      </w:pPr>
      <w:r w:rsidRPr="00DD5FB1">
        <w:rPr>
          <w:sz w:val="20"/>
        </w:rPr>
        <w:t>New</w:t>
      </w:r>
      <w:r w:rsidRPr="00DD5FB1">
        <w:rPr>
          <w:spacing w:val="-7"/>
          <w:sz w:val="20"/>
        </w:rPr>
        <w:t xml:space="preserve"> </w:t>
      </w:r>
      <w:r w:rsidRPr="00DD5FB1">
        <w:rPr>
          <w:sz w:val="20"/>
        </w:rPr>
        <w:t>product</w:t>
      </w:r>
      <w:r w:rsidRPr="00DD5FB1">
        <w:rPr>
          <w:spacing w:val="-7"/>
          <w:sz w:val="20"/>
        </w:rPr>
        <w:t xml:space="preserve"> </w:t>
      </w:r>
      <w:r w:rsidRPr="00DD5FB1">
        <w:rPr>
          <w:spacing w:val="-2"/>
          <w:sz w:val="20"/>
        </w:rPr>
        <w:t>development</w:t>
      </w:r>
    </w:p>
    <w:p w14:paraId="54E715F5" w14:textId="77777777" w:rsidR="005332E9" w:rsidRPr="00DD5FB1" w:rsidRDefault="005332E9" w:rsidP="00DD5FB1">
      <w:pPr>
        <w:pStyle w:val="ListParagraph"/>
        <w:numPr>
          <w:ilvl w:val="0"/>
          <w:numId w:val="41"/>
        </w:numPr>
        <w:rPr>
          <w:sz w:val="20"/>
        </w:rPr>
      </w:pPr>
      <w:r w:rsidRPr="00DD5FB1">
        <w:rPr>
          <w:sz w:val="20"/>
        </w:rPr>
        <w:t>Setting</w:t>
      </w:r>
      <w:r w:rsidRPr="00DD5FB1">
        <w:rPr>
          <w:spacing w:val="-11"/>
          <w:sz w:val="20"/>
        </w:rPr>
        <w:t xml:space="preserve"> </w:t>
      </w:r>
      <w:r w:rsidRPr="00DD5FB1">
        <w:rPr>
          <w:spacing w:val="-2"/>
          <w:sz w:val="20"/>
        </w:rPr>
        <w:t>specifications</w:t>
      </w:r>
    </w:p>
    <w:p w14:paraId="40424DDE" w14:textId="77777777" w:rsidR="005332E9" w:rsidRPr="00DD5FB1" w:rsidRDefault="005332E9" w:rsidP="00DD5FB1">
      <w:pPr>
        <w:pStyle w:val="ListParagraph"/>
        <w:numPr>
          <w:ilvl w:val="0"/>
          <w:numId w:val="41"/>
        </w:numPr>
        <w:rPr>
          <w:sz w:val="20"/>
        </w:rPr>
        <w:sectPr w:rsidR="005332E9" w:rsidRPr="00DD5FB1" w:rsidSect="005332E9">
          <w:type w:val="continuous"/>
          <w:pgSz w:w="12240" w:h="15840"/>
          <w:pgMar w:top="1360" w:right="680" w:bottom="940" w:left="980" w:header="1080" w:footer="742" w:gutter="0"/>
          <w:cols w:num="2" w:space="720" w:equalWidth="0">
            <w:col w:w="4743" w:space="658"/>
            <w:col w:w="5179"/>
          </w:cols>
        </w:sectPr>
      </w:pPr>
      <w:r w:rsidRPr="00DD5FB1">
        <w:rPr>
          <w:sz w:val="20"/>
        </w:rPr>
        <w:t>Quality</w:t>
      </w:r>
      <w:r w:rsidRPr="00DD5FB1">
        <w:rPr>
          <w:spacing w:val="-10"/>
          <w:sz w:val="20"/>
        </w:rPr>
        <w:t xml:space="preserve"> </w:t>
      </w:r>
      <w:r w:rsidRPr="00DD5FB1">
        <w:rPr>
          <w:spacing w:val="-2"/>
          <w:sz w:val="20"/>
        </w:rPr>
        <w:t>Improvements</w:t>
      </w:r>
    </w:p>
    <w:p w14:paraId="4F7BDCB0" w14:textId="77777777" w:rsidR="005332E9" w:rsidRPr="00E80EE2" w:rsidRDefault="005332E9" w:rsidP="00DD5FB1">
      <w:pPr>
        <w:rPr>
          <w:sz w:val="20"/>
        </w:rPr>
      </w:pPr>
    </w:p>
    <w:p w14:paraId="70D05040" w14:textId="77777777" w:rsidR="00E80EE2" w:rsidRDefault="00E80EE2" w:rsidP="00C67F17">
      <w:pPr>
        <w:jc w:val="both"/>
        <w:rPr>
          <w:b/>
          <w:bCs/>
        </w:rPr>
      </w:pPr>
    </w:p>
    <w:p w14:paraId="283B1C72" w14:textId="7DBBCF0D" w:rsidR="009110C6" w:rsidRDefault="00CD6278" w:rsidP="00E80EE2">
      <w:pPr>
        <w:jc w:val="both"/>
        <w:rPr>
          <w:b/>
          <w:bCs/>
        </w:rPr>
      </w:pPr>
      <w:r w:rsidRPr="00CD6278">
        <w:rPr>
          <w:b/>
          <w:bCs/>
        </w:rPr>
        <w:lastRenderedPageBreak/>
        <w:t xml:space="preserve">Boise State University (BSU) </w:t>
      </w:r>
      <w:r w:rsidR="00E1470D" w:rsidRPr="00E80EE2">
        <w:rPr>
          <w:b/>
          <w:bCs/>
        </w:rPr>
        <w:t>Revenue and Expenditures</w:t>
      </w:r>
    </w:p>
    <w:p w14:paraId="08F3E5C9" w14:textId="77777777" w:rsidR="00600899" w:rsidRPr="00E80EE2" w:rsidRDefault="00600899" w:rsidP="00E80EE2">
      <w:pPr>
        <w:jc w:val="both"/>
        <w:rPr>
          <w:b/>
          <w:bCs/>
        </w:rPr>
      </w:pPr>
    </w:p>
    <w:tbl>
      <w:tblPr>
        <w:tblW w:w="5000" w:type="pct"/>
        <w:tblBorders>
          <w:top w:val="double" w:sz="4" w:space="0" w:color="000080"/>
          <w:left w:val="double" w:sz="4" w:space="0" w:color="000080"/>
          <w:bottom w:val="double" w:sz="4" w:space="0" w:color="000080"/>
          <w:right w:val="double" w:sz="4" w:space="0" w:color="000080"/>
        </w:tblBorders>
        <w:tblLook w:val="0000" w:firstRow="0" w:lastRow="0" w:firstColumn="0" w:lastColumn="0" w:noHBand="0" w:noVBand="0"/>
      </w:tblPr>
      <w:tblGrid>
        <w:gridCol w:w="3398"/>
        <w:gridCol w:w="1964"/>
        <w:gridCol w:w="1551"/>
        <w:gridCol w:w="1551"/>
        <w:gridCol w:w="1606"/>
      </w:tblGrid>
      <w:tr w:rsidR="000C58DC" w:rsidRPr="00E80EE2" w14:paraId="7B44CD29" w14:textId="77777777" w:rsidTr="00F13682">
        <w:trPr>
          <w:trHeight w:val="259"/>
        </w:trPr>
        <w:tc>
          <w:tcPr>
            <w:tcW w:w="3398" w:type="dxa"/>
            <w:tcBorders>
              <w:top w:val="single" w:sz="4" w:space="0" w:color="auto"/>
              <w:left w:val="single" w:sz="4" w:space="0" w:color="auto"/>
              <w:bottom w:val="single" w:sz="4" w:space="0" w:color="auto"/>
              <w:right w:val="single" w:sz="4" w:space="0" w:color="auto"/>
            </w:tcBorders>
            <w:shd w:val="clear" w:color="auto" w:fill="000080"/>
          </w:tcPr>
          <w:p w14:paraId="7EBEFCE7" w14:textId="77777777" w:rsidR="000C58DC" w:rsidRPr="00E80EE2" w:rsidRDefault="000C58DC" w:rsidP="000C58DC">
            <w:pPr>
              <w:rPr>
                <w:b/>
                <w:bCs/>
                <w:color w:val="FFFFFF"/>
                <w:sz w:val="20"/>
              </w:rPr>
            </w:pPr>
            <w:bookmarkStart w:id="1" w:name="OLE_LINK3"/>
            <w:bookmarkStart w:id="2" w:name="OLE_LINK4"/>
            <w:r w:rsidRPr="00E80EE2">
              <w:rPr>
                <w:b/>
                <w:bCs/>
                <w:color w:val="FFFFFF"/>
                <w:sz w:val="20"/>
              </w:rPr>
              <w:t xml:space="preserve">Operating Revenue </w:t>
            </w:r>
          </w:p>
        </w:tc>
        <w:tc>
          <w:tcPr>
            <w:tcW w:w="1964" w:type="dxa"/>
            <w:tcBorders>
              <w:top w:val="single" w:sz="4" w:space="0" w:color="auto"/>
              <w:left w:val="single" w:sz="4" w:space="0" w:color="auto"/>
              <w:bottom w:val="single" w:sz="4" w:space="0" w:color="auto"/>
            </w:tcBorders>
            <w:shd w:val="clear" w:color="auto" w:fill="000080"/>
          </w:tcPr>
          <w:p w14:paraId="040D957E" w14:textId="3719F98A" w:rsidR="000C58DC" w:rsidRPr="00E80EE2" w:rsidRDefault="000C58DC" w:rsidP="000C58DC">
            <w:pPr>
              <w:jc w:val="right"/>
              <w:rPr>
                <w:b/>
                <w:bCs/>
                <w:color w:val="FFFFFF"/>
                <w:sz w:val="20"/>
              </w:rPr>
            </w:pPr>
            <w:r>
              <w:rPr>
                <w:b/>
                <w:bCs/>
                <w:color w:val="FFFFFF"/>
                <w:sz w:val="20"/>
              </w:rPr>
              <w:t>FY 2022- restated</w:t>
            </w:r>
          </w:p>
        </w:tc>
        <w:tc>
          <w:tcPr>
            <w:tcW w:w="1551" w:type="dxa"/>
            <w:tcBorders>
              <w:top w:val="single" w:sz="4" w:space="0" w:color="auto"/>
              <w:bottom w:val="single" w:sz="4" w:space="0" w:color="auto"/>
            </w:tcBorders>
            <w:shd w:val="clear" w:color="auto" w:fill="000080"/>
          </w:tcPr>
          <w:p w14:paraId="182CB8CD" w14:textId="2736730C" w:rsidR="000C58DC" w:rsidRPr="00E80EE2" w:rsidRDefault="000C58DC" w:rsidP="000C58DC">
            <w:pPr>
              <w:jc w:val="right"/>
              <w:rPr>
                <w:b/>
                <w:bCs/>
                <w:color w:val="FFFFFF"/>
                <w:sz w:val="20"/>
              </w:rPr>
            </w:pPr>
            <w:r>
              <w:rPr>
                <w:b/>
                <w:bCs/>
                <w:color w:val="FFFFFF"/>
                <w:sz w:val="20"/>
              </w:rPr>
              <w:t>FY 2023</w:t>
            </w:r>
          </w:p>
        </w:tc>
        <w:tc>
          <w:tcPr>
            <w:tcW w:w="1551" w:type="dxa"/>
            <w:tcBorders>
              <w:top w:val="single" w:sz="4" w:space="0" w:color="auto"/>
              <w:bottom w:val="single" w:sz="4" w:space="0" w:color="auto"/>
            </w:tcBorders>
            <w:shd w:val="clear" w:color="auto" w:fill="000080"/>
          </w:tcPr>
          <w:p w14:paraId="06BA5987" w14:textId="6059CCC2" w:rsidR="000C58DC" w:rsidRPr="00E80EE2" w:rsidRDefault="000C58DC" w:rsidP="000C58DC">
            <w:pPr>
              <w:jc w:val="right"/>
              <w:rPr>
                <w:b/>
                <w:bCs/>
                <w:color w:val="FFFFFF"/>
                <w:sz w:val="20"/>
              </w:rPr>
            </w:pPr>
            <w:r>
              <w:rPr>
                <w:b/>
                <w:bCs/>
                <w:color w:val="FFFFFF"/>
                <w:sz w:val="20"/>
              </w:rPr>
              <w:t>FY 2024*</w:t>
            </w:r>
          </w:p>
        </w:tc>
        <w:tc>
          <w:tcPr>
            <w:tcW w:w="1606" w:type="dxa"/>
            <w:tcBorders>
              <w:top w:val="single" w:sz="4" w:space="0" w:color="auto"/>
              <w:bottom w:val="single" w:sz="4" w:space="0" w:color="auto"/>
              <w:right w:val="single" w:sz="4" w:space="0" w:color="auto"/>
            </w:tcBorders>
            <w:shd w:val="clear" w:color="auto" w:fill="000080"/>
          </w:tcPr>
          <w:p w14:paraId="4BA20401" w14:textId="397183FB" w:rsidR="000C58DC" w:rsidRPr="00E80EE2" w:rsidRDefault="000C58DC" w:rsidP="000C58DC">
            <w:pPr>
              <w:jc w:val="right"/>
              <w:rPr>
                <w:b/>
                <w:bCs/>
                <w:color w:val="FFFFFF"/>
                <w:sz w:val="20"/>
              </w:rPr>
            </w:pPr>
            <w:r>
              <w:rPr>
                <w:b/>
                <w:bCs/>
                <w:color w:val="FFFFFF"/>
                <w:sz w:val="20"/>
              </w:rPr>
              <w:t>FY 2025</w:t>
            </w:r>
          </w:p>
        </w:tc>
      </w:tr>
      <w:bookmarkEnd w:id="1"/>
      <w:bookmarkEnd w:id="2"/>
      <w:tr w:rsidR="000C58DC" w:rsidRPr="00E80EE2" w14:paraId="4693E222" w14:textId="77777777" w:rsidTr="001C4F47">
        <w:trPr>
          <w:trHeight w:val="305"/>
        </w:trPr>
        <w:tc>
          <w:tcPr>
            <w:tcW w:w="3398" w:type="dxa"/>
            <w:tcBorders>
              <w:top w:val="single" w:sz="4" w:space="0" w:color="auto"/>
              <w:left w:val="single" w:sz="4" w:space="0" w:color="auto"/>
              <w:bottom w:val="nil"/>
              <w:right w:val="nil"/>
            </w:tcBorders>
            <w:vAlign w:val="bottom"/>
          </w:tcPr>
          <w:p w14:paraId="197FAA9D" w14:textId="77777777" w:rsidR="000C58DC" w:rsidRPr="00E80EE2" w:rsidRDefault="000C58DC" w:rsidP="000C58DC">
            <w:pPr>
              <w:rPr>
                <w:color w:val="000000"/>
                <w:sz w:val="18"/>
                <w:szCs w:val="20"/>
              </w:rPr>
            </w:pPr>
            <w:r w:rsidRPr="00E80EE2">
              <w:rPr>
                <w:color w:val="000000"/>
                <w:sz w:val="18"/>
                <w:szCs w:val="20"/>
              </w:rPr>
              <w:t>Student tuition and fees (Gross)</w:t>
            </w:r>
          </w:p>
        </w:tc>
        <w:tc>
          <w:tcPr>
            <w:tcW w:w="1964" w:type="dxa"/>
            <w:tcBorders>
              <w:top w:val="single" w:sz="4" w:space="0" w:color="auto"/>
              <w:left w:val="nil"/>
              <w:bottom w:val="nil"/>
              <w:right w:val="nil"/>
            </w:tcBorders>
          </w:tcPr>
          <w:p w14:paraId="1BDE358E" w14:textId="5930D4D2" w:rsidR="000C58DC" w:rsidRPr="00E80EE2" w:rsidRDefault="000C58DC" w:rsidP="000C58DC">
            <w:pPr>
              <w:spacing w:before="100" w:beforeAutospacing="1"/>
              <w:jc w:val="right"/>
              <w:rPr>
                <w:color w:val="000000"/>
                <w:sz w:val="18"/>
                <w:szCs w:val="20"/>
              </w:rPr>
            </w:pPr>
            <w:r w:rsidRPr="00F13682">
              <w:rPr>
                <w:color w:val="000000"/>
                <w:sz w:val="18"/>
                <w:szCs w:val="20"/>
              </w:rPr>
              <w:t xml:space="preserve"> 211,455,181</w:t>
            </w:r>
          </w:p>
        </w:tc>
        <w:tc>
          <w:tcPr>
            <w:tcW w:w="1551" w:type="dxa"/>
            <w:tcBorders>
              <w:top w:val="single" w:sz="4" w:space="0" w:color="auto"/>
              <w:left w:val="nil"/>
              <w:bottom w:val="nil"/>
              <w:right w:val="nil"/>
            </w:tcBorders>
          </w:tcPr>
          <w:p w14:paraId="36B94355" w14:textId="4EDE79E6" w:rsidR="000C58DC" w:rsidRPr="00E80EE2" w:rsidRDefault="000C58DC" w:rsidP="000C58DC">
            <w:pPr>
              <w:spacing w:before="100" w:beforeAutospacing="1"/>
              <w:jc w:val="right"/>
              <w:rPr>
                <w:color w:val="000000"/>
                <w:sz w:val="18"/>
                <w:szCs w:val="20"/>
              </w:rPr>
            </w:pPr>
            <w:r w:rsidRPr="00F13682">
              <w:rPr>
                <w:color w:val="000000"/>
                <w:sz w:val="18"/>
                <w:szCs w:val="20"/>
              </w:rPr>
              <w:t xml:space="preserve"> 220,107,450</w:t>
            </w:r>
          </w:p>
        </w:tc>
        <w:tc>
          <w:tcPr>
            <w:tcW w:w="1551" w:type="dxa"/>
            <w:tcBorders>
              <w:top w:val="single" w:sz="4" w:space="0" w:color="auto"/>
              <w:left w:val="nil"/>
              <w:bottom w:val="nil"/>
              <w:right w:val="nil"/>
            </w:tcBorders>
          </w:tcPr>
          <w:p w14:paraId="7C58D6F0" w14:textId="47F75B39" w:rsidR="000C58DC" w:rsidRPr="008B6187" w:rsidRDefault="000C58DC" w:rsidP="000C58DC">
            <w:pPr>
              <w:spacing w:before="100" w:beforeAutospacing="1"/>
              <w:jc w:val="right"/>
              <w:rPr>
                <w:color w:val="000000"/>
                <w:sz w:val="18"/>
                <w:szCs w:val="20"/>
              </w:rPr>
            </w:pPr>
          </w:p>
        </w:tc>
        <w:tc>
          <w:tcPr>
            <w:tcW w:w="1606" w:type="dxa"/>
            <w:tcBorders>
              <w:top w:val="single" w:sz="4" w:space="0" w:color="auto"/>
              <w:left w:val="nil"/>
              <w:bottom w:val="nil"/>
              <w:right w:val="single" w:sz="4" w:space="0" w:color="auto"/>
            </w:tcBorders>
          </w:tcPr>
          <w:p w14:paraId="4163F6D4" w14:textId="075A9409" w:rsidR="000C58DC" w:rsidRPr="00DF2AC2" w:rsidRDefault="000C58DC" w:rsidP="000C58DC">
            <w:pPr>
              <w:spacing w:before="100" w:beforeAutospacing="1"/>
              <w:jc w:val="right"/>
              <w:rPr>
                <w:color w:val="000000"/>
                <w:sz w:val="18"/>
                <w:szCs w:val="20"/>
              </w:rPr>
            </w:pPr>
          </w:p>
        </w:tc>
      </w:tr>
      <w:tr w:rsidR="000C58DC" w:rsidRPr="00E80EE2" w14:paraId="3F2922E2" w14:textId="77777777" w:rsidTr="001C4F47">
        <w:trPr>
          <w:trHeight w:val="259"/>
        </w:trPr>
        <w:tc>
          <w:tcPr>
            <w:tcW w:w="3398" w:type="dxa"/>
            <w:tcBorders>
              <w:top w:val="nil"/>
              <w:left w:val="single" w:sz="4" w:space="0" w:color="auto"/>
              <w:bottom w:val="nil"/>
              <w:right w:val="nil"/>
            </w:tcBorders>
            <w:vAlign w:val="bottom"/>
          </w:tcPr>
          <w:p w14:paraId="32571230" w14:textId="77777777" w:rsidR="000C58DC" w:rsidRPr="00E80EE2" w:rsidRDefault="000C58DC" w:rsidP="000C58DC">
            <w:pPr>
              <w:rPr>
                <w:color w:val="000000"/>
                <w:sz w:val="18"/>
                <w:szCs w:val="20"/>
              </w:rPr>
            </w:pPr>
            <w:r w:rsidRPr="00E80EE2">
              <w:rPr>
                <w:color w:val="000000"/>
                <w:sz w:val="18"/>
                <w:szCs w:val="20"/>
              </w:rPr>
              <w:t>Scholarship discounts and allowances</w:t>
            </w:r>
          </w:p>
        </w:tc>
        <w:tc>
          <w:tcPr>
            <w:tcW w:w="1964" w:type="dxa"/>
            <w:tcBorders>
              <w:top w:val="nil"/>
              <w:left w:val="nil"/>
              <w:bottom w:val="nil"/>
              <w:right w:val="nil"/>
            </w:tcBorders>
          </w:tcPr>
          <w:p w14:paraId="1FD24B95" w14:textId="24C560C8" w:rsidR="000C58DC" w:rsidRPr="00F13682" w:rsidRDefault="000C58DC" w:rsidP="000C58DC">
            <w:pPr>
              <w:spacing w:before="100" w:beforeAutospacing="1"/>
              <w:jc w:val="right"/>
              <w:rPr>
                <w:color w:val="000000"/>
                <w:sz w:val="18"/>
                <w:szCs w:val="20"/>
              </w:rPr>
            </w:pPr>
            <w:r w:rsidRPr="00F13682">
              <w:rPr>
                <w:color w:val="000000"/>
                <w:sz w:val="18"/>
                <w:szCs w:val="20"/>
              </w:rPr>
              <w:t xml:space="preserve"> (29,712,200)</w:t>
            </w:r>
          </w:p>
        </w:tc>
        <w:tc>
          <w:tcPr>
            <w:tcW w:w="1551" w:type="dxa"/>
            <w:tcBorders>
              <w:top w:val="nil"/>
              <w:left w:val="nil"/>
              <w:bottom w:val="nil"/>
              <w:right w:val="nil"/>
            </w:tcBorders>
          </w:tcPr>
          <w:p w14:paraId="61AA62A0" w14:textId="08542A9C" w:rsidR="000C58DC" w:rsidRPr="00FA1C0C" w:rsidRDefault="000C58DC" w:rsidP="000C58DC">
            <w:pPr>
              <w:spacing w:before="100" w:beforeAutospacing="1"/>
              <w:jc w:val="right"/>
              <w:rPr>
                <w:color w:val="000000"/>
                <w:sz w:val="18"/>
                <w:szCs w:val="20"/>
              </w:rPr>
            </w:pPr>
            <w:r w:rsidRPr="00F13682">
              <w:rPr>
                <w:color w:val="000000"/>
                <w:sz w:val="18"/>
                <w:szCs w:val="20"/>
              </w:rPr>
              <w:t xml:space="preserve"> (30,797,000)</w:t>
            </w:r>
          </w:p>
        </w:tc>
        <w:tc>
          <w:tcPr>
            <w:tcW w:w="1551" w:type="dxa"/>
            <w:tcBorders>
              <w:top w:val="nil"/>
              <w:left w:val="nil"/>
              <w:bottom w:val="nil"/>
              <w:right w:val="nil"/>
            </w:tcBorders>
          </w:tcPr>
          <w:p w14:paraId="6096899C" w14:textId="1FF35E64" w:rsidR="000C58DC" w:rsidRPr="00FA1C0C" w:rsidRDefault="000C58DC" w:rsidP="000C58DC">
            <w:pPr>
              <w:spacing w:before="100" w:beforeAutospacing="1"/>
              <w:jc w:val="right"/>
              <w:rPr>
                <w:color w:val="000000"/>
                <w:sz w:val="18"/>
                <w:szCs w:val="20"/>
              </w:rPr>
            </w:pPr>
          </w:p>
        </w:tc>
        <w:tc>
          <w:tcPr>
            <w:tcW w:w="1606" w:type="dxa"/>
            <w:tcBorders>
              <w:top w:val="nil"/>
              <w:left w:val="nil"/>
              <w:bottom w:val="nil"/>
              <w:right w:val="single" w:sz="4" w:space="0" w:color="auto"/>
            </w:tcBorders>
          </w:tcPr>
          <w:p w14:paraId="2AFB1A89" w14:textId="38EDC6DB" w:rsidR="000C58DC" w:rsidRPr="00DF2AC2" w:rsidRDefault="000C58DC" w:rsidP="000C58DC">
            <w:pPr>
              <w:spacing w:before="100" w:beforeAutospacing="1"/>
              <w:jc w:val="right"/>
              <w:rPr>
                <w:color w:val="000000"/>
                <w:sz w:val="18"/>
                <w:szCs w:val="20"/>
              </w:rPr>
            </w:pPr>
          </w:p>
        </w:tc>
      </w:tr>
      <w:tr w:rsidR="000C58DC" w:rsidRPr="00E80EE2" w14:paraId="508392D0" w14:textId="77777777" w:rsidTr="001C4F47">
        <w:trPr>
          <w:trHeight w:val="259"/>
        </w:trPr>
        <w:tc>
          <w:tcPr>
            <w:tcW w:w="3398" w:type="dxa"/>
            <w:tcBorders>
              <w:top w:val="nil"/>
              <w:left w:val="single" w:sz="4" w:space="0" w:color="auto"/>
              <w:bottom w:val="nil"/>
              <w:right w:val="nil"/>
            </w:tcBorders>
            <w:vAlign w:val="bottom"/>
          </w:tcPr>
          <w:p w14:paraId="282C1564" w14:textId="77777777" w:rsidR="000C58DC" w:rsidRPr="00E80EE2" w:rsidRDefault="000C58DC" w:rsidP="000C58DC">
            <w:pPr>
              <w:rPr>
                <w:color w:val="000000"/>
                <w:sz w:val="18"/>
                <w:szCs w:val="20"/>
              </w:rPr>
            </w:pPr>
            <w:r w:rsidRPr="00E80EE2">
              <w:rPr>
                <w:color w:val="000000"/>
                <w:sz w:val="18"/>
                <w:szCs w:val="20"/>
              </w:rPr>
              <w:t>Federal grants and contracts</w:t>
            </w:r>
          </w:p>
        </w:tc>
        <w:tc>
          <w:tcPr>
            <w:tcW w:w="1964" w:type="dxa"/>
            <w:tcBorders>
              <w:top w:val="nil"/>
              <w:left w:val="nil"/>
              <w:bottom w:val="nil"/>
              <w:right w:val="nil"/>
            </w:tcBorders>
          </w:tcPr>
          <w:p w14:paraId="0CE7E077" w14:textId="7918BEAE" w:rsidR="000C58DC" w:rsidRPr="00F13682" w:rsidRDefault="000C58DC" w:rsidP="000C58DC">
            <w:pPr>
              <w:spacing w:before="100" w:beforeAutospacing="1"/>
              <w:jc w:val="right"/>
              <w:rPr>
                <w:color w:val="000000"/>
                <w:sz w:val="18"/>
                <w:szCs w:val="20"/>
              </w:rPr>
            </w:pPr>
            <w:r w:rsidRPr="00F13682">
              <w:rPr>
                <w:color w:val="000000"/>
                <w:sz w:val="18"/>
                <w:szCs w:val="20"/>
              </w:rPr>
              <w:t xml:space="preserve"> 54,643,758 </w:t>
            </w:r>
          </w:p>
        </w:tc>
        <w:tc>
          <w:tcPr>
            <w:tcW w:w="1551" w:type="dxa"/>
            <w:tcBorders>
              <w:top w:val="nil"/>
              <w:left w:val="nil"/>
              <w:bottom w:val="nil"/>
              <w:right w:val="nil"/>
            </w:tcBorders>
          </w:tcPr>
          <w:p w14:paraId="369AF43F" w14:textId="5E837876" w:rsidR="000C58DC" w:rsidRPr="00FA1C0C" w:rsidRDefault="000C58DC" w:rsidP="000C58DC">
            <w:pPr>
              <w:spacing w:before="100" w:beforeAutospacing="1"/>
              <w:jc w:val="right"/>
              <w:rPr>
                <w:color w:val="000000"/>
                <w:sz w:val="18"/>
                <w:szCs w:val="20"/>
              </w:rPr>
            </w:pPr>
            <w:r w:rsidRPr="00F13682">
              <w:rPr>
                <w:color w:val="000000"/>
                <w:sz w:val="18"/>
                <w:szCs w:val="20"/>
              </w:rPr>
              <w:t xml:space="preserve"> 57,759,417 </w:t>
            </w:r>
          </w:p>
        </w:tc>
        <w:tc>
          <w:tcPr>
            <w:tcW w:w="1551" w:type="dxa"/>
            <w:tcBorders>
              <w:top w:val="nil"/>
              <w:left w:val="nil"/>
              <w:bottom w:val="nil"/>
              <w:right w:val="nil"/>
            </w:tcBorders>
          </w:tcPr>
          <w:p w14:paraId="7198E582" w14:textId="74B11DA2" w:rsidR="000C58DC" w:rsidRPr="00FA1C0C" w:rsidRDefault="000C58DC" w:rsidP="000C58DC">
            <w:pPr>
              <w:spacing w:before="100" w:beforeAutospacing="1"/>
              <w:jc w:val="right"/>
              <w:rPr>
                <w:color w:val="000000"/>
                <w:sz w:val="18"/>
                <w:szCs w:val="20"/>
              </w:rPr>
            </w:pPr>
          </w:p>
        </w:tc>
        <w:tc>
          <w:tcPr>
            <w:tcW w:w="1606" w:type="dxa"/>
            <w:tcBorders>
              <w:top w:val="nil"/>
              <w:left w:val="nil"/>
              <w:bottom w:val="nil"/>
              <w:right w:val="single" w:sz="4" w:space="0" w:color="auto"/>
            </w:tcBorders>
          </w:tcPr>
          <w:p w14:paraId="30E7F0EE" w14:textId="14F29222" w:rsidR="000C58DC" w:rsidRPr="00DF2AC2" w:rsidRDefault="000C58DC" w:rsidP="000C58DC">
            <w:pPr>
              <w:spacing w:before="100" w:beforeAutospacing="1"/>
              <w:jc w:val="right"/>
              <w:rPr>
                <w:color w:val="000000"/>
                <w:sz w:val="18"/>
                <w:szCs w:val="20"/>
              </w:rPr>
            </w:pPr>
          </w:p>
        </w:tc>
      </w:tr>
      <w:tr w:rsidR="000C58DC" w:rsidRPr="00E80EE2" w14:paraId="01715AC8" w14:textId="77777777" w:rsidTr="00522375">
        <w:trPr>
          <w:trHeight w:val="259"/>
        </w:trPr>
        <w:tc>
          <w:tcPr>
            <w:tcW w:w="3398" w:type="dxa"/>
            <w:tcBorders>
              <w:top w:val="nil"/>
              <w:left w:val="single" w:sz="4" w:space="0" w:color="auto"/>
              <w:bottom w:val="nil"/>
              <w:right w:val="nil"/>
            </w:tcBorders>
            <w:vAlign w:val="bottom"/>
          </w:tcPr>
          <w:p w14:paraId="62A41FE2" w14:textId="77777777" w:rsidR="000C58DC" w:rsidRPr="00E80EE2" w:rsidRDefault="000C58DC" w:rsidP="000C58DC">
            <w:pPr>
              <w:rPr>
                <w:color w:val="000000"/>
                <w:sz w:val="18"/>
                <w:szCs w:val="20"/>
              </w:rPr>
            </w:pPr>
            <w:r w:rsidRPr="00E80EE2">
              <w:rPr>
                <w:color w:val="000000"/>
                <w:sz w:val="18"/>
                <w:szCs w:val="20"/>
              </w:rPr>
              <w:t>State and local grants and contracts</w:t>
            </w:r>
          </w:p>
        </w:tc>
        <w:tc>
          <w:tcPr>
            <w:tcW w:w="1964" w:type="dxa"/>
            <w:tcBorders>
              <w:top w:val="nil"/>
              <w:left w:val="nil"/>
              <w:bottom w:val="nil"/>
              <w:right w:val="nil"/>
            </w:tcBorders>
          </w:tcPr>
          <w:p w14:paraId="32186E70" w14:textId="00D0E68D" w:rsidR="000C58DC" w:rsidRPr="00F13682" w:rsidRDefault="000C58DC" w:rsidP="000C58DC">
            <w:pPr>
              <w:spacing w:before="100" w:beforeAutospacing="1"/>
              <w:jc w:val="right"/>
              <w:rPr>
                <w:color w:val="000000"/>
                <w:sz w:val="18"/>
                <w:szCs w:val="20"/>
              </w:rPr>
            </w:pPr>
            <w:r w:rsidRPr="00F13682">
              <w:rPr>
                <w:color w:val="000000"/>
                <w:sz w:val="18"/>
                <w:szCs w:val="20"/>
              </w:rPr>
              <w:t xml:space="preserve"> 5,961,987 </w:t>
            </w:r>
          </w:p>
        </w:tc>
        <w:tc>
          <w:tcPr>
            <w:tcW w:w="1551" w:type="dxa"/>
            <w:tcBorders>
              <w:top w:val="nil"/>
              <w:left w:val="nil"/>
              <w:bottom w:val="nil"/>
              <w:right w:val="nil"/>
            </w:tcBorders>
          </w:tcPr>
          <w:p w14:paraId="6E518C29" w14:textId="70BCC13A" w:rsidR="000C58DC" w:rsidRPr="00FA1C0C" w:rsidRDefault="000C58DC" w:rsidP="000C58DC">
            <w:pPr>
              <w:spacing w:before="100" w:beforeAutospacing="1"/>
              <w:jc w:val="right"/>
              <w:rPr>
                <w:color w:val="000000"/>
                <w:sz w:val="18"/>
                <w:szCs w:val="20"/>
              </w:rPr>
            </w:pPr>
            <w:r w:rsidRPr="00F13682">
              <w:rPr>
                <w:color w:val="000000"/>
                <w:sz w:val="18"/>
                <w:szCs w:val="20"/>
              </w:rPr>
              <w:t xml:space="preserve"> 5,501,446 </w:t>
            </w:r>
          </w:p>
        </w:tc>
        <w:tc>
          <w:tcPr>
            <w:tcW w:w="1551" w:type="dxa"/>
            <w:tcBorders>
              <w:top w:val="nil"/>
              <w:left w:val="nil"/>
              <w:bottom w:val="nil"/>
              <w:right w:val="nil"/>
            </w:tcBorders>
          </w:tcPr>
          <w:p w14:paraId="497AFA0E" w14:textId="144DCD14" w:rsidR="000C58DC" w:rsidRPr="00FA1C0C" w:rsidRDefault="000C58DC" w:rsidP="000C58DC">
            <w:pPr>
              <w:spacing w:before="100" w:beforeAutospacing="1"/>
              <w:jc w:val="right"/>
              <w:rPr>
                <w:color w:val="000000"/>
                <w:sz w:val="18"/>
                <w:szCs w:val="20"/>
              </w:rPr>
            </w:pPr>
          </w:p>
        </w:tc>
        <w:tc>
          <w:tcPr>
            <w:tcW w:w="1606" w:type="dxa"/>
            <w:tcBorders>
              <w:top w:val="nil"/>
              <w:left w:val="nil"/>
              <w:bottom w:val="nil"/>
              <w:right w:val="single" w:sz="4" w:space="0" w:color="auto"/>
            </w:tcBorders>
          </w:tcPr>
          <w:p w14:paraId="6AB3159E" w14:textId="38DCDC46" w:rsidR="000C58DC" w:rsidRPr="00DF2AC2" w:rsidRDefault="000C58DC" w:rsidP="000C58DC">
            <w:pPr>
              <w:spacing w:before="100" w:beforeAutospacing="1"/>
              <w:jc w:val="right"/>
              <w:rPr>
                <w:color w:val="000000"/>
                <w:sz w:val="18"/>
                <w:szCs w:val="20"/>
              </w:rPr>
            </w:pPr>
          </w:p>
        </w:tc>
      </w:tr>
      <w:tr w:rsidR="000C58DC" w:rsidRPr="00E80EE2" w14:paraId="374E6343" w14:textId="77777777" w:rsidTr="00522375">
        <w:trPr>
          <w:trHeight w:val="259"/>
        </w:trPr>
        <w:tc>
          <w:tcPr>
            <w:tcW w:w="3398" w:type="dxa"/>
            <w:tcBorders>
              <w:top w:val="nil"/>
              <w:left w:val="single" w:sz="4" w:space="0" w:color="auto"/>
              <w:bottom w:val="nil"/>
              <w:right w:val="nil"/>
            </w:tcBorders>
            <w:vAlign w:val="bottom"/>
          </w:tcPr>
          <w:p w14:paraId="74B45B48" w14:textId="77777777" w:rsidR="000C58DC" w:rsidRPr="00E80EE2" w:rsidRDefault="000C58DC" w:rsidP="000C58DC">
            <w:pPr>
              <w:rPr>
                <w:color w:val="000000"/>
                <w:sz w:val="18"/>
                <w:szCs w:val="20"/>
              </w:rPr>
            </w:pPr>
            <w:r w:rsidRPr="00E80EE2">
              <w:rPr>
                <w:color w:val="000000"/>
                <w:sz w:val="18"/>
                <w:szCs w:val="20"/>
              </w:rPr>
              <w:t>Private grants and contracts</w:t>
            </w:r>
          </w:p>
        </w:tc>
        <w:tc>
          <w:tcPr>
            <w:tcW w:w="1964" w:type="dxa"/>
            <w:tcBorders>
              <w:top w:val="nil"/>
              <w:left w:val="nil"/>
              <w:bottom w:val="nil"/>
              <w:right w:val="nil"/>
            </w:tcBorders>
          </w:tcPr>
          <w:p w14:paraId="2806DCA7" w14:textId="180B7175" w:rsidR="000C58DC" w:rsidRPr="00F13682" w:rsidRDefault="000C58DC" w:rsidP="000C58DC">
            <w:pPr>
              <w:spacing w:before="100" w:beforeAutospacing="1"/>
              <w:jc w:val="right"/>
              <w:rPr>
                <w:color w:val="000000"/>
                <w:sz w:val="18"/>
                <w:szCs w:val="20"/>
              </w:rPr>
            </w:pPr>
            <w:r w:rsidRPr="00F13682">
              <w:rPr>
                <w:color w:val="000000"/>
                <w:sz w:val="18"/>
                <w:szCs w:val="20"/>
              </w:rPr>
              <w:t xml:space="preserve"> 3,137,642 </w:t>
            </w:r>
          </w:p>
        </w:tc>
        <w:tc>
          <w:tcPr>
            <w:tcW w:w="1551" w:type="dxa"/>
            <w:tcBorders>
              <w:top w:val="nil"/>
              <w:left w:val="nil"/>
              <w:bottom w:val="nil"/>
              <w:right w:val="nil"/>
            </w:tcBorders>
          </w:tcPr>
          <w:p w14:paraId="2A4BBFEC" w14:textId="16D6BA26" w:rsidR="000C58DC" w:rsidRPr="00FA1C0C" w:rsidRDefault="000C58DC" w:rsidP="000C58DC">
            <w:pPr>
              <w:spacing w:before="100" w:beforeAutospacing="1"/>
              <w:jc w:val="right"/>
              <w:rPr>
                <w:color w:val="000000"/>
                <w:sz w:val="18"/>
                <w:szCs w:val="20"/>
              </w:rPr>
            </w:pPr>
            <w:r w:rsidRPr="00F13682">
              <w:rPr>
                <w:color w:val="000000"/>
                <w:sz w:val="18"/>
                <w:szCs w:val="20"/>
              </w:rPr>
              <w:t xml:space="preserve"> 3,830,862 </w:t>
            </w:r>
          </w:p>
        </w:tc>
        <w:tc>
          <w:tcPr>
            <w:tcW w:w="1551" w:type="dxa"/>
            <w:tcBorders>
              <w:top w:val="nil"/>
              <w:left w:val="nil"/>
              <w:bottom w:val="nil"/>
              <w:right w:val="nil"/>
            </w:tcBorders>
          </w:tcPr>
          <w:p w14:paraId="370E7EA0" w14:textId="46AFFCAD" w:rsidR="000C58DC" w:rsidRPr="00FA1C0C" w:rsidRDefault="000C58DC" w:rsidP="000C58DC">
            <w:pPr>
              <w:spacing w:before="100" w:beforeAutospacing="1"/>
              <w:jc w:val="right"/>
              <w:rPr>
                <w:color w:val="000000"/>
                <w:sz w:val="18"/>
                <w:szCs w:val="20"/>
              </w:rPr>
            </w:pPr>
          </w:p>
        </w:tc>
        <w:tc>
          <w:tcPr>
            <w:tcW w:w="1606" w:type="dxa"/>
            <w:tcBorders>
              <w:top w:val="nil"/>
              <w:left w:val="nil"/>
              <w:bottom w:val="nil"/>
              <w:right w:val="single" w:sz="4" w:space="0" w:color="auto"/>
            </w:tcBorders>
          </w:tcPr>
          <w:p w14:paraId="1DE8650D" w14:textId="0BFB2C92" w:rsidR="000C58DC" w:rsidRPr="00DF2AC2" w:rsidRDefault="000C58DC" w:rsidP="000C58DC">
            <w:pPr>
              <w:spacing w:before="100" w:beforeAutospacing="1"/>
              <w:jc w:val="right"/>
              <w:rPr>
                <w:color w:val="000000"/>
                <w:sz w:val="18"/>
                <w:szCs w:val="20"/>
              </w:rPr>
            </w:pPr>
          </w:p>
        </w:tc>
      </w:tr>
      <w:tr w:rsidR="000C58DC" w:rsidRPr="00E80EE2" w14:paraId="4712BBB8" w14:textId="77777777" w:rsidTr="00522375">
        <w:trPr>
          <w:trHeight w:val="259"/>
        </w:trPr>
        <w:tc>
          <w:tcPr>
            <w:tcW w:w="3398" w:type="dxa"/>
            <w:tcBorders>
              <w:top w:val="nil"/>
              <w:left w:val="single" w:sz="4" w:space="0" w:color="auto"/>
              <w:bottom w:val="nil"/>
              <w:right w:val="nil"/>
            </w:tcBorders>
            <w:vAlign w:val="bottom"/>
          </w:tcPr>
          <w:p w14:paraId="5542E285" w14:textId="77777777" w:rsidR="000C58DC" w:rsidRPr="00E80EE2" w:rsidRDefault="000C58DC" w:rsidP="000C58DC">
            <w:pPr>
              <w:rPr>
                <w:color w:val="000000"/>
                <w:sz w:val="18"/>
                <w:szCs w:val="20"/>
              </w:rPr>
            </w:pPr>
            <w:r w:rsidRPr="00E80EE2">
              <w:rPr>
                <w:color w:val="000000"/>
                <w:sz w:val="18"/>
                <w:szCs w:val="20"/>
              </w:rPr>
              <w:t>Sales and services of educational activities</w:t>
            </w:r>
          </w:p>
        </w:tc>
        <w:tc>
          <w:tcPr>
            <w:tcW w:w="1964" w:type="dxa"/>
            <w:tcBorders>
              <w:top w:val="nil"/>
              <w:left w:val="nil"/>
              <w:bottom w:val="nil"/>
              <w:right w:val="nil"/>
            </w:tcBorders>
          </w:tcPr>
          <w:p w14:paraId="5E7F2813" w14:textId="2A13A489" w:rsidR="000C58DC" w:rsidRPr="00F13682" w:rsidRDefault="000C58DC" w:rsidP="000C58DC">
            <w:pPr>
              <w:spacing w:before="100" w:beforeAutospacing="1"/>
              <w:jc w:val="right"/>
              <w:rPr>
                <w:color w:val="000000"/>
                <w:sz w:val="18"/>
                <w:szCs w:val="20"/>
              </w:rPr>
            </w:pPr>
            <w:r w:rsidRPr="00F13682">
              <w:rPr>
                <w:color w:val="000000"/>
                <w:sz w:val="18"/>
                <w:szCs w:val="20"/>
              </w:rPr>
              <w:t xml:space="preserve"> 10,461,149 </w:t>
            </w:r>
          </w:p>
        </w:tc>
        <w:tc>
          <w:tcPr>
            <w:tcW w:w="1551" w:type="dxa"/>
            <w:tcBorders>
              <w:top w:val="nil"/>
              <w:left w:val="nil"/>
              <w:bottom w:val="nil"/>
              <w:right w:val="nil"/>
            </w:tcBorders>
          </w:tcPr>
          <w:p w14:paraId="4F313CD7" w14:textId="4CB7BB0C" w:rsidR="000C58DC" w:rsidRPr="00FA1C0C" w:rsidRDefault="000C58DC" w:rsidP="000C58DC">
            <w:pPr>
              <w:spacing w:before="100" w:beforeAutospacing="1"/>
              <w:jc w:val="right"/>
              <w:rPr>
                <w:color w:val="000000"/>
                <w:sz w:val="18"/>
                <w:szCs w:val="20"/>
              </w:rPr>
            </w:pPr>
            <w:r w:rsidRPr="00F13682">
              <w:rPr>
                <w:color w:val="000000"/>
                <w:sz w:val="18"/>
                <w:szCs w:val="20"/>
              </w:rPr>
              <w:t xml:space="preserve"> 11,937,903 </w:t>
            </w:r>
          </w:p>
        </w:tc>
        <w:tc>
          <w:tcPr>
            <w:tcW w:w="1551" w:type="dxa"/>
            <w:tcBorders>
              <w:top w:val="nil"/>
              <w:left w:val="nil"/>
              <w:bottom w:val="nil"/>
              <w:right w:val="nil"/>
            </w:tcBorders>
          </w:tcPr>
          <w:p w14:paraId="2EF7D913" w14:textId="3F8F93ED" w:rsidR="000C58DC" w:rsidRPr="00FA1C0C" w:rsidRDefault="000C58DC" w:rsidP="000C58DC">
            <w:pPr>
              <w:spacing w:before="100" w:beforeAutospacing="1"/>
              <w:jc w:val="right"/>
              <w:rPr>
                <w:color w:val="000000"/>
                <w:sz w:val="18"/>
                <w:szCs w:val="20"/>
              </w:rPr>
            </w:pPr>
          </w:p>
        </w:tc>
        <w:tc>
          <w:tcPr>
            <w:tcW w:w="1606" w:type="dxa"/>
            <w:tcBorders>
              <w:top w:val="nil"/>
              <w:left w:val="nil"/>
              <w:bottom w:val="nil"/>
              <w:right w:val="single" w:sz="4" w:space="0" w:color="auto"/>
            </w:tcBorders>
          </w:tcPr>
          <w:p w14:paraId="33C5B5DD" w14:textId="3DE986ED" w:rsidR="000C58DC" w:rsidRPr="00DF2AC2" w:rsidRDefault="000C58DC" w:rsidP="000C58DC">
            <w:pPr>
              <w:spacing w:before="100" w:beforeAutospacing="1"/>
              <w:jc w:val="right"/>
              <w:rPr>
                <w:color w:val="000000"/>
                <w:sz w:val="18"/>
                <w:szCs w:val="20"/>
              </w:rPr>
            </w:pPr>
          </w:p>
        </w:tc>
      </w:tr>
      <w:tr w:rsidR="000C58DC" w:rsidRPr="00E80EE2" w14:paraId="2DB64E64" w14:textId="77777777" w:rsidTr="00522375">
        <w:trPr>
          <w:trHeight w:val="259"/>
        </w:trPr>
        <w:tc>
          <w:tcPr>
            <w:tcW w:w="3398" w:type="dxa"/>
            <w:tcBorders>
              <w:top w:val="nil"/>
              <w:left w:val="single" w:sz="4" w:space="0" w:color="auto"/>
              <w:bottom w:val="nil"/>
              <w:right w:val="nil"/>
            </w:tcBorders>
            <w:vAlign w:val="bottom"/>
          </w:tcPr>
          <w:p w14:paraId="34B85B62" w14:textId="77777777" w:rsidR="000C58DC" w:rsidRPr="00E80EE2" w:rsidRDefault="000C58DC" w:rsidP="000C58DC">
            <w:pPr>
              <w:rPr>
                <w:color w:val="000000"/>
                <w:sz w:val="18"/>
                <w:szCs w:val="20"/>
              </w:rPr>
            </w:pPr>
            <w:r w:rsidRPr="00E80EE2">
              <w:rPr>
                <w:color w:val="000000"/>
                <w:sz w:val="18"/>
                <w:szCs w:val="20"/>
              </w:rPr>
              <w:t>Sales and services of auxiliary enterprises</w:t>
            </w:r>
          </w:p>
        </w:tc>
        <w:tc>
          <w:tcPr>
            <w:tcW w:w="1964" w:type="dxa"/>
            <w:tcBorders>
              <w:top w:val="nil"/>
              <w:left w:val="nil"/>
              <w:bottom w:val="nil"/>
              <w:right w:val="nil"/>
            </w:tcBorders>
          </w:tcPr>
          <w:p w14:paraId="06FA96FE" w14:textId="3C1750C7" w:rsidR="000C58DC" w:rsidRPr="00F13682" w:rsidRDefault="000C58DC" w:rsidP="000C58DC">
            <w:pPr>
              <w:spacing w:before="100" w:beforeAutospacing="1"/>
              <w:jc w:val="right"/>
              <w:rPr>
                <w:color w:val="000000"/>
                <w:sz w:val="18"/>
                <w:szCs w:val="20"/>
              </w:rPr>
            </w:pPr>
            <w:r w:rsidRPr="00F13682">
              <w:rPr>
                <w:color w:val="000000"/>
                <w:sz w:val="18"/>
                <w:szCs w:val="20"/>
              </w:rPr>
              <w:t xml:space="preserve"> 67,208,064 </w:t>
            </w:r>
          </w:p>
        </w:tc>
        <w:tc>
          <w:tcPr>
            <w:tcW w:w="1551" w:type="dxa"/>
            <w:tcBorders>
              <w:top w:val="nil"/>
              <w:left w:val="nil"/>
              <w:bottom w:val="nil"/>
              <w:right w:val="nil"/>
            </w:tcBorders>
          </w:tcPr>
          <w:p w14:paraId="567F4425" w14:textId="60C66C10" w:rsidR="000C58DC" w:rsidRPr="00FA1C0C" w:rsidRDefault="000C58DC" w:rsidP="000C58DC">
            <w:pPr>
              <w:spacing w:before="100" w:beforeAutospacing="1"/>
              <w:jc w:val="right"/>
              <w:rPr>
                <w:color w:val="000000"/>
                <w:sz w:val="18"/>
                <w:szCs w:val="20"/>
              </w:rPr>
            </w:pPr>
            <w:r w:rsidRPr="00F13682">
              <w:rPr>
                <w:color w:val="000000"/>
                <w:sz w:val="18"/>
                <w:szCs w:val="20"/>
              </w:rPr>
              <w:t xml:space="preserve"> 83,206,741 </w:t>
            </w:r>
          </w:p>
        </w:tc>
        <w:tc>
          <w:tcPr>
            <w:tcW w:w="1551" w:type="dxa"/>
            <w:tcBorders>
              <w:top w:val="nil"/>
              <w:left w:val="nil"/>
              <w:bottom w:val="nil"/>
              <w:right w:val="nil"/>
            </w:tcBorders>
          </w:tcPr>
          <w:p w14:paraId="6B663048" w14:textId="372C901C" w:rsidR="000C58DC" w:rsidRPr="00FA1C0C" w:rsidRDefault="000C58DC" w:rsidP="000C58DC">
            <w:pPr>
              <w:spacing w:before="100" w:beforeAutospacing="1"/>
              <w:jc w:val="right"/>
              <w:rPr>
                <w:color w:val="000000"/>
                <w:sz w:val="18"/>
                <w:szCs w:val="20"/>
              </w:rPr>
            </w:pPr>
          </w:p>
        </w:tc>
        <w:tc>
          <w:tcPr>
            <w:tcW w:w="1606" w:type="dxa"/>
            <w:tcBorders>
              <w:top w:val="nil"/>
              <w:left w:val="nil"/>
              <w:bottom w:val="nil"/>
              <w:right w:val="single" w:sz="4" w:space="0" w:color="auto"/>
            </w:tcBorders>
          </w:tcPr>
          <w:p w14:paraId="0AEFCDFC" w14:textId="42E9FA2E" w:rsidR="000C58DC" w:rsidRPr="00DF2AC2" w:rsidRDefault="000C58DC" w:rsidP="000C58DC">
            <w:pPr>
              <w:spacing w:before="100" w:beforeAutospacing="1"/>
              <w:jc w:val="right"/>
              <w:rPr>
                <w:color w:val="000000"/>
                <w:sz w:val="18"/>
                <w:szCs w:val="20"/>
              </w:rPr>
            </w:pPr>
          </w:p>
        </w:tc>
      </w:tr>
      <w:tr w:rsidR="000C58DC" w:rsidRPr="00E80EE2" w14:paraId="5E376130" w14:textId="77777777" w:rsidTr="00522375">
        <w:trPr>
          <w:trHeight w:val="259"/>
        </w:trPr>
        <w:tc>
          <w:tcPr>
            <w:tcW w:w="3398" w:type="dxa"/>
            <w:tcBorders>
              <w:top w:val="nil"/>
              <w:left w:val="single" w:sz="4" w:space="0" w:color="auto"/>
              <w:bottom w:val="nil"/>
              <w:right w:val="nil"/>
            </w:tcBorders>
            <w:vAlign w:val="bottom"/>
          </w:tcPr>
          <w:p w14:paraId="45EA2BDE" w14:textId="77777777" w:rsidR="000C58DC" w:rsidRPr="00E80EE2" w:rsidRDefault="000C58DC" w:rsidP="000C58DC">
            <w:pPr>
              <w:rPr>
                <w:color w:val="000000"/>
                <w:sz w:val="18"/>
                <w:szCs w:val="20"/>
              </w:rPr>
            </w:pPr>
            <w:r w:rsidRPr="00E80EE2">
              <w:rPr>
                <w:color w:val="000000"/>
                <w:sz w:val="18"/>
                <w:szCs w:val="20"/>
              </w:rPr>
              <w:t>Other</w:t>
            </w:r>
          </w:p>
        </w:tc>
        <w:tc>
          <w:tcPr>
            <w:tcW w:w="1964" w:type="dxa"/>
            <w:tcBorders>
              <w:top w:val="nil"/>
              <w:left w:val="nil"/>
              <w:bottom w:val="single" w:sz="4" w:space="0" w:color="auto"/>
              <w:right w:val="nil"/>
            </w:tcBorders>
          </w:tcPr>
          <w:p w14:paraId="0CD18AEB" w14:textId="1CBBDA26" w:rsidR="000C58DC" w:rsidRPr="00F13682" w:rsidRDefault="000C58DC" w:rsidP="000C58DC">
            <w:pPr>
              <w:spacing w:before="100" w:beforeAutospacing="1"/>
              <w:jc w:val="right"/>
              <w:rPr>
                <w:color w:val="000000"/>
                <w:sz w:val="18"/>
                <w:szCs w:val="20"/>
              </w:rPr>
            </w:pPr>
            <w:r w:rsidRPr="00F13682">
              <w:rPr>
                <w:color w:val="000000"/>
                <w:sz w:val="18"/>
                <w:szCs w:val="20"/>
              </w:rPr>
              <w:t xml:space="preserve"> 1,269,087 </w:t>
            </w:r>
          </w:p>
        </w:tc>
        <w:tc>
          <w:tcPr>
            <w:tcW w:w="1551" w:type="dxa"/>
            <w:tcBorders>
              <w:top w:val="nil"/>
              <w:left w:val="nil"/>
              <w:bottom w:val="single" w:sz="4" w:space="0" w:color="auto"/>
              <w:right w:val="nil"/>
            </w:tcBorders>
          </w:tcPr>
          <w:p w14:paraId="5DCB0820" w14:textId="134B1EC7" w:rsidR="000C58DC" w:rsidRPr="00F13682" w:rsidRDefault="000C58DC" w:rsidP="000C58DC">
            <w:pPr>
              <w:spacing w:before="100" w:beforeAutospacing="1"/>
              <w:jc w:val="right"/>
              <w:rPr>
                <w:color w:val="000000"/>
                <w:sz w:val="18"/>
                <w:szCs w:val="20"/>
              </w:rPr>
            </w:pPr>
            <w:r w:rsidRPr="00F13682">
              <w:rPr>
                <w:color w:val="000000"/>
                <w:sz w:val="18"/>
                <w:szCs w:val="20"/>
              </w:rPr>
              <w:t xml:space="preserve"> 1,157,017 </w:t>
            </w:r>
          </w:p>
        </w:tc>
        <w:tc>
          <w:tcPr>
            <w:tcW w:w="1551" w:type="dxa"/>
            <w:tcBorders>
              <w:top w:val="nil"/>
              <w:left w:val="nil"/>
              <w:bottom w:val="single" w:sz="4" w:space="0" w:color="auto"/>
              <w:right w:val="nil"/>
            </w:tcBorders>
          </w:tcPr>
          <w:p w14:paraId="51039AA7" w14:textId="43E86C12" w:rsidR="000C58DC" w:rsidRPr="00F13682" w:rsidRDefault="000C58DC" w:rsidP="000C58DC">
            <w:pPr>
              <w:spacing w:before="100" w:beforeAutospacing="1"/>
              <w:jc w:val="right"/>
              <w:rPr>
                <w:color w:val="000000"/>
                <w:sz w:val="18"/>
                <w:szCs w:val="20"/>
              </w:rPr>
            </w:pPr>
          </w:p>
        </w:tc>
        <w:tc>
          <w:tcPr>
            <w:tcW w:w="1606" w:type="dxa"/>
            <w:tcBorders>
              <w:top w:val="nil"/>
              <w:left w:val="nil"/>
              <w:bottom w:val="single" w:sz="4" w:space="0" w:color="auto"/>
              <w:right w:val="single" w:sz="4" w:space="0" w:color="auto"/>
            </w:tcBorders>
          </w:tcPr>
          <w:p w14:paraId="33824AC3" w14:textId="252F8683" w:rsidR="000C58DC" w:rsidRPr="00F13682" w:rsidRDefault="000C58DC" w:rsidP="000C58DC">
            <w:pPr>
              <w:spacing w:before="100" w:beforeAutospacing="1"/>
              <w:jc w:val="right"/>
              <w:rPr>
                <w:color w:val="000000"/>
                <w:sz w:val="18"/>
                <w:szCs w:val="20"/>
              </w:rPr>
            </w:pPr>
          </w:p>
        </w:tc>
      </w:tr>
      <w:tr w:rsidR="000C58DC" w:rsidRPr="00E80EE2" w14:paraId="4E13F72F" w14:textId="77777777" w:rsidTr="00522375">
        <w:trPr>
          <w:trHeight w:val="259"/>
        </w:trPr>
        <w:tc>
          <w:tcPr>
            <w:tcW w:w="3398" w:type="dxa"/>
            <w:tcBorders>
              <w:top w:val="nil"/>
              <w:left w:val="single" w:sz="4" w:space="0" w:color="auto"/>
              <w:bottom w:val="single" w:sz="4" w:space="0" w:color="auto"/>
              <w:right w:val="nil"/>
            </w:tcBorders>
            <w:vAlign w:val="bottom"/>
          </w:tcPr>
          <w:p w14:paraId="0D9847FB" w14:textId="77777777" w:rsidR="000C58DC" w:rsidRPr="00E80EE2" w:rsidRDefault="000C58DC" w:rsidP="000C58DC">
            <w:pPr>
              <w:ind w:firstLineChars="100" w:firstLine="180"/>
              <w:rPr>
                <w:color w:val="000000"/>
                <w:sz w:val="18"/>
                <w:szCs w:val="20"/>
              </w:rPr>
            </w:pPr>
            <w:r w:rsidRPr="00E80EE2">
              <w:rPr>
                <w:color w:val="000000"/>
                <w:sz w:val="18"/>
                <w:szCs w:val="20"/>
              </w:rPr>
              <w:t>Total operating revenues</w:t>
            </w:r>
            <w:r w:rsidRPr="00E80EE2">
              <w:rPr>
                <w:color w:val="000000"/>
                <w:sz w:val="18"/>
                <w:szCs w:val="20"/>
              </w:rPr>
              <w:tab/>
            </w:r>
          </w:p>
        </w:tc>
        <w:tc>
          <w:tcPr>
            <w:tcW w:w="1964" w:type="dxa"/>
            <w:tcBorders>
              <w:top w:val="single" w:sz="4" w:space="0" w:color="auto"/>
              <w:left w:val="nil"/>
              <w:bottom w:val="single" w:sz="4" w:space="0" w:color="auto"/>
              <w:right w:val="nil"/>
            </w:tcBorders>
          </w:tcPr>
          <w:p w14:paraId="40414710" w14:textId="38F6431D" w:rsidR="000C58DC" w:rsidRPr="00E80EE2" w:rsidRDefault="000C58DC" w:rsidP="000C58DC">
            <w:pPr>
              <w:spacing w:before="100" w:beforeAutospacing="1"/>
              <w:jc w:val="right"/>
              <w:rPr>
                <w:color w:val="000000"/>
                <w:sz w:val="18"/>
                <w:szCs w:val="20"/>
              </w:rPr>
            </w:pPr>
            <w:r w:rsidRPr="00F13682">
              <w:rPr>
                <w:color w:val="000000"/>
                <w:sz w:val="18"/>
                <w:szCs w:val="20"/>
              </w:rPr>
              <w:t xml:space="preserve"> 324,424,668 </w:t>
            </w:r>
          </w:p>
        </w:tc>
        <w:tc>
          <w:tcPr>
            <w:tcW w:w="1551" w:type="dxa"/>
            <w:tcBorders>
              <w:top w:val="single" w:sz="4" w:space="0" w:color="auto"/>
              <w:left w:val="nil"/>
              <w:bottom w:val="single" w:sz="4" w:space="0" w:color="auto"/>
              <w:right w:val="nil"/>
            </w:tcBorders>
          </w:tcPr>
          <w:p w14:paraId="23501A9D" w14:textId="0213EB03" w:rsidR="000C58DC" w:rsidRPr="00E80EE2" w:rsidRDefault="000C58DC" w:rsidP="000C58DC">
            <w:pPr>
              <w:spacing w:before="100" w:beforeAutospacing="1"/>
              <w:jc w:val="right"/>
              <w:rPr>
                <w:color w:val="000000"/>
                <w:sz w:val="18"/>
                <w:szCs w:val="20"/>
              </w:rPr>
            </w:pPr>
            <w:r w:rsidRPr="00F13682">
              <w:rPr>
                <w:color w:val="000000"/>
                <w:sz w:val="18"/>
                <w:szCs w:val="20"/>
              </w:rPr>
              <w:t xml:space="preserve"> 352,703,836 </w:t>
            </w:r>
          </w:p>
        </w:tc>
        <w:tc>
          <w:tcPr>
            <w:tcW w:w="1551" w:type="dxa"/>
            <w:tcBorders>
              <w:top w:val="single" w:sz="4" w:space="0" w:color="auto"/>
              <w:left w:val="nil"/>
              <w:bottom w:val="single" w:sz="4" w:space="0" w:color="auto"/>
              <w:right w:val="nil"/>
            </w:tcBorders>
          </w:tcPr>
          <w:p w14:paraId="5319BECB" w14:textId="512B7202" w:rsidR="000C58DC" w:rsidRPr="008B6187" w:rsidRDefault="000C58DC" w:rsidP="000C58DC">
            <w:pPr>
              <w:spacing w:before="100" w:beforeAutospacing="1"/>
              <w:jc w:val="right"/>
              <w:rPr>
                <w:color w:val="000000"/>
                <w:sz w:val="18"/>
                <w:szCs w:val="20"/>
              </w:rPr>
            </w:pPr>
          </w:p>
        </w:tc>
        <w:tc>
          <w:tcPr>
            <w:tcW w:w="1606" w:type="dxa"/>
            <w:tcBorders>
              <w:top w:val="single" w:sz="4" w:space="0" w:color="auto"/>
              <w:left w:val="nil"/>
              <w:bottom w:val="single" w:sz="4" w:space="0" w:color="auto"/>
              <w:right w:val="single" w:sz="4" w:space="0" w:color="auto"/>
            </w:tcBorders>
          </w:tcPr>
          <w:p w14:paraId="21CB6E0F" w14:textId="2B48143A" w:rsidR="000C58DC" w:rsidRPr="00F13682" w:rsidRDefault="000C58DC" w:rsidP="000C58DC">
            <w:pPr>
              <w:spacing w:before="100" w:beforeAutospacing="1"/>
              <w:jc w:val="right"/>
              <w:rPr>
                <w:color w:val="000000"/>
                <w:sz w:val="18"/>
                <w:szCs w:val="20"/>
              </w:rPr>
            </w:pPr>
          </w:p>
        </w:tc>
      </w:tr>
      <w:tr w:rsidR="000C58DC" w:rsidRPr="00E80EE2" w14:paraId="559EE5B3" w14:textId="77777777" w:rsidTr="00F13682">
        <w:trPr>
          <w:trHeight w:val="259"/>
        </w:trPr>
        <w:tc>
          <w:tcPr>
            <w:tcW w:w="3398" w:type="dxa"/>
            <w:tcBorders>
              <w:top w:val="single" w:sz="4" w:space="0" w:color="auto"/>
              <w:left w:val="single" w:sz="4" w:space="0" w:color="auto"/>
              <w:bottom w:val="single" w:sz="4" w:space="0" w:color="auto"/>
              <w:right w:val="single" w:sz="4" w:space="0" w:color="auto"/>
            </w:tcBorders>
            <w:shd w:val="clear" w:color="auto" w:fill="000080"/>
          </w:tcPr>
          <w:p w14:paraId="6EFEA66E" w14:textId="77777777" w:rsidR="000C58DC" w:rsidRPr="00E80EE2" w:rsidRDefault="000C58DC" w:rsidP="000C58DC">
            <w:pPr>
              <w:keepNext/>
              <w:jc w:val="both"/>
              <w:rPr>
                <w:b/>
                <w:bCs/>
                <w:color w:val="FFFFFF"/>
                <w:sz w:val="20"/>
              </w:rPr>
            </w:pPr>
            <w:r w:rsidRPr="00E80EE2">
              <w:rPr>
                <w:b/>
                <w:bCs/>
                <w:color w:val="FFFFFF"/>
                <w:sz w:val="20"/>
              </w:rPr>
              <w:t>Operating Expenses</w:t>
            </w:r>
          </w:p>
        </w:tc>
        <w:tc>
          <w:tcPr>
            <w:tcW w:w="1964" w:type="dxa"/>
            <w:tcBorders>
              <w:top w:val="single" w:sz="4" w:space="0" w:color="auto"/>
              <w:left w:val="single" w:sz="4" w:space="0" w:color="auto"/>
              <w:bottom w:val="single" w:sz="4" w:space="0" w:color="auto"/>
              <w:right w:val="single" w:sz="4" w:space="0" w:color="auto"/>
            </w:tcBorders>
            <w:shd w:val="clear" w:color="auto" w:fill="000080"/>
          </w:tcPr>
          <w:p w14:paraId="6933A40D" w14:textId="41019A43" w:rsidR="000C58DC" w:rsidRPr="00E80EE2" w:rsidRDefault="000C58DC" w:rsidP="000C58DC">
            <w:pPr>
              <w:keepNext/>
              <w:jc w:val="right"/>
              <w:rPr>
                <w:b/>
                <w:bCs/>
                <w:color w:val="FFFFFF"/>
                <w:sz w:val="20"/>
              </w:rPr>
            </w:pPr>
            <w:r>
              <w:rPr>
                <w:b/>
                <w:bCs/>
                <w:color w:val="FFFFFF"/>
                <w:sz w:val="20"/>
              </w:rPr>
              <w:t>FY 2022- restated</w:t>
            </w:r>
          </w:p>
        </w:tc>
        <w:tc>
          <w:tcPr>
            <w:tcW w:w="1551" w:type="dxa"/>
            <w:tcBorders>
              <w:top w:val="single" w:sz="4" w:space="0" w:color="auto"/>
              <w:left w:val="single" w:sz="4" w:space="0" w:color="auto"/>
              <w:bottom w:val="single" w:sz="4" w:space="0" w:color="auto"/>
              <w:right w:val="single" w:sz="4" w:space="0" w:color="auto"/>
            </w:tcBorders>
            <w:shd w:val="clear" w:color="auto" w:fill="000080"/>
          </w:tcPr>
          <w:p w14:paraId="7D2963A1" w14:textId="76AF1A33" w:rsidR="000C58DC" w:rsidRPr="00E80EE2" w:rsidRDefault="000C58DC" w:rsidP="000C58DC">
            <w:pPr>
              <w:keepNext/>
              <w:jc w:val="right"/>
              <w:rPr>
                <w:b/>
                <w:bCs/>
                <w:color w:val="FFFFFF"/>
                <w:sz w:val="20"/>
              </w:rPr>
            </w:pPr>
            <w:r>
              <w:rPr>
                <w:b/>
                <w:bCs/>
                <w:color w:val="FFFFFF"/>
                <w:sz w:val="20"/>
              </w:rPr>
              <w:t>FY 2023</w:t>
            </w:r>
          </w:p>
        </w:tc>
        <w:tc>
          <w:tcPr>
            <w:tcW w:w="1551" w:type="dxa"/>
            <w:tcBorders>
              <w:top w:val="single" w:sz="4" w:space="0" w:color="auto"/>
              <w:left w:val="single" w:sz="4" w:space="0" w:color="auto"/>
              <w:bottom w:val="single" w:sz="4" w:space="0" w:color="auto"/>
              <w:right w:val="single" w:sz="4" w:space="0" w:color="auto"/>
            </w:tcBorders>
            <w:shd w:val="clear" w:color="auto" w:fill="000080"/>
          </w:tcPr>
          <w:p w14:paraId="37E020AF" w14:textId="5CAB2151" w:rsidR="000C58DC" w:rsidRPr="00E80EE2" w:rsidRDefault="000C58DC" w:rsidP="000C58DC">
            <w:pPr>
              <w:keepNext/>
              <w:jc w:val="right"/>
              <w:rPr>
                <w:b/>
                <w:bCs/>
                <w:color w:val="FFFFFF"/>
                <w:sz w:val="20"/>
              </w:rPr>
            </w:pPr>
            <w:r>
              <w:rPr>
                <w:b/>
                <w:bCs/>
                <w:color w:val="FFFFFF"/>
                <w:sz w:val="20"/>
              </w:rPr>
              <w:t>FY 2024*</w:t>
            </w:r>
          </w:p>
        </w:tc>
        <w:tc>
          <w:tcPr>
            <w:tcW w:w="1606" w:type="dxa"/>
            <w:tcBorders>
              <w:top w:val="single" w:sz="4" w:space="0" w:color="auto"/>
              <w:left w:val="single" w:sz="4" w:space="0" w:color="auto"/>
              <w:bottom w:val="single" w:sz="4" w:space="0" w:color="auto"/>
              <w:right w:val="single" w:sz="4" w:space="0" w:color="auto"/>
            </w:tcBorders>
            <w:shd w:val="clear" w:color="auto" w:fill="000080"/>
          </w:tcPr>
          <w:p w14:paraId="21B647E7" w14:textId="5783BEBE" w:rsidR="000C58DC" w:rsidRPr="00E80EE2" w:rsidRDefault="000C58DC" w:rsidP="000C58DC">
            <w:pPr>
              <w:keepNext/>
              <w:jc w:val="right"/>
              <w:rPr>
                <w:b/>
                <w:bCs/>
                <w:color w:val="FFFFFF"/>
                <w:sz w:val="20"/>
              </w:rPr>
            </w:pPr>
            <w:r>
              <w:rPr>
                <w:b/>
                <w:bCs/>
                <w:color w:val="FFFFFF"/>
                <w:sz w:val="20"/>
              </w:rPr>
              <w:t>FY 2025</w:t>
            </w:r>
          </w:p>
        </w:tc>
      </w:tr>
      <w:tr w:rsidR="000C58DC" w:rsidRPr="00E80EE2" w14:paraId="2603DD53" w14:textId="77777777" w:rsidTr="00522375">
        <w:trPr>
          <w:trHeight w:val="259"/>
        </w:trPr>
        <w:tc>
          <w:tcPr>
            <w:tcW w:w="3398" w:type="dxa"/>
            <w:tcBorders>
              <w:top w:val="single" w:sz="4" w:space="0" w:color="auto"/>
              <w:left w:val="single" w:sz="4" w:space="0" w:color="auto"/>
              <w:bottom w:val="nil"/>
              <w:right w:val="nil"/>
            </w:tcBorders>
          </w:tcPr>
          <w:p w14:paraId="4BDEEAE7" w14:textId="77777777" w:rsidR="000C58DC" w:rsidRPr="00E80EE2" w:rsidRDefault="000C58DC" w:rsidP="000C58DC">
            <w:pPr>
              <w:keepNext/>
              <w:rPr>
                <w:sz w:val="18"/>
                <w:szCs w:val="20"/>
              </w:rPr>
            </w:pPr>
            <w:r w:rsidRPr="00E80EE2">
              <w:rPr>
                <w:sz w:val="18"/>
                <w:szCs w:val="20"/>
              </w:rPr>
              <w:t>Instruction</w:t>
            </w:r>
          </w:p>
        </w:tc>
        <w:tc>
          <w:tcPr>
            <w:tcW w:w="1964" w:type="dxa"/>
            <w:tcBorders>
              <w:top w:val="single" w:sz="4" w:space="0" w:color="auto"/>
              <w:left w:val="nil"/>
              <w:bottom w:val="nil"/>
              <w:right w:val="nil"/>
            </w:tcBorders>
          </w:tcPr>
          <w:p w14:paraId="79585698" w14:textId="6643FCE4" w:rsidR="000C58DC" w:rsidRPr="00E80EE2" w:rsidRDefault="000C58DC" w:rsidP="000C58DC">
            <w:pPr>
              <w:keepNext/>
              <w:jc w:val="right"/>
              <w:rPr>
                <w:sz w:val="18"/>
                <w:szCs w:val="20"/>
              </w:rPr>
            </w:pPr>
            <w:r w:rsidRPr="00F13682">
              <w:rPr>
                <w:color w:val="000000"/>
                <w:sz w:val="18"/>
                <w:szCs w:val="20"/>
              </w:rPr>
              <w:t xml:space="preserve"> 135,773,90</w:t>
            </w:r>
            <w:r>
              <w:rPr>
                <w:color w:val="000000"/>
                <w:sz w:val="18"/>
                <w:szCs w:val="20"/>
              </w:rPr>
              <w:t>3</w:t>
            </w:r>
            <w:r w:rsidRPr="00F13682">
              <w:rPr>
                <w:color w:val="000000"/>
                <w:sz w:val="18"/>
                <w:szCs w:val="20"/>
              </w:rPr>
              <w:t xml:space="preserve"> </w:t>
            </w:r>
          </w:p>
        </w:tc>
        <w:tc>
          <w:tcPr>
            <w:tcW w:w="1551" w:type="dxa"/>
            <w:tcBorders>
              <w:top w:val="single" w:sz="4" w:space="0" w:color="auto"/>
              <w:left w:val="nil"/>
              <w:bottom w:val="nil"/>
              <w:right w:val="nil"/>
            </w:tcBorders>
          </w:tcPr>
          <w:p w14:paraId="4CFEFC48" w14:textId="7B72A5E9" w:rsidR="000C58DC" w:rsidRPr="00F13682" w:rsidRDefault="000C58DC" w:rsidP="000C58DC">
            <w:pPr>
              <w:keepNext/>
              <w:jc w:val="right"/>
              <w:rPr>
                <w:color w:val="000000"/>
                <w:sz w:val="18"/>
                <w:szCs w:val="20"/>
              </w:rPr>
            </w:pPr>
            <w:r w:rsidRPr="00F13682">
              <w:rPr>
                <w:color w:val="000000"/>
                <w:sz w:val="18"/>
                <w:szCs w:val="20"/>
              </w:rPr>
              <w:t xml:space="preserve"> 156,004,1</w:t>
            </w:r>
            <w:r>
              <w:rPr>
                <w:color w:val="000000"/>
                <w:sz w:val="18"/>
                <w:szCs w:val="20"/>
              </w:rPr>
              <w:t>1</w:t>
            </w:r>
            <w:r w:rsidRPr="00F13682">
              <w:rPr>
                <w:color w:val="000000"/>
                <w:sz w:val="18"/>
                <w:szCs w:val="20"/>
              </w:rPr>
              <w:t xml:space="preserve">0 </w:t>
            </w:r>
          </w:p>
        </w:tc>
        <w:tc>
          <w:tcPr>
            <w:tcW w:w="1551" w:type="dxa"/>
            <w:tcBorders>
              <w:top w:val="single" w:sz="4" w:space="0" w:color="auto"/>
              <w:left w:val="nil"/>
              <w:bottom w:val="nil"/>
              <w:right w:val="nil"/>
            </w:tcBorders>
          </w:tcPr>
          <w:p w14:paraId="6D2121C2" w14:textId="7853E582" w:rsidR="000C58DC" w:rsidRPr="00FA1C0C" w:rsidRDefault="000C58DC" w:rsidP="000C58DC">
            <w:pPr>
              <w:keepNext/>
              <w:jc w:val="right"/>
              <w:rPr>
                <w:color w:val="000000"/>
                <w:sz w:val="18"/>
                <w:szCs w:val="20"/>
              </w:rPr>
            </w:pPr>
          </w:p>
        </w:tc>
        <w:tc>
          <w:tcPr>
            <w:tcW w:w="1606" w:type="dxa"/>
            <w:tcBorders>
              <w:top w:val="single" w:sz="4" w:space="0" w:color="auto"/>
              <w:left w:val="nil"/>
              <w:bottom w:val="nil"/>
              <w:right w:val="single" w:sz="4" w:space="0" w:color="auto"/>
            </w:tcBorders>
            <w:shd w:val="clear" w:color="auto" w:fill="auto"/>
          </w:tcPr>
          <w:p w14:paraId="6F7611FF" w14:textId="475D0DA6" w:rsidR="000C58DC" w:rsidRPr="00FA1C0C" w:rsidRDefault="000C58DC" w:rsidP="000C58DC">
            <w:pPr>
              <w:keepNext/>
              <w:jc w:val="right"/>
              <w:rPr>
                <w:color w:val="000000"/>
                <w:sz w:val="18"/>
                <w:szCs w:val="20"/>
              </w:rPr>
            </w:pPr>
          </w:p>
        </w:tc>
      </w:tr>
      <w:tr w:rsidR="000C58DC" w:rsidRPr="00E80EE2" w14:paraId="2A50A79C" w14:textId="77777777" w:rsidTr="00522375">
        <w:trPr>
          <w:trHeight w:val="259"/>
        </w:trPr>
        <w:tc>
          <w:tcPr>
            <w:tcW w:w="3398" w:type="dxa"/>
            <w:tcBorders>
              <w:top w:val="nil"/>
              <w:left w:val="single" w:sz="4" w:space="0" w:color="auto"/>
              <w:bottom w:val="nil"/>
              <w:right w:val="nil"/>
            </w:tcBorders>
          </w:tcPr>
          <w:p w14:paraId="1A773A35" w14:textId="6396A9CD" w:rsidR="000C58DC" w:rsidRPr="00E80EE2" w:rsidRDefault="000C58DC" w:rsidP="000C58DC">
            <w:pPr>
              <w:keepNext/>
              <w:rPr>
                <w:sz w:val="18"/>
                <w:szCs w:val="20"/>
              </w:rPr>
            </w:pPr>
            <w:r w:rsidRPr="00E80EE2">
              <w:rPr>
                <w:sz w:val="18"/>
                <w:szCs w:val="20"/>
              </w:rPr>
              <w:t>Research</w:t>
            </w:r>
          </w:p>
        </w:tc>
        <w:tc>
          <w:tcPr>
            <w:tcW w:w="1964" w:type="dxa"/>
            <w:tcBorders>
              <w:top w:val="nil"/>
              <w:left w:val="nil"/>
              <w:bottom w:val="nil"/>
              <w:right w:val="nil"/>
            </w:tcBorders>
          </w:tcPr>
          <w:p w14:paraId="6B00CFFA" w14:textId="0E5DBB3A" w:rsidR="000C58DC" w:rsidRPr="005E28E7" w:rsidRDefault="000C58DC" w:rsidP="000C58DC">
            <w:pPr>
              <w:keepNext/>
              <w:jc w:val="right"/>
              <w:rPr>
                <w:sz w:val="18"/>
                <w:szCs w:val="20"/>
              </w:rPr>
            </w:pPr>
            <w:r w:rsidRPr="00F13682">
              <w:rPr>
                <w:color w:val="000000"/>
                <w:sz w:val="18"/>
                <w:szCs w:val="20"/>
              </w:rPr>
              <w:t xml:space="preserve"> 44,349,101 </w:t>
            </w:r>
          </w:p>
        </w:tc>
        <w:tc>
          <w:tcPr>
            <w:tcW w:w="1551" w:type="dxa"/>
            <w:tcBorders>
              <w:top w:val="nil"/>
              <w:left w:val="nil"/>
              <w:bottom w:val="nil"/>
              <w:right w:val="nil"/>
            </w:tcBorders>
          </w:tcPr>
          <w:p w14:paraId="1937AA06" w14:textId="1F320A5A" w:rsidR="000C58DC" w:rsidRPr="00F13682" w:rsidRDefault="000C58DC" w:rsidP="000C58DC">
            <w:pPr>
              <w:keepNext/>
              <w:jc w:val="right"/>
              <w:rPr>
                <w:color w:val="000000"/>
                <w:sz w:val="18"/>
                <w:szCs w:val="20"/>
              </w:rPr>
            </w:pPr>
            <w:r w:rsidRPr="00F13682">
              <w:rPr>
                <w:color w:val="000000"/>
                <w:sz w:val="18"/>
                <w:szCs w:val="20"/>
              </w:rPr>
              <w:t xml:space="preserve"> 44,895,465 </w:t>
            </w:r>
          </w:p>
        </w:tc>
        <w:tc>
          <w:tcPr>
            <w:tcW w:w="1551" w:type="dxa"/>
            <w:tcBorders>
              <w:top w:val="nil"/>
              <w:left w:val="nil"/>
              <w:bottom w:val="nil"/>
              <w:right w:val="nil"/>
            </w:tcBorders>
          </w:tcPr>
          <w:p w14:paraId="078279EE" w14:textId="5DC3E008" w:rsidR="000C58DC" w:rsidRPr="00FA1C0C"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338C5975" w14:textId="57E17C49" w:rsidR="000C58DC" w:rsidRPr="00FA1C0C" w:rsidRDefault="000C58DC" w:rsidP="000C58DC">
            <w:pPr>
              <w:keepNext/>
              <w:jc w:val="right"/>
              <w:rPr>
                <w:color w:val="000000"/>
                <w:sz w:val="18"/>
                <w:szCs w:val="20"/>
              </w:rPr>
            </w:pPr>
          </w:p>
        </w:tc>
      </w:tr>
      <w:tr w:rsidR="000C58DC" w:rsidRPr="00E80EE2" w14:paraId="7AE5A62B" w14:textId="77777777" w:rsidTr="00522375">
        <w:trPr>
          <w:trHeight w:val="259"/>
        </w:trPr>
        <w:tc>
          <w:tcPr>
            <w:tcW w:w="3398" w:type="dxa"/>
            <w:tcBorders>
              <w:top w:val="nil"/>
              <w:left w:val="single" w:sz="4" w:space="0" w:color="auto"/>
              <w:bottom w:val="nil"/>
              <w:right w:val="nil"/>
            </w:tcBorders>
          </w:tcPr>
          <w:p w14:paraId="2102264A" w14:textId="0C192CCB" w:rsidR="000C58DC" w:rsidRPr="00E80EE2" w:rsidRDefault="000C58DC" w:rsidP="000C58DC">
            <w:pPr>
              <w:keepNext/>
              <w:rPr>
                <w:sz w:val="18"/>
                <w:szCs w:val="20"/>
              </w:rPr>
            </w:pPr>
            <w:r w:rsidRPr="00E80EE2">
              <w:rPr>
                <w:sz w:val="18"/>
                <w:szCs w:val="20"/>
              </w:rPr>
              <w:t>Public Service</w:t>
            </w:r>
          </w:p>
        </w:tc>
        <w:tc>
          <w:tcPr>
            <w:tcW w:w="1964" w:type="dxa"/>
            <w:tcBorders>
              <w:top w:val="nil"/>
              <w:left w:val="nil"/>
              <w:bottom w:val="nil"/>
              <w:right w:val="nil"/>
            </w:tcBorders>
          </w:tcPr>
          <w:p w14:paraId="6A83A2C5" w14:textId="62759331" w:rsidR="000C58DC" w:rsidRPr="005E28E7" w:rsidRDefault="000C58DC" w:rsidP="000C58DC">
            <w:pPr>
              <w:keepNext/>
              <w:jc w:val="right"/>
              <w:rPr>
                <w:sz w:val="18"/>
                <w:szCs w:val="20"/>
              </w:rPr>
            </w:pPr>
            <w:r w:rsidRPr="00F13682">
              <w:rPr>
                <w:color w:val="000000"/>
                <w:sz w:val="18"/>
                <w:szCs w:val="20"/>
              </w:rPr>
              <w:t xml:space="preserve"> 30,334,370 </w:t>
            </w:r>
          </w:p>
        </w:tc>
        <w:tc>
          <w:tcPr>
            <w:tcW w:w="1551" w:type="dxa"/>
            <w:tcBorders>
              <w:top w:val="nil"/>
              <w:left w:val="nil"/>
              <w:bottom w:val="nil"/>
              <w:right w:val="nil"/>
            </w:tcBorders>
          </w:tcPr>
          <w:p w14:paraId="5708611E" w14:textId="3C7E3BE2" w:rsidR="000C58DC" w:rsidRPr="00F13682" w:rsidRDefault="000C58DC" w:rsidP="000C58DC">
            <w:pPr>
              <w:keepNext/>
              <w:jc w:val="right"/>
              <w:rPr>
                <w:color w:val="000000"/>
                <w:sz w:val="18"/>
                <w:szCs w:val="20"/>
              </w:rPr>
            </w:pPr>
            <w:r w:rsidRPr="00F13682">
              <w:rPr>
                <w:color w:val="000000"/>
                <w:sz w:val="18"/>
                <w:szCs w:val="20"/>
              </w:rPr>
              <w:t xml:space="preserve"> 29,906,090 </w:t>
            </w:r>
          </w:p>
        </w:tc>
        <w:tc>
          <w:tcPr>
            <w:tcW w:w="1551" w:type="dxa"/>
            <w:tcBorders>
              <w:top w:val="nil"/>
              <w:left w:val="nil"/>
              <w:bottom w:val="nil"/>
              <w:right w:val="nil"/>
            </w:tcBorders>
          </w:tcPr>
          <w:p w14:paraId="778297E8" w14:textId="51CC316E" w:rsidR="000C58DC" w:rsidRPr="00FA1C0C"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680AA194" w14:textId="0069D457" w:rsidR="000C58DC" w:rsidRPr="00F13682" w:rsidRDefault="000C58DC" w:rsidP="000C58DC">
            <w:pPr>
              <w:keepNext/>
              <w:jc w:val="right"/>
              <w:rPr>
                <w:color w:val="000000"/>
                <w:sz w:val="18"/>
                <w:szCs w:val="20"/>
              </w:rPr>
            </w:pPr>
          </w:p>
        </w:tc>
      </w:tr>
      <w:tr w:rsidR="000C58DC" w:rsidRPr="00E80EE2" w14:paraId="4CEA1F9F" w14:textId="77777777" w:rsidTr="00522375">
        <w:trPr>
          <w:trHeight w:val="259"/>
        </w:trPr>
        <w:tc>
          <w:tcPr>
            <w:tcW w:w="3398" w:type="dxa"/>
            <w:tcBorders>
              <w:top w:val="nil"/>
              <w:left w:val="single" w:sz="4" w:space="0" w:color="auto"/>
              <w:bottom w:val="nil"/>
              <w:right w:val="nil"/>
            </w:tcBorders>
          </w:tcPr>
          <w:p w14:paraId="51B15188" w14:textId="06C16EE4" w:rsidR="000C58DC" w:rsidRPr="00E80EE2" w:rsidRDefault="000C58DC" w:rsidP="000C58DC">
            <w:pPr>
              <w:rPr>
                <w:sz w:val="18"/>
                <w:szCs w:val="20"/>
              </w:rPr>
            </w:pPr>
            <w:r w:rsidRPr="00E80EE2">
              <w:rPr>
                <w:sz w:val="18"/>
                <w:szCs w:val="20"/>
              </w:rPr>
              <w:t>Libraries</w:t>
            </w:r>
          </w:p>
        </w:tc>
        <w:tc>
          <w:tcPr>
            <w:tcW w:w="1964" w:type="dxa"/>
            <w:tcBorders>
              <w:top w:val="nil"/>
              <w:left w:val="nil"/>
              <w:bottom w:val="nil"/>
              <w:right w:val="nil"/>
            </w:tcBorders>
          </w:tcPr>
          <w:p w14:paraId="1A91A7B9" w14:textId="592FF5CA" w:rsidR="000C58DC" w:rsidRPr="005E28E7" w:rsidRDefault="000C58DC" w:rsidP="000C58DC">
            <w:pPr>
              <w:jc w:val="right"/>
              <w:rPr>
                <w:sz w:val="18"/>
                <w:szCs w:val="20"/>
              </w:rPr>
            </w:pPr>
            <w:r w:rsidRPr="00F13682">
              <w:rPr>
                <w:color w:val="000000"/>
                <w:sz w:val="18"/>
                <w:szCs w:val="20"/>
              </w:rPr>
              <w:t xml:space="preserve"> 5,900,964 </w:t>
            </w:r>
          </w:p>
        </w:tc>
        <w:tc>
          <w:tcPr>
            <w:tcW w:w="1551" w:type="dxa"/>
            <w:tcBorders>
              <w:top w:val="nil"/>
              <w:left w:val="nil"/>
              <w:bottom w:val="nil"/>
              <w:right w:val="nil"/>
            </w:tcBorders>
          </w:tcPr>
          <w:p w14:paraId="60DC2B76" w14:textId="1A40D81D" w:rsidR="000C58DC" w:rsidRPr="00F13682" w:rsidRDefault="000C58DC" w:rsidP="000C58DC">
            <w:pPr>
              <w:keepNext/>
              <w:jc w:val="right"/>
              <w:rPr>
                <w:color w:val="000000"/>
                <w:sz w:val="18"/>
                <w:szCs w:val="20"/>
              </w:rPr>
            </w:pPr>
            <w:r w:rsidRPr="00F13682">
              <w:rPr>
                <w:color w:val="000000"/>
                <w:sz w:val="18"/>
                <w:szCs w:val="20"/>
              </w:rPr>
              <w:t xml:space="preserve"> 6,208,248 </w:t>
            </w:r>
          </w:p>
        </w:tc>
        <w:tc>
          <w:tcPr>
            <w:tcW w:w="1551" w:type="dxa"/>
            <w:tcBorders>
              <w:top w:val="nil"/>
              <w:left w:val="nil"/>
              <w:bottom w:val="nil"/>
              <w:right w:val="nil"/>
            </w:tcBorders>
          </w:tcPr>
          <w:p w14:paraId="797C441A" w14:textId="44AF9505" w:rsidR="000C58DC" w:rsidRPr="00FA1C0C"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2F4D8B6A" w14:textId="7703BC95" w:rsidR="000C58DC" w:rsidRPr="00F13682" w:rsidRDefault="000C58DC" w:rsidP="000C58DC">
            <w:pPr>
              <w:keepNext/>
              <w:jc w:val="right"/>
              <w:rPr>
                <w:color w:val="000000"/>
                <w:sz w:val="18"/>
                <w:szCs w:val="20"/>
              </w:rPr>
            </w:pPr>
          </w:p>
        </w:tc>
      </w:tr>
      <w:tr w:rsidR="000C58DC" w:rsidRPr="00E80EE2" w14:paraId="5C702B6E" w14:textId="77777777" w:rsidTr="00522375">
        <w:trPr>
          <w:trHeight w:val="259"/>
        </w:trPr>
        <w:tc>
          <w:tcPr>
            <w:tcW w:w="3398" w:type="dxa"/>
            <w:tcBorders>
              <w:top w:val="nil"/>
              <w:left w:val="single" w:sz="4" w:space="0" w:color="auto"/>
              <w:bottom w:val="nil"/>
              <w:right w:val="nil"/>
            </w:tcBorders>
          </w:tcPr>
          <w:p w14:paraId="32005F73" w14:textId="77777777" w:rsidR="000C58DC" w:rsidRPr="00E80EE2" w:rsidRDefault="000C58DC" w:rsidP="000C58DC">
            <w:pPr>
              <w:rPr>
                <w:sz w:val="18"/>
                <w:szCs w:val="20"/>
              </w:rPr>
            </w:pPr>
            <w:r w:rsidRPr="00E80EE2">
              <w:rPr>
                <w:sz w:val="18"/>
                <w:szCs w:val="20"/>
              </w:rPr>
              <w:t>Student Services</w:t>
            </w:r>
          </w:p>
        </w:tc>
        <w:tc>
          <w:tcPr>
            <w:tcW w:w="1964" w:type="dxa"/>
            <w:tcBorders>
              <w:top w:val="nil"/>
              <w:left w:val="nil"/>
              <w:bottom w:val="nil"/>
              <w:right w:val="nil"/>
            </w:tcBorders>
          </w:tcPr>
          <w:p w14:paraId="09ECD8D5" w14:textId="2DC64F69" w:rsidR="000C58DC" w:rsidRPr="00E80EE2" w:rsidRDefault="000C58DC" w:rsidP="000C58DC">
            <w:pPr>
              <w:jc w:val="right"/>
              <w:rPr>
                <w:sz w:val="18"/>
                <w:szCs w:val="20"/>
              </w:rPr>
            </w:pPr>
            <w:r w:rsidRPr="00F13682">
              <w:rPr>
                <w:color w:val="000000"/>
                <w:sz w:val="18"/>
                <w:szCs w:val="20"/>
              </w:rPr>
              <w:t xml:space="preserve"> 20,111,400 </w:t>
            </w:r>
          </w:p>
        </w:tc>
        <w:tc>
          <w:tcPr>
            <w:tcW w:w="1551" w:type="dxa"/>
            <w:tcBorders>
              <w:top w:val="nil"/>
              <w:left w:val="nil"/>
              <w:bottom w:val="nil"/>
              <w:right w:val="nil"/>
            </w:tcBorders>
          </w:tcPr>
          <w:p w14:paraId="5E470E89" w14:textId="7C3B42E8" w:rsidR="000C58DC" w:rsidRPr="00F13682" w:rsidRDefault="000C58DC" w:rsidP="000C58DC">
            <w:pPr>
              <w:keepNext/>
              <w:jc w:val="right"/>
              <w:rPr>
                <w:color w:val="000000"/>
                <w:sz w:val="18"/>
                <w:szCs w:val="20"/>
              </w:rPr>
            </w:pPr>
            <w:r w:rsidRPr="00F13682">
              <w:rPr>
                <w:color w:val="000000"/>
                <w:sz w:val="18"/>
                <w:szCs w:val="20"/>
              </w:rPr>
              <w:t xml:space="preserve"> 23,780,152 </w:t>
            </w:r>
          </w:p>
        </w:tc>
        <w:tc>
          <w:tcPr>
            <w:tcW w:w="1551" w:type="dxa"/>
            <w:tcBorders>
              <w:top w:val="nil"/>
              <w:left w:val="nil"/>
              <w:bottom w:val="nil"/>
              <w:right w:val="nil"/>
            </w:tcBorders>
          </w:tcPr>
          <w:p w14:paraId="67058F95" w14:textId="0882B38C" w:rsidR="000C58DC" w:rsidRPr="00F13682"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0E1BF628" w14:textId="65669C0F" w:rsidR="000C58DC" w:rsidRPr="00F13682" w:rsidRDefault="000C58DC" w:rsidP="000C58DC">
            <w:pPr>
              <w:keepNext/>
              <w:jc w:val="right"/>
              <w:rPr>
                <w:color w:val="000000"/>
                <w:sz w:val="18"/>
                <w:szCs w:val="20"/>
              </w:rPr>
            </w:pPr>
          </w:p>
        </w:tc>
      </w:tr>
      <w:tr w:rsidR="000C58DC" w:rsidRPr="00E80EE2" w14:paraId="7B51DCCC" w14:textId="77777777" w:rsidTr="00522375">
        <w:trPr>
          <w:trHeight w:val="259"/>
        </w:trPr>
        <w:tc>
          <w:tcPr>
            <w:tcW w:w="3398" w:type="dxa"/>
            <w:tcBorders>
              <w:top w:val="nil"/>
              <w:left w:val="single" w:sz="4" w:space="0" w:color="auto"/>
              <w:bottom w:val="nil"/>
              <w:right w:val="nil"/>
            </w:tcBorders>
          </w:tcPr>
          <w:p w14:paraId="563EF998" w14:textId="77777777" w:rsidR="000C58DC" w:rsidRPr="00E80EE2" w:rsidRDefault="000C58DC" w:rsidP="000C58DC">
            <w:pPr>
              <w:rPr>
                <w:sz w:val="18"/>
                <w:szCs w:val="20"/>
              </w:rPr>
            </w:pPr>
            <w:r w:rsidRPr="00E80EE2">
              <w:rPr>
                <w:sz w:val="18"/>
                <w:szCs w:val="20"/>
              </w:rPr>
              <w:t>Operation &amp; Maintenance of plant</w:t>
            </w:r>
          </w:p>
        </w:tc>
        <w:tc>
          <w:tcPr>
            <w:tcW w:w="1964" w:type="dxa"/>
            <w:tcBorders>
              <w:top w:val="nil"/>
              <w:left w:val="nil"/>
              <w:bottom w:val="nil"/>
              <w:right w:val="nil"/>
            </w:tcBorders>
          </w:tcPr>
          <w:p w14:paraId="63D5FF5E" w14:textId="317C2411" w:rsidR="000C58DC" w:rsidRPr="00E80EE2" w:rsidRDefault="000C58DC" w:rsidP="000C58DC">
            <w:pPr>
              <w:jc w:val="right"/>
              <w:rPr>
                <w:sz w:val="18"/>
                <w:szCs w:val="20"/>
              </w:rPr>
            </w:pPr>
            <w:r w:rsidRPr="00F13682">
              <w:rPr>
                <w:color w:val="000000"/>
                <w:sz w:val="18"/>
                <w:szCs w:val="20"/>
              </w:rPr>
              <w:t xml:space="preserve"> 27,939,128 </w:t>
            </w:r>
          </w:p>
        </w:tc>
        <w:tc>
          <w:tcPr>
            <w:tcW w:w="1551" w:type="dxa"/>
            <w:tcBorders>
              <w:top w:val="nil"/>
              <w:left w:val="nil"/>
              <w:bottom w:val="nil"/>
              <w:right w:val="nil"/>
            </w:tcBorders>
          </w:tcPr>
          <w:p w14:paraId="23B2B289" w14:textId="16C73244" w:rsidR="000C58DC" w:rsidRPr="00F13682" w:rsidRDefault="000C58DC" w:rsidP="000C58DC">
            <w:pPr>
              <w:keepNext/>
              <w:jc w:val="right"/>
              <w:rPr>
                <w:color w:val="000000"/>
                <w:sz w:val="18"/>
                <w:szCs w:val="20"/>
              </w:rPr>
            </w:pPr>
            <w:r w:rsidRPr="00F13682">
              <w:rPr>
                <w:color w:val="000000"/>
                <w:sz w:val="18"/>
                <w:szCs w:val="20"/>
              </w:rPr>
              <w:t xml:space="preserve"> 35,004,584 </w:t>
            </w:r>
          </w:p>
        </w:tc>
        <w:tc>
          <w:tcPr>
            <w:tcW w:w="1551" w:type="dxa"/>
            <w:tcBorders>
              <w:top w:val="nil"/>
              <w:left w:val="nil"/>
              <w:bottom w:val="nil"/>
              <w:right w:val="nil"/>
            </w:tcBorders>
          </w:tcPr>
          <w:p w14:paraId="1977EF23" w14:textId="72E00CD4" w:rsidR="000C58DC" w:rsidRPr="00F13682"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09392FDD" w14:textId="2C7DE44F" w:rsidR="000C58DC" w:rsidRPr="00F13682" w:rsidRDefault="000C58DC" w:rsidP="000C58DC">
            <w:pPr>
              <w:keepNext/>
              <w:jc w:val="right"/>
              <w:rPr>
                <w:color w:val="000000"/>
                <w:sz w:val="18"/>
                <w:szCs w:val="20"/>
              </w:rPr>
            </w:pPr>
          </w:p>
        </w:tc>
      </w:tr>
      <w:tr w:rsidR="000C58DC" w:rsidRPr="00E80EE2" w14:paraId="5601C7A7" w14:textId="77777777" w:rsidTr="00522375">
        <w:trPr>
          <w:trHeight w:val="259"/>
        </w:trPr>
        <w:tc>
          <w:tcPr>
            <w:tcW w:w="3398" w:type="dxa"/>
            <w:tcBorders>
              <w:top w:val="nil"/>
              <w:left w:val="single" w:sz="4" w:space="0" w:color="auto"/>
              <w:bottom w:val="nil"/>
              <w:right w:val="nil"/>
            </w:tcBorders>
          </w:tcPr>
          <w:p w14:paraId="0E908A27" w14:textId="77777777" w:rsidR="000C58DC" w:rsidRPr="00E80EE2" w:rsidRDefault="000C58DC" w:rsidP="000C58DC">
            <w:pPr>
              <w:rPr>
                <w:sz w:val="18"/>
                <w:szCs w:val="20"/>
              </w:rPr>
            </w:pPr>
            <w:r w:rsidRPr="00E80EE2">
              <w:rPr>
                <w:sz w:val="18"/>
                <w:szCs w:val="20"/>
              </w:rPr>
              <w:t>Institutional Support</w:t>
            </w:r>
          </w:p>
        </w:tc>
        <w:tc>
          <w:tcPr>
            <w:tcW w:w="1964" w:type="dxa"/>
            <w:tcBorders>
              <w:top w:val="nil"/>
              <w:left w:val="nil"/>
              <w:bottom w:val="nil"/>
              <w:right w:val="nil"/>
            </w:tcBorders>
          </w:tcPr>
          <w:p w14:paraId="7A86A7E7" w14:textId="2F08AB55" w:rsidR="000C58DC" w:rsidRPr="00E80EE2" w:rsidRDefault="000C58DC" w:rsidP="000C58DC">
            <w:pPr>
              <w:jc w:val="right"/>
              <w:rPr>
                <w:sz w:val="18"/>
                <w:szCs w:val="20"/>
              </w:rPr>
            </w:pPr>
            <w:r w:rsidRPr="00F13682">
              <w:rPr>
                <w:color w:val="000000"/>
                <w:sz w:val="18"/>
                <w:szCs w:val="20"/>
              </w:rPr>
              <w:t xml:space="preserve"> 38,760,035 </w:t>
            </w:r>
          </w:p>
        </w:tc>
        <w:tc>
          <w:tcPr>
            <w:tcW w:w="1551" w:type="dxa"/>
            <w:tcBorders>
              <w:top w:val="nil"/>
              <w:left w:val="nil"/>
              <w:bottom w:val="nil"/>
              <w:right w:val="nil"/>
            </w:tcBorders>
          </w:tcPr>
          <w:p w14:paraId="1AE44899" w14:textId="272FD7C1" w:rsidR="000C58DC" w:rsidRPr="00F13682" w:rsidRDefault="000C58DC" w:rsidP="000C58DC">
            <w:pPr>
              <w:keepNext/>
              <w:jc w:val="right"/>
              <w:rPr>
                <w:color w:val="000000"/>
                <w:sz w:val="18"/>
                <w:szCs w:val="20"/>
              </w:rPr>
            </w:pPr>
            <w:r w:rsidRPr="00F13682">
              <w:rPr>
                <w:color w:val="000000"/>
                <w:sz w:val="18"/>
                <w:szCs w:val="20"/>
              </w:rPr>
              <w:t xml:space="preserve"> 44,632,771 </w:t>
            </w:r>
          </w:p>
        </w:tc>
        <w:tc>
          <w:tcPr>
            <w:tcW w:w="1551" w:type="dxa"/>
            <w:tcBorders>
              <w:top w:val="nil"/>
              <w:left w:val="nil"/>
              <w:bottom w:val="nil"/>
              <w:right w:val="nil"/>
            </w:tcBorders>
          </w:tcPr>
          <w:p w14:paraId="42C1DCD7" w14:textId="7174BFD5" w:rsidR="000C58DC" w:rsidRPr="00F13682"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7C2C70F9" w14:textId="74AC8403" w:rsidR="000C58DC" w:rsidRPr="00F13682" w:rsidRDefault="000C58DC" w:rsidP="000C58DC">
            <w:pPr>
              <w:keepNext/>
              <w:jc w:val="right"/>
              <w:rPr>
                <w:color w:val="000000"/>
                <w:sz w:val="18"/>
                <w:szCs w:val="20"/>
              </w:rPr>
            </w:pPr>
          </w:p>
        </w:tc>
      </w:tr>
      <w:tr w:rsidR="000C58DC" w:rsidRPr="00E80EE2" w14:paraId="776DEDEA" w14:textId="77777777" w:rsidTr="00522375">
        <w:trPr>
          <w:trHeight w:val="259"/>
        </w:trPr>
        <w:tc>
          <w:tcPr>
            <w:tcW w:w="3398" w:type="dxa"/>
            <w:tcBorders>
              <w:top w:val="nil"/>
              <w:left w:val="single" w:sz="4" w:space="0" w:color="auto"/>
              <w:bottom w:val="nil"/>
              <w:right w:val="nil"/>
            </w:tcBorders>
          </w:tcPr>
          <w:p w14:paraId="1D55395F" w14:textId="77777777" w:rsidR="000C58DC" w:rsidRPr="00E80EE2" w:rsidRDefault="000C58DC" w:rsidP="000C58DC">
            <w:pPr>
              <w:rPr>
                <w:sz w:val="18"/>
                <w:szCs w:val="20"/>
              </w:rPr>
            </w:pPr>
            <w:r w:rsidRPr="00E80EE2">
              <w:rPr>
                <w:sz w:val="18"/>
                <w:szCs w:val="20"/>
              </w:rPr>
              <w:t>Academic Support</w:t>
            </w:r>
          </w:p>
        </w:tc>
        <w:tc>
          <w:tcPr>
            <w:tcW w:w="1964" w:type="dxa"/>
            <w:tcBorders>
              <w:top w:val="nil"/>
              <w:left w:val="nil"/>
              <w:bottom w:val="nil"/>
              <w:right w:val="nil"/>
            </w:tcBorders>
          </w:tcPr>
          <w:p w14:paraId="5739AFC9" w14:textId="69267CC7" w:rsidR="000C58DC" w:rsidRPr="00E80EE2" w:rsidRDefault="000C58DC" w:rsidP="000C58DC">
            <w:pPr>
              <w:jc w:val="right"/>
              <w:rPr>
                <w:sz w:val="18"/>
                <w:szCs w:val="20"/>
              </w:rPr>
            </w:pPr>
            <w:r w:rsidRPr="00F13682">
              <w:rPr>
                <w:color w:val="000000"/>
                <w:sz w:val="18"/>
                <w:szCs w:val="20"/>
              </w:rPr>
              <w:t xml:space="preserve"> 36,817,900 </w:t>
            </w:r>
          </w:p>
        </w:tc>
        <w:tc>
          <w:tcPr>
            <w:tcW w:w="1551" w:type="dxa"/>
            <w:tcBorders>
              <w:top w:val="nil"/>
              <w:left w:val="nil"/>
              <w:bottom w:val="nil"/>
              <w:right w:val="nil"/>
            </w:tcBorders>
          </w:tcPr>
          <w:p w14:paraId="5B19966C" w14:textId="4E0E48CE" w:rsidR="000C58DC" w:rsidRPr="00F13682" w:rsidRDefault="000C58DC" w:rsidP="000C58DC">
            <w:pPr>
              <w:keepNext/>
              <w:jc w:val="right"/>
              <w:rPr>
                <w:color w:val="000000"/>
                <w:sz w:val="18"/>
                <w:szCs w:val="20"/>
              </w:rPr>
            </w:pPr>
            <w:r w:rsidRPr="00F13682">
              <w:rPr>
                <w:color w:val="000000"/>
                <w:sz w:val="18"/>
                <w:szCs w:val="20"/>
              </w:rPr>
              <w:t xml:space="preserve"> 42,067,928 </w:t>
            </w:r>
          </w:p>
        </w:tc>
        <w:tc>
          <w:tcPr>
            <w:tcW w:w="1551" w:type="dxa"/>
            <w:tcBorders>
              <w:top w:val="nil"/>
              <w:left w:val="nil"/>
              <w:bottom w:val="nil"/>
              <w:right w:val="nil"/>
            </w:tcBorders>
          </w:tcPr>
          <w:p w14:paraId="7FAC965B" w14:textId="150BE240" w:rsidR="000C58DC" w:rsidRPr="00F13682"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4EC611F8" w14:textId="195154B6" w:rsidR="000C58DC" w:rsidRPr="00F13682" w:rsidRDefault="000C58DC" w:rsidP="000C58DC">
            <w:pPr>
              <w:keepNext/>
              <w:jc w:val="right"/>
              <w:rPr>
                <w:color w:val="000000"/>
                <w:sz w:val="18"/>
                <w:szCs w:val="20"/>
              </w:rPr>
            </w:pPr>
          </w:p>
        </w:tc>
      </w:tr>
      <w:tr w:rsidR="000C58DC" w:rsidRPr="00E80EE2" w14:paraId="22C09A31" w14:textId="77777777" w:rsidTr="00522375">
        <w:trPr>
          <w:trHeight w:val="259"/>
        </w:trPr>
        <w:tc>
          <w:tcPr>
            <w:tcW w:w="3398" w:type="dxa"/>
            <w:tcBorders>
              <w:top w:val="nil"/>
              <w:left w:val="single" w:sz="4" w:space="0" w:color="auto"/>
              <w:bottom w:val="nil"/>
              <w:right w:val="nil"/>
            </w:tcBorders>
          </w:tcPr>
          <w:p w14:paraId="4F4D2E68" w14:textId="77777777" w:rsidR="000C58DC" w:rsidRPr="00E80EE2" w:rsidRDefault="000C58DC" w:rsidP="000C58DC">
            <w:pPr>
              <w:rPr>
                <w:sz w:val="18"/>
                <w:szCs w:val="20"/>
              </w:rPr>
            </w:pPr>
            <w:r w:rsidRPr="00E80EE2">
              <w:rPr>
                <w:sz w:val="18"/>
                <w:szCs w:val="20"/>
              </w:rPr>
              <w:t>Auxiliary Enterprises</w:t>
            </w:r>
          </w:p>
        </w:tc>
        <w:tc>
          <w:tcPr>
            <w:tcW w:w="1964" w:type="dxa"/>
            <w:tcBorders>
              <w:top w:val="nil"/>
              <w:left w:val="nil"/>
              <w:bottom w:val="nil"/>
              <w:right w:val="nil"/>
            </w:tcBorders>
          </w:tcPr>
          <w:p w14:paraId="7A4D037C" w14:textId="2EE15D69" w:rsidR="000C58DC" w:rsidRPr="00E80EE2" w:rsidRDefault="000C58DC" w:rsidP="000C58DC">
            <w:pPr>
              <w:jc w:val="right"/>
              <w:rPr>
                <w:sz w:val="18"/>
                <w:szCs w:val="20"/>
              </w:rPr>
            </w:pPr>
            <w:r w:rsidRPr="00F13682">
              <w:rPr>
                <w:color w:val="000000"/>
                <w:sz w:val="18"/>
                <w:szCs w:val="20"/>
              </w:rPr>
              <w:t xml:space="preserve"> 79,720,395 </w:t>
            </w:r>
          </w:p>
        </w:tc>
        <w:tc>
          <w:tcPr>
            <w:tcW w:w="1551" w:type="dxa"/>
            <w:tcBorders>
              <w:top w:val="nil"/>
              <w:left w:val="nil"/>
              <w:bottom w:val="nil"/>
              <w:right w:val="nil"/>
            </w:tcBorders>
          </w:tcPr>
          <w:p w14:paraId="778BA055" w14:textId="45BE01AF" w:rsidR="000C58DC" w:rsidRPr="00F13682" w:rsidRDefault="000C58DC" w:rsidP="000C58DC">
            <w:pPr>
              <w:keepNext/>
              <w:jc w:val="right"/>
              <w:rPr>
                <w:color w:val="000000"/>
                <w:sz w:val="18"/>
                <w:szCs w:val="20"/>
              </w:rPr>
            </w:pPr>
            <w:r w:rsidRPr="00F13682">
              <w:rPr>
                <w:color w:val="000000"/>
                <w:sz w:val="18"/>
                <w:szCs w:val="20"/>
              </w:rPr>
              <w:t xml:space="preserve"> 110,233,324 </w:t>
            </w:r>
          </w:p>
        </w:tc>
        <w:tc>
          <w:tcPr>
            <w:tcW w:w="1551" w:type="dxa"/>
            <w:tcBorders>
              <w:top w:val="nil"/>
              <w:left w:val="nil"/>
              <w:bottom w:val="nil"/>
              <w:right w:val="nil"/>
            </w:tcBorders>
          </w:tcPr>
          <w:p w14:paraId="4292D97C" w14:textId="25537E34" w:rsidR="000C58DC" w:rsidRPr="00F13682"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71AD761C" w14:textId="602B9A10" w:rsidR="000C58DC" w:rsidRPr="00F13682" w:rsidRDefault="000C58DC" w:rsidP="000C58DC">
            <w:pPr>
              <w:keepNext/>
              <w:jc w:val="right"/>
              <w:rPr>
                <w:color w:val="000000"/>
                <w:sz w:val="18"/>
                <w:szCs w:val="20"/>
              </w:rPr>
            </w:pPr>
          </w:p>
        </w:tc>
      </w:tr>
      <w:tr w:rsidR="000C58DC" w:rsidRPr="00E80EE2" w14:paraId="03E475FE" w14:textId="77777777" w:rsidTr="00522375">
        <w:trPr>
          <w:trHeight w:val="259"/>
        </w:trPr>
        <w:tc>
          <w:tcPr>
            <w:tcW w:w="3398" w:type="dxa"/>
            <w:tcBorders>
              <w:top w:val="nil"/>
              <w:left w:val="single" w:sz="4" w:space="0" w:color="auto"/>
              <w:bottom w:val="nil"/>
              <w:right w:val="nil"/>
            </w:tcBorders>
          </w:tcPr>
          <w:p w14:paraId="51E80C30" w14:textId="77777777" w:rsidR="000C58DC" w:rsidRPr="00E80EE2" w:rsidRDefault="000C58DC" w:rsidP="000C58DC">
            <w:pPr>
              <w:rPr>
                <w:sz w:val="18"/>
                <w:szCs w:val="20"/>
              </w:rPr>
            </w:pPr>
            <w:r w:rsidRPr="00E80EE2">
              <w:rPr>
                <w:sz w:val="18"/>
                <w:szCs w:val="20"/>
              </w:rPr>
              <w:t>Scholarships and Fellowships</w:t>
            </w:r>
          </w:p>
        </w:tc>
        <w:tc>
          <w:tcPr>
            <w:tcW w:w="1964" w:type="dxa"/>
            <w:tcBorders>
              <w:top w:val="nil"/>
              <w:left w:val="nil"/>
              <w:bottom w:val="nil"/>
              <w:right w:val="nil"/>
            </w:tcBorders>
          </w:tcPr>
          <w:p w14:paraId="36D6A87B" w14:textId="72082DFB" w:rsidR="000C58DC" w:rsidRPr="00E80EE2" w:rsidRDefault="000C58DC" w:rsidP="000C58DC">
            <w:pPr>
              <w:jc w:val="right"/>
              <w:rPr>
                <w:sz w:val="18"/>
                <w:szCs w:val="20"/>
              </w:rPr>
            </w:pPr>
            <w:r w:rsidRPr="00F13682">
              <w:rPr>
                <w:color w:val="000000"/>
                <w:sz w:val="18"/>
                <w:szCs w:val="20"/>
              </w:rPr>
              <w:t xml:space="preserve"> 29,247,013 </w:t>
            </w:r>
          </w:p>
        </w:tc>
        <w:tc>
          <w:tcPr>
            <w:tcW w:w="1551" w:type="dxa"/>
            <w:tcBorders>
              <w:top w:val="nil"/>
              <w:left w:val="nil"/>
              <w:bottom w:val="nil"/>
              <w:right w:val="nil"/>
            </w:tcBorders>
          </w:tcPr>
          <w:p w14:paraId="640A552B" w14:textId="21888722" w:rsidR="000C58DC" w:rsidRPr="00F13682" w:rsidRDefault="000C58DC" w:rsidP="000C58DC">
            <w:pPr>
              <w:keepNext/>
              <w:jc w:val="right"/>
              <w:rPr>
                <w:color w:val="000000"/>
                <w:sz w:val="18"/>
                <w:szCs w:val="20"/>
              </w:rPr>
            </w:pPr>
            <w:r w:rsidRPr="00F13682">
              <w:rPr>
                <w:color w:val="000000"/>
                <w:sz w:val="18"/>
                <w:szCs w:val="20"/>
              </w:rPr>
              <w:t xml:space="preserve"> 11,568,132 </w:t>
            </w:r>
          </w:p>
        </w:tc>
        <w:tc>
          <w:tcPr>
            <w:tcW w:w="1551" w:type="dxa"/>
            <w:tcBorders>
              <w:top w:val="nil"/>
              <w:left w:val="nil"/>
              <w:bottom w:val="nil"/>
              <w:right w:val="nil"/>
            </w:tcBorders>
          </w:tcPr>
          <w:p w14:paraId="7B722E54" w14:textId="0DB4F5ED" w:rsidR="000C58DC" w:rsidRPr="00F13682" w:rsidRDefault="000C58DC" w:rsidP="000C58DC">
            <w:pPr>
              <w:keepNext/>
              <w:jc w:val="right"/>
              <w:rPr>
                <w:color w:val="000000"/>
                <w:sz w:val="18"/>
                <w:szCs w:val="20"/>
              </w:rPr>
            </w:pPr>
          </w:p>
        </w:tc>
        <w:tc>
          <w:tcPr>
            <w:tcW w:w="1606" w:type="dxa"/>
            <w:tcBorders>
              <w:top w:val="nil"/>
              <w:left w:val="nil"/>
              <w:bottom w:val="nil"/>
              <w:right w:val="single" w:sz="4" w:space="0" w:color="auto"/>
            </w:tcBorders>
            <w:shd w:val="clear" w:color="auto" w:fill="auto"/>
          </w:tcPr>
          <w:p w14:paraId="4256F78F" w14:textId="03C250C0" w:rsidR="000C58DC" w:rsidRPr="00F13682" w:rsidRDefault="000C58DC" w:rsidP="000C58DC">
            <w:pPr>
              <w:keepNext/>
              <w:jc w:val="right"/>
              <w:rPr>
                <w:color w:val="000000"/>
                <w:sz w:val="18"/>
                <w:szCs w:val="20"/>
              </w:rPr>
            </w:pPr>
          </w:p>
        </w:tc>
      </w:tr>
      <w:tr w:rsidR="000C58DC" w:rsidRPr="00E80EE2" w14:paraId="06090CE5" w14:textId="77777777" w:rsidTr="00522375">
        <w:trPr>
          <w:trHeight w:val="259"/>
        </w:trPr>
        <w:tc>
          <w:tcPr>
            <w:tcW w:w="3398" w:type="dxa"/>
            <w:tcBorders>
              <w:top w:val="nil"/>
              <w:left w:val="single" w:sz="4" w:space="0" w:color="auto"/>
              <w:bottom w:val="nil"/>
              <w:right w:val="nil"/>
            </w:tcBorders>
          </w:tcPr>
          <w:p w14:paraId="6E8F3CF4" w14:textId="77777777" w:rsidR="000C58DC" w:rsidRPr="00E80EE2" w:rsidRDefault="000C58DC" w:rsidP="000C58DC">
            <w:pPr>
              <w:rPr>
                <w:sz w:val="18"/>
                <w:szCs w:val="20"/>
              </w:rPr>
            </w:pPr>
            <w:r w:rsidRPr="00E80EE2">
              <w:rPr>
                <w:sz w:val="18"/>
                <w:szCs w:val="20"/>
              </w:rPr>
              <w:t>Depreciation</w:t>
            </w:r>
          </w:p>
        </w:tc>
        <w:tc>
          <w:tcPr>
            <w:tcW w:w="1964" w:type="dxa"/>
            <w:tcBorders>
              <w:top w:val="nil"/>
              <w:left w:val="nil"/>
              <w:bottom w:val="single" w:sz="4" w:space="0" w:color="auto"/>
              <w:right w:val="nil"/>
            </w:tcBorders>
          </w:tcPr>
          <w:p w14:paraId="4C36EADD" w14:textId="4BBD65F4" w:rsidR="000C58DC" w:rsidRPr="00E80EE2" w:rsidRDefault="000C58DC" w:rsidP="000C58DC">
            <w:pPr>
              <w:jc w:val="right"/>
              <w:rPr>
                <w:sz w:val="18"/>
                <w:szCs w:val="20"/>
              </w:rPr>
            </w:pPr>
            <w:r w:rsidRPr="00F13682">
              <w:rPr>
                <w:color w:val="000000"/>
                <w:sz w:val="18"/>
                <w:szCs w:val="20"/>
              </w:rPr>
              <w:t xml:space="preserve"> 29,575,394 </w:t>
            </w:r>
          </w:p>
        </w:tc>
        <w:tc>
          <w:tcPr>
            <w:tcW w:w="1551" w:type="dxa"/>
            <w:tcBorders>
              <w:top w:val="nil"/>
              <w:left w:val="nil"/>
              <w:bottom w:val="single" w:sz="4" w:space="0" w:color="auto"/>
              <w:right w:val="nil"/>
            </w:tcBorders>
          </w:tcPr>
          <w:p w14:paraId="71DCFED8" w14:textId="76A41FE8" w:rsidR="000C58DC" w:rsidRPr="00F13682" w:rsidRDefault="000C58DC" w:rsidP="000C58DC">
            <w:pPr>
              <w:keepNext/>
              <w:jc w:val="right"/>
              <w:rPr>
                <w:color w:val="000000"/>
                <w:sz w:val="18"/>
                <w:szCs w:val="20"/>
              </w:rPr>
            </w:pPr>
            <w:r w:rsidRPr="00F13682">
              <w:rPr>
                <w:color w:val="000000"/>
                <w:sz w:val="18"/>
                <w:szCs w:val="20"/>
              </w:rPr>
              <w:t xml:space="preserve"> 29,156,434 </w:t>
            </w:r>
          </w:p>
        </w:tc>
        <w:tc>
          <w:tcPr>
            <w:tcW w:w="1551" w:type="dxa"/>
            <w:tcBorders>
              <w:top w:val="nil"/>
              <w:left w:val="nil"/>
              <w:bottom w:val="single" w:sz="4" w:space="0" w:color="auto"/>
              <w:right w:val="nil"/>
            </w:tcBorders>
          </w:tcPr>
          <w:p w14:paraId="46298726" w14:textId="1168FD72" w:rsidR="000C58DC" w:rsidRPr="00F13682" w:rsidRDefault="000C58DC" w:rsidP="000C58DC">
            <w:pPr>
              <w:keepNext/>
              <w:jc w:val="right"/>
              <w:rPr>
                <w:color w:val="000000"/>
                <w:sz w:val="18"/>
                <w:szCs w:val="20"/>
              </w:rPr>
            </w:pPr>
          </w:p>
        </w:tc>
        <w:tc>
          <w:tcPr>
            <w:tcW w:w="1606" w:type="dxa"/>
            <w:tcBorders>
              <w:top w:val="nil"/>
              <w:left w:val="nil"/>
              <w:bottom w:val="single" w:sz="4" w:space="0" w:color="auto"/>
              <w:right w:val="single" w:sz="4" w:space="0" w:color="auto"/>
            </w:tcBorders>
            <w:shd w:val="clear" w:color="auto" w:fill="auto"/>
          </w:tcPr>
          <w:p w14:paraId="7C18D4A8" w14:textId="50A08FAB" w:rsidR="000C58DC" w:rsidRPr="00F13682" w:rsidRDefault="000C58DC" w:rsidP="000C58DC">
            <w:pPr>
              <w:keepNext/>
              <w:jc w:val="right"/>
              <w:rPr>
                <w:color w:val="000000"/>
                <w:sz w:val="18"/>
                <w:szCs w:val="20"/>
              </w:rPr>
            </w:pPr>
          </w:p>
        </w:tc>
      </w:tr>
      <w:tr w:rsidR="000C58DC" w:rsidRPr="00E80EE2" w14:paraId="0332930F" w14:textId="77777777" w:rsidTr="00522375">
        <w:trPr>
          <w:trHeight w:val="259"/>
        </w:trPr>
        <w:tc>
          <w:tcPr>
            <w:tcW w:w="3398" w:type="dxa"/>
            <w:tcBorders>
              <w:top w:val="nil"/>
              <w:left w:val="single" w:sz="4" w:space="0" w:color="auto"/>
              <w:bottom w:val="nil"/>
              <w:right w:val="nil"/>
            </w:tcBorders>
          </w:tcPr>
          <w:p w14:paraId="24405DAC" w14:textId="77777777" w:rsidR="000C58DC" w:rsidRPr="00E80EE2" w:rsidRDefault="000C58DC" w:rsidP="000C58DC">
            <w:pPr>
              <w:ind w:left="720" w:hanging="558"/>
              <w:rPr>
                <w:sz w:val="18"/>
                <w:szCs w:val="20"/>
              </w:rPr>
            </w:pPr>
            <w:r w:rsidRPr="00E80EE2">
              <w:rPr>
                <w:sz w:val="18"/>
                <w:szCs w:val="20"/>
              </w:rPr>
              <w:t>Total operating expenses</w:t>
            </w:r>
          </w:p>
        </w:tc>
        <w:tc>
          <w:tcPr>
            <w:tcW w:w="1964" w:type="dxa"/>
            <w:tcBorders>
              <w:top w:val="single" w:sz="4" w:space="0" w:color="auto"/>
              <w:left w:val="nil"/>
              <w:bottom w:val="nil"/>
              <w:right w:val="nil"/>
            </w:tcBorders>
          </w:tcPr>
          <w:p w14:paraId="2B11BADF" w14:textId="547D6BC1" w:rsidR="000C58DC" w:rsidRPr="00E80EE2" w:rsidRDefault="000C58DC" w:rsidP="000C58DC">
            <w:pPr>
              <w:jc w:val="right"/>
              <w:rPr>
                <w:sz w:val="18"/>
                <w:szCs w:val="20"/>
              </w:rPr>
            </w:pPr>
            <w:r w:rsidRPr="00F13682">
              <w:rPr>
                <w:color w:val="000000"/>
                <w:sz w:val="18"/>
                <w:szCs w:val="20"/>
              </w:rPr>
              <w:t xml:space="preserve"> 478,529,60</w:t>
            </w:r>
            <w:r>
              <w:rPr>
                <w:color w:val="000000"/>
                <w:sz w:val="18"/>
                <w:szCs w:val="20"/>
              </w:rPr>
              <w:t>3</w:t>
            </w:r>
            <w:r w:rsidRPr="00F13682">
              <w:rPr>
                <w:color w:val="000000"/>
                <w:sz w:val="18"/>
                <w:szCs w:val="20"/>
              </w:rPr>
              <w:t xml:space="preserve"> </w:t>
            </w:r>
          </w:p>
        </w:tc>
        <w:tc>
          <w:tcPr>
            <w:tcW w:w="1551" w:type="dxa"/>
            <w:tcBorders>
              <w:top w:val="single" w:sz="4" w:space="0" w:color="auto"/>
              <w:left w:val="nil"/>
              <w:bottom w:val="nil"/>
              <w:right w:val="nil"/>
            </w:tcBorders>
          </w:tcPr>
          <w:p w14:paraId="623ACCF5" w14:textId="71B1E3B0" w:rsidR="000C58DC" w:rsidRPr="00F13682" w:rsidRDefault="000C58DC" w:rsidP="000C58DC">
            <w:pPr>
              <w:keepNext/>
              <w:jc w:val="right"/>
              <w:rPr>
                <w:color w:val="000000"/>
                <w:sz w:val="18"/>
                <w:szCs w:val="20"/>
              </w:rPr>
            </w:pPr>
            <w:r w:rsidRPr="00F13682">
              <w:rPr>
                <w:color w:val="000000"/>
                <w:sz w:val="18"/>
                <w:szCs w:val="20"/>
              </w:rPr>
              <w:t xml:space="preserve"> 533,457,23</w:t>
            </w:r>
            <w:r>
              <w:rPr>
                <w:color w:val="000000"/>
                <w:sz w:val="18"/>
                <w:szCs w:val="20"/>
              </w:rPr>
              <w:t>8</w:t>
            </w:r>
            <w:r w:rsidRPr="00F13682">
              <w:rPr>
                <w:color w:val="000000"/>
                <w:sz w:val="18"/>
                <w:szCs w:val="20"/>
              </w:rPr>
              <w:t xml:space="preserve"> </w:t>
            </w:r>
          </w:p>
        </w:tc>
        <w:tc>
          <w:tcPr>
            <w:tcW w:w="1551" w:type="dxa"/>
            <w:tcBorders>
              <w:top w:val="single" w:sz="4" w:space="0" w:color="auto"/>
              <w:left w:val="nil"/>
              <w:bottom w:val="nil"/>
              <w:right w:val="nil"/>
            </w:tcBorders>
          </w:tcPr>
          <w:p w14:paraId="04D5CBF1" w14:textId="5078C4B5" w:rsidR="000C58DC" w:rsidRPr="00F13682" w:rsidRDefault="000C58DC" w:rsidP="000C58DC">
            <w:pPr>
              <w:keepNext/>
              <w:jc w:val="right"/>
              <w:rPr>
                <w:color w:val="000000"/>
                <w:sz w:val="18"/>
                <w:szCs w:val="20"/>
              </w:rPr>
            </w:pPr>
          </w:p>
        </w:tc>
        <w:tc>
          <w:tcPr>
            <w:tcW w:w="1606" w:type="dxa"/>
            <w:tcBorders>
              <w:top w:val="single" w:sz="4" w:space="0" w:color="auto"/>
              <w:left w:val="nil"/>
              <w:bottom w:val="nil"/>
              <w:right w:val="single" w:sz="4" w:space="0" w:color="auto"/>
            </w:tcBorders>
            <w:shd w:val="clear" w:color="000000" w:fill="auto"/>
          </w:tcPr>
          <w:p w14:paraId="2BB22AE6" w14:textId="3AB47C9F" w:rsidR="000C58DC" w:rsidRPr="00F13682" w:rsidRDefault="000C58DC" w:rsidP="000C58DC">
            <w:pPr>
              <w:keepNext/>
              <w:jc w:val="right"/>
              <w:rPr>
                <w:color w:val="000000"/>
                <w:sz w:val="18"/>
                <w:szCs w:val="20"/>
              </w:rPr>
            </w:pPr>
          </w:p>
        </w:tc>
      </w:tr>
      <w:tr w:rsidR="000C58DC" w:rsidRPr="00E80EE2" w14:paraId="48B646A0" w14:textId="77777777" w:rsidTr="00522375">
        <w:trPr>
          <w:trHeight w:val="259"/>
        </w:trPr>
        <w:tc>
          <w:tcPr>
            <w:tcW w:w="3398" w:type="dxa"/>
            <w:tcBorders>
              <w:top w:val="nil"/>
              <w:left w:val="single" w:sz="4" w:space="0" w:color="auto"/>
              <w:bottom w:val="single" w:sz="4" w:space="0" w:color="auto"/>
              <w:right w:val="nil"/>
            </w:tcBorders>
          </w:tcPr>
          <w:p w14:paraId="464062C4" w14:textId="77777777" w:rsidR="000C58DC" w:rsidRPr="00E80EE2" w:rsidRDefault="000C58DC" w:rsidP="000C58DC">
            <w:pPr>
              <w:ind w:left="720" w:hanging="558"/>
              <w:rPr>
                <w:sz w:val="18"/>
                <w:szCs w:val="20"/>
              </w:rPr>
            </w:pPr>
            <w:r w:rsidRPr="00E80EE2">
              <w:rPr>
                <w:sz w:val="18"/>
                <w:szCs w:val="20"/>
              </w:rPr>
              <w:t>Operating income/(loss)</w:t>
            </w:r>
          </w:p>
        </w:tc>
        <w:tc>
          <w:tcPr>
            <w:tcW w:w="1964" w:type="dxa"/>
            <w:tcBorders>
              <w:top w:val="nil"/>
              <w:left w:val="nil"/>
              <w:bottom w:val="single" w:sz="4" w:space="0" w:color="auto"/>
              <w:right w:val="nil"/>
            </w:tcBorders>
          </w:tcPr>
          <w:p w14:paraId="53826318" w14:textId="7BC02AE7" w:rsidR="000C58DC" w:rsidRPr="00E80EE2" w:rsidRDefault="000C58DC" w:rsidP="000C58DC">
            <w:pPr>
              <w:jc w:val="right"/>
              <w:rPr>
                <w:sz w:val="18"/>
                <w:szCs w:val="20"/>
              </w:rPr>
            </w:pPr>
            <w:r w:rsidRPr="00F13682">
              <w:rPr>
                <w:color w:val="000000"/>
                <w:sz w:val="18"/>
                <w:szCs w:val="20"/>
              </w:rPr>
              <w:t xml:space="preserve"> (154,104,93</w:t>
            </w:r>
            <w:r>
              <w:rPr>
                <w:color w:val="000000"/>
                <w:sz w:val="18"/>
                <w:szCs w:val="20"/>
              </w:rPr>
              <w:t>5</w:t>
            </w:r>
            <w:r w:rsidRPr="00F13682">
              <w:rPr>
                <w:color w:val="000000"/>
                <w:sz w:val="18"/>
                <w:szCs w:val="20"/>
              </w:rPr>
              <w:t>)</w:t>
            </w:r>
          </w:p>
        </w:tc>
        <w:tc>
          <w:tcPr>
            <w:tcW w:w="1551" w:type="dxa"/>
            <w:tcBorders>
              <w:top w:val="nil"/>
              <w:left w:val="nil"/>
              <w:bottom w:val="single" w:sz="4" w:space="0" w:color="auto"/>
              <w:right w:val="nil"/>
            </w:tcBorders>
          </w:tcPr>
          <w:p w14:paraId="4C205FF7" w14:textId="6CC8CA97" w:rsidR="000C58DC" w:rsidRPr="00F13682" w:rsidRDefault="000C58DC" w:rsidP="000C58DC">
            <w:pPr>
              <w:keepNext/>
              <w:jc w:val="right"/>
              <w:rPr>
                <w:color w:val="000000"/>
                <w:sz w:val="18"/>
                <w:szCs w:val="20"/>
              </w:rPr>
            </w:pPr>
            <w:r w:rsidRPr="00F13682">
              <w:rPr>
                <w:color w:val="000000"/>
                <w:sz w:val="18"/>
                <w:szCs w:val="20"/>
              </w:rPr>
              <w:t xml:space="preserve"> (180,753,40</w:t>
            </w:r>
            <w:r>
              <w:rPr>
                <w:color w:val="000000"/>
                <w:sz w:val="18"/>
                <w:szCs w:val="20"/>
              </w:rPr>
              <w:t>2</w:t>
            </w:r>
            <w:r w:rsidRPr="00F13682">
              <w:rPr>
                <w:color w:val="000000"/>
                <w:sz w:val="18"/>
                <w:szCs w:val="20"/>
              </w:rPr>
              <w:t>)</w:t>
            </w:r>
          </w:p>
        </w:tc>
        <w:tc>
          <w:tcPr>
            <w:tcW w:w="1551" w:type="dxa"/>
            <w:tcBorders>
              <w:top w:val="nil"/>
              <w:left w:val="nil"/>
              <w:bottom w:val="single" w:sz="4" w:space="0" w:color="auto"/>
              <w:right w:val="nil"/>
            </w:tcBorders>
          </w:tcPr>
          <w:p w14:paraId="110E752E" w14:textId="6E10FD96" w:rsidR="000C58DC" w:rsidRPr="00F13682" w:rsidRDefault="000C58DC" w:rsidP="000C58DC">
            <w:pPr>
              <w:keepNext/>
              <w:jc w:val="right"/>
              <w:rPr>
                <w:color w:val="000000"/>
                <w:sz w:val="18"/>
                <w:szCs w:val="20"/>
              </w:rPr>
            </w:pPr>
          </w:p>
        </w:tc>
        <w:tc>
          <w:tcPr>
            <w:tcW w:w="1606" w:type="dxa"/>
            <w:tcBorders>
              <w:top w:val="nil"/>
              <w:left w:val="nil"/>
              <w:bottom w:val="single" w:sz="4" w:space="0" w:color="auto"/>
              <w:right w:val="single" w:sz="4" w:space="0" w:color="auto"/>
            </w:tcBorders>
            <w:shd w:val="clear" w:color="000000" w:fill="auto"/>
          </w:tcPr>
          <w:p w14:paraId="7A4900BC" w14:textId="391DB003" w:rsidR="000C58DC" w:rsidRPr="00F13682" w:rsidRDefault="000C58DC" w:rsidP="000C58DC">
            <w:pPr>
              <w:keepNext/>
              <w:jc w:val="right"/>
              <w:rPr>
                <w:color w:val="000000"/>
                <w:sz w:val="18"/>
                <w:szCs w:val="20"/>
              </w:rPr>
            </w:pPr>
          </w:p>
        </w:tc>
      </w:tr>
      <w:tr w:rsidR="000C58DC" w:rsidRPr="00E80EE2" w14:paraId="2B56CAFF" w14:textId="77777777" w:rsidTr="00F13682">
        <w:trPr>
          <w:trHeight w:val="259"/>
        </w:trPr>
        <w:tc>
          <w:tcPr>
            <w:tcW w:w="3398" w:type="dxa"/>
            <w:tcBorders>
              <w:top w:val="single" w:sz="4" w:space="0" w:color="auto"/>
              <w:left w:val="single" w:sz="4" w:space="0" w:color="auto"/>
              <w:bottom w:val="single" w:sz="4" w:space="0" w:color="auto"/>
              <w:right w:val="single" w:sz="4" w:space="0" w:color="auto"/>
            </w:tcBorders>
            <w:shd w:val="clear" w:color="auto" w:fill="000080"/>
          </w:tcPr>
          <w:p w14:paraId="13C038E7" w14:textId="7FEE52CD" w:rsidR="000C58DC" w:rsidRPr="00E80EE2" w:rsidRDefault="000C58DC" w:rsidP="000C58DC">
            <w:pPr>
              <w:jc w:val="both"/>
              <w:rPr>
                <w:b/>
                <w:bCs/>
                <w:color w:val="FFFFFF"/>
                <w:sz w:val="20"/>
              </w:rPr>
            </w:pPr>
            <w:r w:rsidRPr="00E80EE2">
              <w:rPr>
                <w:b/>
                <w:bCs/>
                <w:color w:val="FFFFFF"/>
                <w:sz w:val="20"/>
              </w:rPr>
              <w:t>Non-operating revenues/(expenses)</w:t>
            </w:r>
          </w:p>
        </w:tc>
        <w:tc>
          <w:tcPr>
            <w:tcW w:w="1964" w:type="dxa"/>
            <w:tcBorders>
              <w:top w:val="single" w:sz="4" w:space="0" w:color="auto"/>
              <w:left w:val="single" w:sz="4" w:space="0" w:color="auto"/>
              <w:bottom w:val="single" w:sz="4" w:space="0" w:color="auto"/>
              <w:right w:val="single" w:sz="4" w:space="0" w:color="auto"/>
            </w:tcBorders>
            <w:shd w:val="clear" w:color="auto" w:fill="000080"/>
          </w:tcPr>
          <w:p w14:paraId="33FBE971" w14:textId="71949472" w:rsidR="000C58DC" w:rsidRPr="00E80EE2" w:rsidRDefault="000C58DC" w:rsidP="000C58DC">
            <w:pPr>
              <w:jc w:val="right"/>
              <w:rPr>
                <w:b/>
                <w:bCs/>
                <w:color w:val="FFFFFF"/>
                <w:sz w:val="20"/>
              </w:rPr>
            </w:pPr>
            <w:r>
              <w:rPr>
                <w:b/>
                <w:bCs/>
                <w:color w:val="FFFFFF"/>
                <w:sz w:val="20"/>
              </w:rPr>
              <w:t>FY 2022- restated</w:t>
            </w:r>
          </w:p>
        </w:tc>
        <w:tc>
          <w:tcPr>
            <w:tcW w:w="1551" w:type="dxa"/>
            <w:tcBorders>
              <w:top w:val="single" w:sz="4" w:space="0" w:color="auto"/>
              <w:left w:val="single" w:sz="4" w:space="0" w:color="auto"/>
              <w:bottom w:val="single" w:sz="4" w:space="0" w:color="auto"/>
              <w:right w:val="single" w:sz="4" w:space="0" w:color="auto"/>
            </w:tcBorders>
            <w:shd w:val="clear" w:color="auto" w:fill="000080"/>
          </w:tcPr>
          <w:p w14:paraId="62375636" w14:textId="36D47774" w:rsidR="000C58DC" w:rsidRPr="00E80EE2" w:rsidRDefault="000C58DC" w:rsidP="000C58DC">
            <w:pPr>
              <w:jc w:val="right"/>
              <w:rPr>
                <w:b/>
                <w:bCs/>
                <w:color w:val="FFFFFF"/>
                <w:sz w:val="20"/>
              </w:rPr>
            </w:pPr>
            <w:r>
              <w:rPr>
                <w:b/>
                <w:bCs/>
                <w:color w:val="FFFFFF"/>
                <w:sz w:val="20"/>
              </w:rPr>
              <w:t>FY 2023</w:t>
            </w:r>
          </w:p>
        </w:tc>
        <w:tc>
          <w:tcPr>
            <w:tcW w:w="1551" w:type="dxa"/>
            <w:tcBorders>
              <w:top w:val="single" w:sz="4" w:space="0" w:color="auto"/>
              <w:left w:val="single" w:sz="4" w:space="0" w:color="auto"/>
              <w:bottom w:val="single" w:sz="4" w:space="0" w:color="auto"/>
              <w:right w:val="single" w:sz="4" w:space="0" w:color="auto"/>
            </w:tcBorders>
            <w:shd w:val="clear" w:color="auto" w:fill="000080"/>
          </w:tcPr>
          <w:p w14:paraId="7FF33E5D" w14:textId="23D5CA45" w:rsidR="000C58DC" w:rsidRPr="00E80EE2" w:rsidRDefault="000C58DC" w:rsidP="000C58DC">
            <w:pPr>
              <w:jc w:val="right"/>
              <w:rPr>
                <w:b/>
                <w:bCs/>
                <w:color w:val="FFFFFF"/>
                <w:sz w:val="20"/>
              </w:rPr>
            </w:pPr>
            <w:r>
              <w:rPr>
                <w:b/>
                <w:bCs/>
                <w:color w:val="FFFFFF"/>
                <w:sz w:val="20"/>
              </w:rPr>
              <w:t>FY 2024*</w:t>
            </w:r>
          </w:p>
        </w:tc>
        <w:tc>
          <w:tcPr>
            <w:tcW w:w="1606" w:type="dxa"/>
            <w:tcBorders>
              <w:top w:val="single" w:sz="4" w:space="0" w:color="auto"/>
              <w:left w:val="single" w:sz="4" w:space="0" w:color="auto"/>
              <w:bottom w:val="single" w:sz="4" w:space="0" w:color="auto"/>
              <w:right w:val="single" w:sz="4" w:space="0" w:color="auto"/>
            </w:tcBorders>
            <w:shd w:val="clear" w:color="auto" w:fill="000080"/>
          </w:tcPr>
          <w:p w14:paraId="68FBDD18" w14:textId="46792434" w:rsidR="000C58DC" w:rsidRPr="00E80EE2" w:rsidRDefault="000C58DC" w:rsidP="000C58DC">
            <w:pPr>
              <w:jc w:val="right"/>
              <w:rPr>
                <w:b/>
                <w:bCs/>
                <w:color w:val="FFFFFF"/>
                <w:sz w:val="20"/>
              </w:rPr>
            </w:pPr>
            <w:r>
              <w:rPr>
                <w:b/>
                <w:bCs/>
                <w:color w:val="FFFFFF"/>
                <w:sz w:val="20"/>
              </w:rPr>
              <w:t>FY 2025</w:t>
            </w:r>
          </w:p>
        </w:tc>
      </w:tr>
      <w:tr w:rsidR="000C58DC" w:rsidRPr="00E80EE2" w14:paraId="7E0E91A8" w14:textId="77777777" w:rsidTr="00522375">
        <w:trPr>
          <w:trHeight w:val="259"/>
        </w:trPr>
        <w:tc>
          <w:tcPr>
            <w:tcW w:w="3398" w:type="dxa"/>
            <w:tcBorders>
              <w:top w:val="single" w:sz="4" w:space="0" w:color="auto"/>
              <w:left w:val="single" w:sz="4" w:space="0" w:color="auto"/>
              <w:bottom w:val="nil"/>
              <w:right w:val="nil"/>
            </w:tcBorders>
          </w:tcPr>
          <w:p w14:paraId="3BB656AE" w14:textId="77777777" w:rsidR="000C58DC" w:rsidRPr="00E80EE2" w:rsidRDefault="000C58DC" w:rsidP="000C58DC">
            <w:pPr>
              <w:rPr>
                <w:sz w:val="18"/>
                <w:szCs w:val="20"/>
              </w:rPr>
            </w:pPr>
            <w:r w:rsidRPr="00E80EE2">
              <w:rPr>
                <w:sz w:val="18"/>
                <w:szCs w:val="20"/>
              </w:rPr>
              <w:t>State appropriation - general</w:t>
            </w:r>
          </w:p>
        </w:tc>
        <w:tc>
          <w:tcPr>
            <w:tcW w:w="1964" w:type="dxa"/>
            <w:tcBorders>
              <w:top w:val="single" w:sz="4" w:space="0" w:color="auto"/>
              <w:left w:val="nil"/>
              <w:bottom w:val="nil"/>
              <w:right w:val="nil"/>
            </w:tcBorders>
          </w:tcPr>
          <w:p w14:paraId="3FD5810E" w14:textId="11CDEA90" w:rsidR="000C58DC" w:rsidRPr="00E80EE2" w:rsidRDefault="000C58DC" w:rsidP="000C58DC">
            <w:pPr>
              <w:jc w:val="right"/>
              <w:rPr>
                <w:sz w:val="18"/>
                <w:szCs w:val="20"/>
              </w:rPr>
            </w:pPr>
            <w:r w:rsidRPr="00F13682">
              <w:rPr>
                <w:sz w:val="18"/>
              </w:rPr>
              <w:t xml:space="preserve"> 112,693,460 </w:t>
            </w:r>
          </w:p>
        </w:tc>
        <w:tc>
          <w:tcPr>
            <w:tcW w:w="1551" w:type="dxa"/>
            <w:tcBorders>
              <w:top w:val="single" w:sz="4" w:space="0" w:color="auto"/>
              <w:left w:val="nil"/>
              <w:bottom w:val="nil"/>
              <w:right w:val="nil"/>
            </w:tcBorders>
          </w:tcPr>
          <w:p w14:paraId="7CC4C91A" w14:textId="226CA982" w:rsidR="000C58DC" w:rsidRPr="00F13682" w:rsidRDefault="000C58DC" w:rsidP="000C58DC">
            <w:pPr>
              <w:jc w:val="right"/>
              <w:rPr>
                <w:sz w:val="18"/>
              </w:rPr>
            </w:pPr>
            <w:r w:rsidRPr="00F13682">
              <w:rPr>
                <w:sz w:val="18"/>
              </w:rPr>
              <w:t xml:space="preserve"> 123,832,491 </w:t>
            </w:r>
          </w:p>
        </w:tc>
        <w:tc>
          <w:tcPr>
            <w:tcW w:w="1551" w:type="dxa"/>
            <w:tcBorders>
              <w:top w:val="single" w:sz="4" w:space="0" w:color="auto"/>
              <w:left w:val="nil"/>
              <w:bottom w:val="nil"/>
              <w:right w:val="nil"/>
            </w:tcBorders>
          </w:tcPr>
          <w:p w14:paraId="2463F48A" w14:textId="3DAF99D9" w:rsidR="000C58DC" w:rsidRPr="00F13682" w:rsidRDefault="000C58DC" w:rsidP="000C58DC">
            <w:pPr>
              <w:jc w:val="right"/>
              <w:rPr>
                <w:sz w:val="18"/>
              </w:rPr>
            </w:pPr>
          </w:p>
        </w:tc>
        <w:tc>
          <w:tcPr>
            <w:tcW w:w="1606" w:type="dxa"/>
            <w:tcBorders>
              <w:top w:val="single" w:sz="4" w:space="0" w:color="auto"/>
              <w:left w:val="nil"/>
              <w:bottom w:val="nil"/>
              <w:right w:val="single" w:sz="4" w:space="0" w:color="auto"/>
            </w:tcBorders>
            <w:shd w:val="clear" w:color="auto" w:fill="auto"/>
          </w:tcPr>
          <w:p w14:paraId="0BF51CAE" w14:textId="78C05795" w:rsidR="000C58DC" w:rsidRPr="00844990" w:rsidRDefault="000C58DC" w:rsidP="000C58DC">
            <w:pPr>
              <w:jc w:val="right"/>
              <w:rPr>
                <w:sz w:val="18"/>
              </w:rPr>
            </w:pPr>
          </w:p>
        </w:tc>
      </w:tr>
      <w:tr w:rsidR="000C58DC" w:rsidRPr="00E80EE2" w14:paraId="712CE303" w14:textId="77777777" w:rsidTr="00522375">
        <w:trPr>
          <w:trHeight w:val="259"/>
        </w:trPr>
        <w:tc>
          <w:tcPr>
            <w:tcW w:w="3398" w:type="dxa"/>
            <w:tcBorders>
              <w:top w:val="nil"/>
              <w:left w:val="single" w:sz="4" w:space="0" w:color="auto"/>
              <w:bottom w:val="nil"/>
              <w:right w:val="nil"/>
            </w:tcBorders>
          </w:tcPr>
          <w:p w14:paraId="0FF6DCDC" w14:textId="77777777" w:rsidR="000C58DC" w:rsidRPr="00E80EE2" w:rsidRDefault="000C58DC" w:rsidP="000C58DC">
            <w:pPr>
              <w:rPr>
                <w:sz w:val="18"/>
                <w:szCs w:val="20"/>
              </w:rPr>
            </w:pPr>
            <w:r w:rsidRPr="00E80EE2">
              <w:rPr>
                <w:sz w:val="18"/>
                <w:szCs w:val="20"/>
              </w:rPr>
              <w:t>State appropriation - maintenance</w:t>
            </w:r>
          </w:p>
        </w:tc>
        <w:tc>
          <w:tcPr>
            <w:tcW w:w="1964" w:type="dxa"/>
            <w:tcBorders>
              <w:top w:val="nil"/>
              <w:left w:val="nil"/>
              <w:bottom w:val="nil"/>
              <w:right w:val="nil"/>
            </w:tcBorders>
          </w:tcPr>
          <w:p w14:paraId="58AFD0A6" w14:textId="6E95543C" w:rsidR="000C58DC" w:rsidRPr="00E80EE2" w:rsidRDefault="000C58DC" w:rsidP="000C58DC">
            <w:pPr>
              <w:jc w:val="right"/>
              <w:rPr>
                <w:sz w:val="18"/>
                <w:szCs w:val="20"/>
              </w:rPr>
            </w:pPr>
            <w:r w:rsidRPr="00F13682">
              <w:rPr>
                <w:sz w:val="18"/>
              </w:rPr>
              <w:t xml:space="preserve"> 1,358,136 </w:t>
            </w:r>
          </w:p>
        </w:tc>
        <w:tc>
          <w:tcPr>
            <w:tcW w:w="1551" w:type="dxa"/>
            <w:tcBorders>
              <w:top w:val="nil"/>
              <w:left w:val="nil"/>
              <w:bottom w:val="nil"/>
              <w:right w:val="nil"/>
            </w:tcBorders>
          </w:tcPr>
          <w:p w14:paraId="6BE4457F" w14:textId="711E4D0E" w:rsidR="000C58DC" w:rsidRPr="00F13682" w:rsidRDefault="000C58DC" w:rsidP="000C58DC">
            <w:pPr>
              <w:jc w:val="right"/>
              <w:rPr>
                <w:sz w:val="18"/>
              </w:rPr>
            </w:pPr>
            <w:r w:rsidRPr="00F13682">
              <w:rPr>
                <w:sz w:val="18"/>
              </w:rPr>
              <w:t xml:space="preserve"> 2,890,497 </w:t>
            </w:r>
          </w:p>
        </w:tc>
        <w:tc>
          <w:tcPr>
            <w:tcW w:w="1551" w:type="dxa"/>
            <w:tcBorders>
              <w:top w:val="nil"/>
              <w:left w:val="nil"/>
              <w:bottom w:val="nil"/>
              <w:right w:val="nil"/>
            </w:tcBorders>
          </w:tcPr>
          <w:p w14:paraId="2F4B0722" w14:textId="327F10CA" w:rsidR="000C58DC" w:rsidRPr="00F13682" w:rsidRDefault="000C58DC" w:rsidP="000C58DC">
            <w:pPr>
              <w:jc w:val="right"/>
              <w:rPr>
                <w:sz w:val="18"/>
              </w:rPr>
            </w:pPr>
          </w:p>
        </w:tc>
        <w:tc>
          <w:tcPr>
            <w:tcW w:w="1606" w:type="dxa"/>
            <w:tcBorders>
              <w:top w:val="nil"/>
              <w:left w:val="nil"/>
              <w:bottom w:val="nil"/>
              <w:right w:val="single" w:sz="4" w:space="0" w:color="auto"/>
            </w:tcBorders>
            <w:shd w:val="clear" w:color="auto" w:fill="auto"/>
          </w:tcPr>
          <w:p w14:paraId="56F2CE12" w14:textId="05ECF0FC" w:rsidR="000C58DC" w:rsidRPr="00844990" w:rsidRDefault="000C58DC" w:rsidP="000C58DC">
            <w:pPr>
              <w:jc w:val="right"/>
              <w:rPr>
                <w:sz w:val="18"/>
              </w:rPr>
            </w:pPr>
          </w:p>
        </w:tc>
      </w:tr>
      <w:tr w:rsidR="000C58DC" w:rsidRPr="00E80EE2" w14:paraId="2827BC6B" w14:textId="77777777" w:rsidTr="00522375">
        <w:trPr>
          <w:trHeight w:val="259"/>
        </w:trPr>
        <w:tc>
          <w:tcPr>
            <w:tcW w:w="3398" w:type="dxa"/>
            <w:tcBorders>
              <w:top w:val="nil"/>
              <w:left w:val="single" w:sz="4" w:space="0" w:color="auto"/>
              <w:bottom w:val="nil"/>
              <w:right w:val="nil"/>
            </w:tcBorders>
          </w:tcPr>
          <w:p w14:paraId="620DE366" w14:textId="77777777" w:rsidR="000C58DC" w:rsidRPr="00E80EE2" w:rsidRDefault="000C58DC" w:rsidP="000C58DC">
            <w:pPr>
              <w:rPr>
                <w:sz w:val="18"/>
                <w:szCs w:val="20"/>
              </w:rPr>
            </w:pPr>
            <w:r w:rsidRPr="00E80EE2">
              <w:rPr>
                <w:sz w:val="18"/>
                <w:szCs w:val="20"/>
              </w:rPr>
              <w:t>Pell grants</w:t>
            </w:r>
          </w:p>
        </w:tc>
        <w:tc>
          <w:tcPr>
            <w:tcW w:w="1964" w:type="dxa"/>
            <w:tcBorders>
              <w:top w:val="nil"/>
              <w:left w:val="nil"/>
              <w:bottom w:val="nil"/>
              <w:right w:val="nil"/>
            </w:tcBorders>
          </w:tcPr>
          <w:p w14:paraId="579329C0" w14:textId="45D32508" w:rsidR="000C58DC" w:rsidRPr="00E80EE2" w:rsidRDefault="000C58DC" w:rsidP="000C58DC">
            <w:pPr>
              <w:jc w:val="right"/>
              <w:rPr>
                <w:sz w:val="18"/>
                <w:szCs w:val="20"/>
              </w:rPr>
            </w:pPr>
            <w:r w:rsidRPr="00F13682">
              <w:rPr>
                <w:sz w:val="18"/>
              </w:rPr>
              <w:t xml:space="preserve"> 19,957,194 </w:t>
            </w:r>
          </w:p>
        </w:tc>
        <w:tc>
          <w:tcPr>
            <w:tcW w:w="1551" w:type="dxa"/>
            <w:tcBorders>
              <w:top w:val="nil"/>
              <w:left w:val="nil"/>
              <w:bottom w:val="nil"/>
              <w:right w:val="nil"/>
            </w:tcBorders>
          </w:tcPr>
          <w:p w14:paraId="43B59107" w14:textId="57697FEF" w:rsidR="000C58DC" w:rsidRPr="00F13682" w:rsidRDefault="000C58DC" w:rsidP="000C58DC">
            <w:pPr>
              <w:jc w:val="right"/>
              <w:rPr>
                <w:sz w:val="18"/>
              </w:rPr>
            </w:pPr>
            <w:r w:rsidRPr="00F13682">
              <w:rPr>
                <w:sz w:val="18"/>
              </w:rPr>
              <w:t xml:space="preserve"> 20,640,125 </w:t>
            </w:r>
          </w:p>
        </w:tc>
        <w:tc>
          <w:tcPr>
            <w:tcW w:w="1551" w:type="dxa"/>
            <w:tcBorders>
              <w:top w:val="nil"/>
              <w:left w:val="nil"/>
              <w:bottom w:val="nil"/>
              <w:right w:val="nil"/>
            </w:tcBorders>
          </w:tcPr>
          <w:p w14:paraId="27899110" w14:textId="055DD8C2" w:rsidR="000C58DC" w:rsidRPr="00F13682" w:rsidRDefault="000C58DC" w:rsidP="000C58DC">
            <w:pPr>
              <w:jc w:val="right"/>
              <w:rPr>
                <w:sz w:val="18"/>
              </w:rPr>
            </w:pPr>
          </w:p>
        </w:tc>
        <w:tc>
          <w:tcPr>
            <w:tcW w:w="1606" w:type="dxa"/>
            <w:tcBorders>
              <w:top w:val="nil"/>
              <w:left w:val="nil"/>
              <w:bottom w:val="nil"/>
              <w:right w:val="single" w:sz="4" w:space="0" w:color="auto"/>
            </w:tcBorders>
            <w:shd w:val="clear" w:color="auto" w:fill="auto"/>
          </w:tcPr>
          <w:p w14:paraId="285CDF5A" w14:textId="6DE59EC7" w:rsidR="000C58DC" w:rsidRPr="00844990" w:rsidRDefault="000C58DC" w:rsidP="000C58DC">
            <w:pPr>
              <w:jc w:val="right"/>
              <w:rPr>
                <w:sz w:val="18"/>
              </w:rPr>
            </w:pPr>
          </w:p>
        </w:tc>
      </w:tr>
      <w:tr w:rsidR="000C58DC" w:rsidRPr="00E80EE2" w14:paraId="66F5B102" w14:textId="77777777" w:rsidTr="00522375">
        <w:trPr>
          <w:trHeight w:val="259"/>
        </w:trPr>
        <w:tc>
          <w:tcPr>
            <w:tcW w:w="3398" w:type="dxa"/>
            <w:tcBorders>
              <w:top w:val="nil"/>
              <w:left w:val="single" w:sz="4" w:space="0" w:color="auto"/>
              <w:bottom w:val="nil"/>
              <w:right w:val="nil"/>
            </w:tcBorders>
          </w:tcPr>
          <w:p w14:paraId="17740E45" w14:textId="77777777" w:rsidR="000C58DC" w:rsidRPr="00E80EE2" w:rsidRDefault="000C58DC" w:rsidP="000C58DC">
            <w:pPr>
              <w:rPr>
                <w:sz w:val="18"/>
                <w:szCs w:val="20"/>
              </w:rPr>
            </w:pPr>
            <w:r w:rsidRPr="00E80EE2">
              <w:rPr>
                <w:sz w:val="18"/>
                <w:szCs w:val="20"/>
              </w:rPr>
              <w:t>Gifts</w:t>
            </w:r>
          </w:p>
        </w:tc>
        <w:tc>
          <w:tcPr>
            <w:tcW w:w="1964" w:type="dxa"/>
            <w:tcBorders>
              <w:top w:val="nil"/>
              <w:left w:val="nil"/>
              <w:bottom w:val="nil"/>
              <w:right w:val="nil"/>
            </w:tcBorders>
          </w:tcPr>
          <w:p w14:paraId="783FCC35" w14:textId="51DCC12B" w:rsidR="000C58DC" w:rsidRPr="00E80EE2" w:rsidRDefault="000C58DC" w:rsidP="000C58DC">
            <w:pPr>
              <w:jc w:val="right"/>
              <w:rPr>
                <w:sz w:val="18"/>
                <w:szCs w:val="20"/>
              </w:rPr>
            </w:pPr>
            <w:r w:rsidRPr="00F13682">
              <w:rPr>
                <w:sz w:val="18"/>
              </w:rPr>
              <w:t xml:space="preserve"> 32,882,833 </w:t>
            </w:r>
          </w:p>
        </w:tc>
        <w:tc>
          <w:tcPr>
            <w:tcW w:w="1551" w:type="dxa"/>
            <w:tcBorders>
              <w:top w:val="nil"/>
              <w:left w:val="nil"/>
              <w:bottom w:val="nil"/>
              <w:right w:val="nil"/>
            </w:tcBorders>
          </w:tcPr>
          <w:p w14:paraId="4289F63B" w14:textId="0EE7FEF9" w:rsidR="000C58DC" w:rsidRPr="00F13682" w:rsidRDefault="000C58DC" w:rsidP="000C58DC">
            <w:pPr>
              <w:jc w:val="right"/>
              <w:rPr>
                <w:sz w:val="18"/>
              </w:rPr>
            </w:pPr>
            <w:r w:rsidRPr="00F13682">
              <w:rPr>
                <w:sz w:val="18"/>
              </w:rPr>
              <w:t xml:space="preserve"> 36,887,332 </w:t>
            </w:r>
          </w:p>
        </w:tc>
        <w:tc>
          <w:tcPr>
            <w:tcW w:w="1551" w:type="dxa"/>
            <w:tcBorders>
              <w:top w:val="nil"/>
              <w:left w:val="nil"/>
              <w:bottom w:val="nil"/>
              <w:right w:val="nil"/>
            </w:tcBorders>
          </w:tcPr>
          <w:p w14:paraId="41B7FB58" w14:textId="752D4B6E" w:rsidR="000C58DC" w:rsidRPr="00F13682" w:rsidRDefault="000C58DC" w:rsidP="000C58DC">
            <w:pPr>
              <w:jc w:val="right"/>
              <w:rPr>
                <w:sz w:val="18"/>
              </w:rPr>
            </w:pPr>
          </w:p>
        </w:tc>
        <w:tc>
          <w:tcPr>
            <w:tcW w:w="1606" w:type="dxa"/>
            <w:tcBorders>
              <w:top w:val="nil"/>
              <w:left w:val="nil"/>
              <w:bottom w:val="nil"/>
              <w:right w:val="single" w:sz="4" w:space="0" w:color="auto"/>
            </w:tcBorders>
            <w:shd w:val="clear" w:color="auto" w:fill="auto"/>
          </w:tcPr>
          <w:p w14:paraId="5446FBE2" w14:textId="1D093114" w:rsidR="000C58DC" w:rsidRPr="00844990" w:rsidRDefault="000C58DC" w:rsidP="000C58DC">
            <w:pPr>
              <w:jc w:val="right"/>
              <w:rPr>
                <w:sz w:val="18"/>
              </w:rPr>
            </w:pPr>
          </w:p>
        </w:tc>
      </w:tr>
      <w:tr w:rsidR="000C58DC" w:rsidRPr="00E80EE2" w14:paraId="2EE73B7B" w14:textId="77777777" w:rsidTr="00522375">
        <w:trPr>
          <w:trHeight w:val="259"/>
        </w:trPr>
        <w:tc>
          <w:tcPr>
            <w:tcW w:w="3398" w:type="dxa"/>
            <w:tcBorders>
              <w:top w:val="nil"/>
              <w:left w:val="single" w:sz="4" w:space="0" w:color="auto"/>
              <w:bottom w:val="nil"/>
              <w:right w:val="nil"/>
            </w:tcBorders>
          </w:tcPr>
          <w:p w14:paraId="7A947523" w14:textId="77777777" w:rsidR="000C58DC" w:rsidRPr="00E80EE2" w:rsidRDefault="000C58DC" w:rsidP="000C58DC">
            <w:pPr>
              <w:rPr>
                <w:sz w:val="18"/>
                <w:szCs w:val="20"/>
              </w:rPr>
            </w:pPr>
            <w:r w:rsidRPr="00E80EE2">
              <w:rPr>
                <w:sz w:val="18"/>
                <w:szCs w:val="20"/>
              </w:rPr>
              <w:t>Net investment income</w:t>
            </w:r>
          </w:p>
        </w:tc>
        <w:tc>
          <w:tcPr>
            <w:tcW w:w="1964" w:type="dxa"/>
            <w:tcBorders>
              <w:top w:val="nil"/>
              <w:left w:val="nil"/>
              <w:bottom w:val="nil"/>
              <w:right w:val="nil"/>
            </w:tcBorders>
          </w:tcPr>
          <w:p w14:paraId="00AF31EC" w14:textId="37CA527D" w:rsidR="000C58DC" w:rsidRPr="00E80EE2" w:rsidRDefault="000C58DC" w:rsidP="000C58DC">
            <w:pPr>
              <w:jc w:val="right"/>
              <w:rPr>
                <w:sz w:val="18"/>
                <w:szCs w:val="20"/>
              </w:rPr>
            </w:pPr>
            <w:r w:rsidRPr="00F13682">
              <w:rPr>
                <w:sz w:val="18"/>
              </w:rPr>
              <w:t xml:space="preserve"> 1,008,292 </w:t>
            </w:r>
          </w:p>
        </w:tc>
        <w:tc>
          <w:tcPr>
            <w:tcW w:w="1551" w:type="dxa"/>
            <w:tcBorders>
              <w:top w:val="nil"/>
              <w:left w:val="nil"/>
              <w:bottom w:val="nil"/>
              <w:right w:val="nil"/>
            </w:tcBorders>
          </w:tcPr>
          <w:p w14:paraId="5C1AE208" w14:textId="018A7AFC" w:rsidR="000C58DC" w:rsidRPr="00F13682" w:rsidRDefault="000C58DC" w:rsidP="000C58DC">
            <w:pPr>
              <w:jc w:val="right"/>
              <w:rPr>
                <w:sz w:val="18"/>
              </w:rPr>
            </w:pPr>
            <w:r w:rsidRPr="00F13682">
              <w:rPr>
                <w:sz w:val="18"/>
              </w:rPr>
              <w:t xml:space="preserve"> 6,058,086 </w:t>
            </w:r>
          </w:p>
        </w:tc>
        <w:tc>
          <w:tcPr>
            <w:tcW w:w="1551" w:type="dxa"/>
            <w:tcBorders>
              <w:top w:val="nil"/>
              <w:left w:val="nil"/>
              <w:bottom w:val="nil"/>
              <w:right w:val="nil"/>
            </w:tcBorders>
          </w:tcPr>
          <w:p w14:paraId="0E5E28B3" w14:textId="389CC5CD" w:rsidR="000C58DC" w:rsidRPr="00F13682" w:rsidRDefault="000C58DC" w:rsidP="000C58DC">
            <w:pPr>
              <w:jc w:val="right"/>
              <w:rPr>
                <w:sz w:val="18"/>
              </w:rPr>
            </w:pPr>
          </w:p>
        </w:tc>
        <w:tc>
          <w:tcPr>
            <w:tcW w:w="1606" w:type="dxa"/>
            <w:tcBorders>
              <w:top w:val="nil"/>
              <w:left w:val="nil"/>
              <w:bottom w:val="nil"/>
              <w:right w:val="single" w:sz="4" w:space="0" w:color="auto"/>
            </w:tcBorders>
            <w:shd w:val="clear" w:color="auto" w:fill="auto"/>
          </w:tcPr>
          <w:p w14:paraId="4F79AAC9" w14:textId="04AC9E9E" w:rsidR="000C58DC" w:rsidRPr="00844990" w:rsidRDefault="000C58DC" w:rsidP="000C58DC">
            <w:pPr>
              <w:jc w:val="right"/>
              <w:rPr>
                <w:sz w:val="18"/>
              </w:rPr>
            </w:pPr>
          </w:p>
        </w:tc>
      </w:tr>
      <w:tr w:rsidR="000C58DC" w:rsidRPr="00E80EE2" w14:paraId="5DC35297" w14:textId="77777777" w:rsidTr="00522375">
        <w:trPr>
          <w:trHeight w:val="259"/>
        </w:trPr>
        <w:tc>
          <w:tcPr>
            <w:tcW w:w="3398" w:type="dxa"/>
            <w:tcBorders>
              <w:top w:val="nil"/>
              <w:left w:val="single" w:sz="4" w:space="0" w:color="auto"/>
              <w:bottom w:val="nil"/>
              <w:right w:val="nil"/>
            </w:tcBorders>
          </w:tcPr>
          <w:p w14:paraId="77E1BC04" w14:textId="77777777" w:rsidR="000C58DC" w:rsidRPr="00E80EE2" w:rsidRDefault="000C58DC" w:rsidP="000C58DC">
            <w:pPr>
              <w:rPr>
                <w:sz w:val="18"/>
                <w:szCs w:val="20"/>
              </w:rPr>
            </w:pPr>
            <w:r w:rsidRPr="00E80EE2">
              <w:rPr>
                <w:sz w:val="18"/>
                <w:szCs w:val="20"/>
              </w:rPr>
              <w:t>Change in fair value of investments</w:t>
            </w:r>
          </w:p>
        </w:tc>
        <w:tc>
          <w:tcPr>
            <w:tcW w:w="1964" w:type="dxa"/>
            <w:tcBorders>
              <w:top w:val="nil"/>
              <w:left w:val="nil"/>
              <w:bottom w:val="nil"/>
              <w:right w:val="nil"/>
            </w:tcBorders>
          </w:tcPr>
          <w:p w14:paraId="78BB8935" w14:textId="1CFE12C1" w:rsidR="000C58DC" w:rsidRPr="00E80EE2" w:rsidRDefault="000C58DC" w:rsidP="000C58DC">
            <w:pPr>
              <w:jc w:val="right"/>
              <w:rPr>
                <w:sz w:val="18"/>
                <w:szCs w:val="20"/>
              </w:rPr>
            </w:pPr>
            <w:r w:rsidRPr="00F13682">
              <w:rPr>
                <w:sz w:val="18"/>
              </w:rPr>
              <w:t xml:space="preserve"> (4,228,383)</w:t>
            </w:r>
          </w:p>
        </w:tc>
        <w:tc>
          <w:tcPr>
            <w:tcW w:w="1551" w:type="dxa"/>
            <w:tcBorders>
              <w:top w:val="nil"/>
              <w:left w:val="nil"/>
              <w:bottom w:val="nil"/>
              <w:right w:val="nil"/>
            </w:tcBorders>
          </w:tcPr>
          <w:p w14:paraId="4D8BA3E0" w14:textId="6C09D2DF" w:rsidR="000C58DC" w:rsidRPr="00F13682" w:rsidRDefault="000C58DC" w:rsidP="000C58DC">
            <w:pPr>
              <w:jc w:val="right"/>
              <w:rPr>
                <w:sz w:val="18"/>
              </w:rPr>
            </w:pPr>
            <w:r w:rsidRPr="00F13682">
              <w:rPr>
                <w:sz w:val="18"/>
              </w:rPr>
              <w:t xml:space="preserve"> 31,268 </w:t>
            </w:r>
          </w:p>
        </w:tc>
        <w:tc>
          <w:tcPr>
            <w:tcW w:w="1551" w:type="dxa"/>
            <w:tcBorders>
              <w:top w:val="nil"/>
              <w:left w:val="nil"/>
              <w:bottom w:val="nil"/>
              <w:right w:val="nil"/>
            </w:tcBorders>
          </w:tcPr>
          <w:p w14:paraId="011A9854" w14:textId="4FEB937F" w:rsidR="000C58DC" w:rsidRPr="00F13682" w:rsidRDefault="000C58DC" w:rsidP="000C58DC">
            <w:pPr>
              <w:jc w:val="right"/>
              <w:rPr>
                <w:sz w:val="18"/>
              </w:rPr>
            </w:pPr>
          </w:p>
        </w:tc>
        <w:tc>
          <w:tcPr>
            <w:tcW w:w="1606" w:type="dxa"/>
            <w:tcBorders>
              <w:top w:val="nil"/>
              <w:left w:val="nil"/>
              <w:bottom w:val="nil"/>
              <w:right w:val="single" w:sz="4" w:space="0" w:color="auto"/>
            </w:tcBorders>
            <w:shd w:val="clear" w:color="auto" w:fill="auto"/>
          </w:tcPr>
          <w:p w14:paraId="55A3B768" w14:textId="6D4DB869" w:rsidR="000C58DC" w:rsidRPr="00844990" w:rsidRDefault="000C58DC" w:rsidP="000C58DC">
            <w:pPr>
              <w:jc w:val="right"/>
              <w:rPr>
                <w:sz w:val="18"/>
              </w:rPr>
            </w:pPr>
          </w:p>
        </w:tc>
      </w:tr>
      <w:tr w:rsidR="000C58DC" w:rsidRPr="00E80EE2" w14:paraId="29FE735E" w14:textId="77777777" w:rsidTr="00522375">
        <w:trPr>
          <w:trHeight w:val="259"/>
        </w:trPr>
        <w:tc>
          <w:tcPr>
            <w:tcW w:w="3398" w:type="dxa"/>
            <w:tcBorders>
              <w:top w:val="nil"/>
              <w:left w:val="single" w:sz="4" w:space="0" w:color="auto"/>
              <w:bottom w:val="nil"/>
              <w:right w:val="nil"/>
            </w:tcBorders>
          </w:tcPr>
          <w:p w14:paraId="29446045" w14:textId="77777777" w:rsidR="000C58DC" w:rsidRPr="00E80EE2" w:rsidRDefault="000C58DC" w:rsidP="000C58DC">
            <w:pPr>
              <w:rPr>
                <w:sz w:val="18"/>
                <w:szCs w:val="20"/>
              </w:rPr>
            </w:pPr>
            <w:r w:rsidRPr="00E80EE2">
              <w:rPr>
                <w:sz w:val="18"/>
                <w:szCs w:val="20"/>
              </w:rPr>
              <w:t xml:space="preserve">Interest   </w:t>
            </w:r>
          </w:p>
        </w:tc>
        <w:tc>
          <w:tcPr>
            <w:tcW w:w="1964" w:type="dxa"/>
            <w:tcBorders>
              <w:top w:val="nil"/>
              <w:left w:val="nil"/>
              <w:bottom w:val="nil"/>
              <w:right w:val="nil"/>
            </w:tcBorders>
          </w:tcPr>
          <w:p w14:paraId="1B3AEB7E" w14:textId="09F52D22" w:rsidR="000C58DC" w:rsidRPr="00E80EE2" w:rsidRDefault="000C58DC" w:rsidP="000C58DC">
            <w:pPr>
              <w:jc w:val="right"/>
              <w:rPr>
                <w:sz w:val="18"/>
                <w:szCs w:val="20"/>
              </w:rPr>
            </w:pPr>
            <w:r w:rsidRPr="00F13682">
              <w:rPr>
                <w:sz w:val="18"/>
              </w:rPr>
              <w:t xml:space="preserve"> (7,552,000)</w:t>
            </w:r>
          </w:p>
        </w:tc>
        <w:tc>
          <w:tcPr>
            <w:tcW w:w="1551" w:type="dxa"/>
            <w:tcBorders>
              <w:top w:val="nil"/>
              <w:left w:val="nil"/>
              <w:bottom w:val="nil"/>
              <w:right w:val="nil"/>
            </w:tcBorders>
          </w:tcPr>
          <w:p w14:paraId="3E690F60" w14:textId="7C9E1DC0" w:rsidR="000C58DC" w:rsidRPr="00F13682" w:rsidRDefault="000C58DC" w:rsidP="000C58DC">
            <w:pPr>
              <w:jc w:val="right"/>
              <w:rPr>
                <w:sz w:val="18"/>
              </w:rPr>
            </w:pPr>
            <w:r w:rsidRPr="00F13682">
              <w:rPr>
                <w:sz w:val="18"/>
              </w:rPr>
              <w:t xml:space="preserve"> (7,353,546)</w:t>
            </w:r>
          </w:p>
        </w:tc>
        <w:tc>
          <w:tcPr>
            <w:tcW w:w="1551" w:type="dxa"/>
            <w:tcBorders>
              <w:top w:val="nil"/>
              <w:left w:val="nil"/>
              <w:bottom w:val="nil"/>
              <w:right w:val="nil"/>
            </w:tcBorders>
          </w:tcPr>
          <w:p w14:paraId="5F7F9E1B" w14:textId="58E85864" w:rsidR="000C58DC" w:rsidRPr="00F13682" w:rsidRDefault="000C58DC" w:rsidP="000C58DC">
            <w:pPr>
              <w:jc w:val="right"/>
              <w:rPr>
                <w:sz w:val="18"/>
              </w:rPr>
            </w:pPr>
          </w:p>
        </w:tc>
        <w:tc>
          <w:tcPr>
            <w:tcW w:w="1606" w:type="dxa"/>
            <w:tcBorders>
              <w:top w:val="nil"/>
              <w:left w:val="nil"/>
              <w:bottom w:val="nil"/>
              <w:right w:val="single" w:sz="4" w:space="0" w:color="auto"/>
            </w:tcBorders>
            <w:shd w:val="clear" w:color="auto" w:fill="auto"/>
          </w:tcPr>
          <w:p w14:paraId="7C8A5C39" w14:textId="59A88A01" w:rsidR="000C58DC" w:rsidRPr="00F13682" w:rsidRDefault="000C58DC" w:rsidP="000C58DC">
            <w:pPr>
              <w:jc w:val="right"/>
              <w:rPr>
                <w:sz w:val="18"/>
              </w:rPr>
            </w:pPr>
          </w:p>
        </w:tc>
      </w:tr>
      <w:tr w:rsidR="000C58DC" w:rsidRPr="00E80EE2" w14:paraId="023841A6" w14:textId="77777777" w:rsidTr="00522375">
        <w:trPr>
          <w:trHeight w:val="259"/>
        </w:trPr>
        <w:tc>
          <w:tcPr>
            <w:tcW w:w="3398" w:type="dxa"/>
            <w:tcBorders>
              <w:top w:val="nil"/>
              <w:left w:val="single" w:sz="4" w:space="0" w:color="auto"/>
              <w:bottom w:val="nil"/>
              <w:right w:val="nil"/>
            </w:tcBorders>
          </w:tcPr>
          <w:p w14:paraId="219C969F" w14:textId="77777777" w:rsidR="000C58DC" w:rsidRPr="00E80EE2" w:rsidRDefault="000C58DC" w:rsidP="000C58DC">
            <w:pPr>
              <w:rPr>
                <w:sz w:val="18"/>
                <w:szCs w:val="20"/>
              </w:rPr>
            </w:pPr>
            <w:r w:rsidRPr="00E80EE2">
              <w:rPr>
                <w:sz w:val="18"/>
                <w:szCs w:val="20"/>
              </w:rPr>
              <w:t>Gain/loss on retirement of assets</w:t>
            </w:r>
          </w:p>
        </w:tc>
        <w:tc>
          <w:tcPr>
            <w:tcW w:w="1964" w:type="dxa"/>
            <w:tcBorders>
              <w:top w:val="nil"/>
              <w:left w:val="nil"/>
              <w:bottom w:val="nil"/>
              <w:right w:val="nil"/>
            </w:tcBorders>
          </w:tcPr>
          <w:p w14:paraId="07B56A41" w14:textId="193BAC8D" w:rsidR="000C58DC" w:rsidRPr="00E80EE2" w:rsidRDefault="000C58DC" w:rsidP="000C58DC">
            <w:pPr>
              <w:jc w:val="right"/>
              <w:rPr>
                <w:sz w:val="18"/>
                <w:szCs w:val="20"/>
              </w:rPr>
            </w:pPr>
            <w:r w:rsidRPr="00F13682">
              <w:rPr>
                <w:sz w:val="18"/>
              </w:rPr>
              <w:t xml:space="preserve"> (82,232)</w:t>
            </w:r>
          </w:p>
        </w:tc>
        <w:tc>
          <w:tcPr>
            <w:tcW w:w="1551" w:type="dxa"/>
            <w:tcBorders>
              <w:top w:val="nil"/>
              <w:left w:val="nil"/>
              <w:bottom w:val="nil"/>
              <w:right w:val="nil"/>
            </w:tcBorders>
          </w:tcPr>
          <w:p w14:paraId="55BA0286" w14:textId="2CB74099" w:rsidR="000C58DC" w:rsidRPr="00F13682" w:rsidRDefault="000C58DC" w:rsidP="000C58DC">
            <w:pPr>
              <w:jc w:val="right"/>
              <w:rPr>
                <w:sz w:val="18"/>
              </w:rPr>
            </w:pPr>
            <w:r w:rsidRPr="00F13682">
              <w:rPr>
                <w:sz w:val="18"/>
              </w:rPr>
              <w:t xml:space="preserve"> (473,223)</w:t>
            </w:r>
          </w:p>
        </w:tc>
        <w:tc>
          <w:tcPr>
            <w:tcW w:w="1551" w:type="dxa"/>
            <w:tcBorders>
              <w:top w:val="nil"/>
              <w:left w:val="nil"/>
              <w:bottom w:val="nil"/>
              <w:right w:val="nil"/>
            </w:tcBorders>
          </w:tcPr>
          <w:p w14:paraId="5BFFB063" w14:textId="0D36027B" w:rsidR="000C58DC" w:rsidRPr="00F13682" w:rsidRDefault="000C58DC" w:rsidP="000C58DC">
            <w:pPr>
              <w:jc w:val="right"/>
              <w:rPr>
                <w:sz w:val="18"/>
              </w:rPr>
            </w:pPr>
          </w:p>
        </w:tc>
        <w:tc>
          <w:tcPr>
            <w:tcW w:w="1606" w:type="dxa"/>
            <w:tcBorders>
              <w:top w:val="nil"/>
              <w:left w:val="nil"/>
              <w:bottom w:val="nil"/>
              <w:right w:val="single" w:sz="4" w:space="0" w:color="auto"/>
            </w:tcBorders>
            <w:shd w:val="clear" w:color="auto" w:fill="auto"/>
          </w:tcPr>
          <w:p w14:paraId="60F96CD7" w14:textId="31C33DED" w:rsidR="000C58DC" w:rsidRPr="00844990" w:rsidRDefault="000C58DC" w:rsidP="000C58DC">
            <w:pPr>
              <w:jc w:val="right"/>
              <w:rPr>
                <w:sz w:val="18"/>
              </w:rPr>
            </w:pPr>
          </w:p>
        </w:tc>
      </w:tr>
      <w:tr w:rsidR="000C58DC" w:rsidRPr="00E80EE2" w14:paraId="7D711BC4" w14:textId="77777777" w:rsidTr="00522375">
        <w:trPr>
          <w:trHeight w:val="259"/>
        </w:trPr>
        <w:tc>
          <w:tcPr>
            <w:tcW w:w="3398" w:type="dxa"/>
            <w:tcBorders>
              <w:top w:val="nil"/>
              <w:left w:val="single" w:sz="4" w:space="0" w:color="auto"/>
              <w:bottom w:val="nil"/>
              <w:right w:val="nil"/>
            </w:tcBorders>
          </w:tcPr>
          <w:p w14:paraId="226347F1" w14:textId="2342C0A6" w:rsidR="000C58DC" w:rsidRDefault="000C58DC" w:rsidP="000C58DC">
            <w:pPr>
              <w:rPr>
                <w:sz w:val="18"/>
                <w:szCs w:val="20"/>
              </w:rPr>
            </w:pPr>
            <w:r>
              <w:rPr>
                <w:sz w:val="18"/>
                <w:szCs w:val="20"/>
              </w:rPr>
              <w:t>Federal Aid Grant Revenue</w:t>
            </w:r>
          </w:p>
        </w:tc>
        <w:tc>
          <w:tcPr>
            <w:tcW w:w="1964" w:type="dxa"/>
            <w:tcBorders>
              <w:top w:val="nil"/>
              <w:left w:val="nil"/>
              <w:bottom w:val="nil"/>
              <w:right w:val="nil"/>
            </w:tcBorders>
          </w:tcPr>
          <w:p w14:paraId="55CBB547" w14:textId="5027CFE3" w:rsidR="000C58DC" w:rsidRDefault="000C58DC" w:rsidP="000C58DC">
            <w:pPr>
              <w:jc w:val="right"/>
              <w:rPr>
                <w:sz w:val="18"/>
                <w:szCs w:val="20"/>
              </w:rPr>
            </w:pPr>
            <w:r w:rsidRPr="00F13682">
              <w:rPr>
                <w:sz w:val="18"/>
              </w:rPr>
              <w:t xml:space="preserve"> 35,129,537 </w:t>
            </w:r>
          </w:p>
        </w:tc>
        <w:tc>
          <w:tcPr>
            <w:tcW w:w="1551" w:type="dxa"/>
            <w:tcBorders>
              <w:top w:val="nil"/>
              <w:left w:val="nil"/>
              <w:bottom w:val="nil"/>
              <w:right w:val="nil"/>
            </w:tcBorders>
          </w:tcPr>
          <w:p w14:paraId="02F63EA3" w14:textId="34782B63" w:rsidR="000C58DC" w:rsidRPr="00B570EE" w:rsidRDefault="000C58DC" w:rsidP="000C58DC">
            <w:pPr>
              <w:jc w:val="right"/>
              <w:rPr>
                <w:sz w:val="18"/>
              </w:rPr>
            </w:pPr>
            <w:r w:rsidRPr="00F13682">
              <w:rPr>
                <w:sz w:val="18"/>
              </w:rPr>
              <w:t xml:space="preserve"> 1,000,000 </w:t>
            </w:r>
          </w:p>
        </w:tc>
        <w:tc>
          <w:tcPr>
            <w:tcW w:w="1551" w:type="dxa"/>
            <w:tcBorders>
              <w:top w:val="nil"/>
              <w:left w:val="nil"/>
              <w:bottom w:val="nil"/>
              <w:right w:val="nil"/>
            </w:tcBorders>
          </w:tcPr>
          <w:p w14:paraId="3BCD9E86" w14:textId="01254E0F" w:rsidR="000C58DC" w:rsidRPr="00844990" w:rsidRDefault="000C58DC" w:rsidP="000C58DC">
            <w:pPr>
              <w:jc w:val="right"/>
              <w:rPr>
                <w:sz w:val="18"/>
              </w:rPr>
            </w:pPr>
          </w:p>
        </w:tc>
        <w:tc>
          <w:tcPr>
            <w:tcW w:w="1606" w:type="dxa"/>
            <w:tcBorders>
              <w:top w:val="nil"/>
              <w:left w:val="nil"/>
              <w:bottom w:val="nil"/>
              <w:right w:val="single" w:sz="4" w:space="0" w:color="auto"/>
            </w:tcBorders>
            <w:shd w:val="clear" w:color="auto" w:fill="auto"/>
          </w:tcPr>
          <w:p w14:paraId="5A475412" w14:textId="2A2B86B7" w:rsidR="000C58DC" w:rsidRPr="00297693" w:rsidRDefault="000C58DC" w:rsidP="000C58DC">
            <w:pPr>
              <w:jc w:val="right"/>
              <w:rPr>
                <w:sz w:val="18"/>
              </w:rPr>
            </w:pPr>
          </w:p>
        </w:tc>
      </w:tr>
      <w:tr w:rsidR="000C58DC" w:rsidRPr="00E80EE2" w14:paraId="3A0B4A83" w14:textId="77777777" w:rsidTr="00F13682">
        <w:trPr>
          <w:trHeight w:val="259"/>
        </w:trPr>
        <w:tc>
          <w:tcPr>
            <w:tcW w:w="3398" w:type="dxa"/>
            <w:tcBorders>
              <w:top w:val="nil"/>
              <w:left w:val="single" w:sz="4" w:space="0" w:color="auto"/>
              <w:bottom w:val="nil"/>
              <w:right w:val="nil"/>
            </w:tcBorders>
          </w:tcPr>
          <w:p w14:paraId="556E38D6" w14:textId="2B6F6B34" w:rsidR="000C58DC" w:rsidRPr="00E80EE2" w:rsidRDefault="000C58DC" w:rsidP="000C58DC">
            <w:pPr>
              <w:rPr>
                <w:sz w:val="18"/>
                <w:szCs w:val="20"/>
              </w:rPr>
            </w:pPr>
            <w:r>
              <w:rPr>
                <w:sz w:val="18"/>
                <w:szCs w:val="20"/>
              </w:rPr>
              <w:t>Loss on Perkins federal capital contribution</w:t>
            </w:r>
          </w:p>
        </w:tc>
        <w:tc>
          <w:tcPr>
            <w:tcW w:w="1964" w:type="dxa"/>
            <w:tcBorders>
              <w:top w:val="nil"/>
              <w:left w:val="nil"/>
              <w:bottom w:val="nil"/>
              <w:right w:val="nil"/>
            </w:tcBorders>
            <w:vAlign w:val="center"/>
          </w:tcPr>
          <w:p w14:paraId="00873DE4" w14:textId="4A3F5FB6" w:rsidR="000C58DC" w:rsidRDefault="000C58DC" w:rsidP="000C58DC">
            <w:pPr>
              <w:jc w:val="right"/>
              <w:rPr>
                <w:sz w:val="18"/>
                <w:szCs w:val="20"/>
              </w:rPr>
            </w:pPr>
            <w:r>
              <w:rPr>
                <w:sz w:val="18"/>
              </w:rPr>
              <w:t>-</w:t>
            </w:r>
          </w:p>
        </w:tc>
        <w:tc>
          <w:tcPr>
            <w:tcW w:w="1551" w:type="dxa"/>
            <w:tcBorders>
              <w:top w:val="nil"/>
              <w:left w:val="nil"/>
              <w:bottom w:val="nil"/>
              <w:right w:val="nil"/>
            </w:tcBorders>
            <w:vAlign w:val="center"/>
          </w:tcPr>
          <w:p w14:paraId="5F5E06A1" w14:textId="7C479F18" w:rsidR="000C58DC" w:rsidRPr="00F13682" w:rsidRDefault="000C58DC" w:rsidP="000C58DC">
            <w:pPr>
              <w:jc w:val="right"/>
              <w:rPr>
                <w:sz w:val="18"/>
              </w:rPr>
            </w:pPr>
          </w:p>
        </w:tc>
        <w:tc>
          <w:tcPr>
            <w:tcW w:w="1551" w:type="dxa"/>
            <w:tcBorders>
              <w:top w:val="nil"/>
              <w:left w:val="nil"/>
              <w:bottom w:val="nil"/>
              <w:right w:val="nil"/>
            </w:tcBorders>
            <w:vAlign w:val="center"/>
          </w:tcPr>
          <w:p w14:paraId="35312E2D" w14:textId="67CED9FC" w:rsidR="000C58DC" w:rsidRPr="00F13682" w:rsidRDefault="000C58DC" w:rsidP="000C58DC">
            <w:pPr>
              <w:jc w:val="right"/>
              <w:rPr>
                <w:sz w:val="18"/>
              </w:rPr>
            </w:pPr>
          </w:p>
        </w:tc>
        <w:tc>
          <w:tcPr>
            <w:tcW w:w="1606" w:type="dxa"/>
            <w:tcBorders>
              <w:top w:val="nil"/>
              <w:left w:val="nil"/>
              <w:bottom w:val="nil"/>
              <w:right w:val="single" w:sz="4" w:space="0" w:color="auto"/>
            </w:tcBorders>
            <w:shd w:val="clear" w:color="auto" w:fill="auto"/>
            <w:vAlign w:val="center"/>
          </w:tcPr>
          <w:p w14:paraId="3AC53191" w14:textId="6F0BBA5F" w:rsidR="000C58DC" w:rsidRPr="00844990" w:rsidRDefault="000C58DC" w:rsidP="000C58DC">
            <w:pPr>
              <w:jc w:val="right"/>
              <w:rPr>
                <w:sz w:val="18"/>
              </w:rPr>
            </w:pPr>
          </w:p>
        </w:tc>
      </w:tr>
      <w:tr w:rsidR="000C58DC" w:rsidRPr="00E80EE2" w14:paraId="01D81B7C" w14:textId="77777777" w:rsidTr="00522375">
        <w:trPr>
          <w:trHeight w:val="259"/>
        </w:trPr>
        <w:tc>
          <w:tcPr>
            <w:tcW w:w="3398" w:type="dxa"/>
            <w:tcBorders>
              <w:top w:val="nil"/>
              <w:left w:val="single" w:sz="4" w:space="0" w:color="auto"/>
              <w:bottom w:val="nil"/>
              <w:right w:val="nil"/>
            </w:tcBorders>
          </w:tcPr>
          <w:p w14:paraId="309493A8" w14:textId="28CB6E21" w:rsidR="000C58DC" w:rsidRDefault="000C58DC" w:rsidP="000C58DC">
            <w:pPr>
              <w:rPr>
                <w:sz w:val="18"/>
                <w:szCs w:val="20"/>
              </w:rPr>
            </w:pPr>
            <w:r w:rsidRPr="00E80EE2">
              <w:rPr>
                <w:sz w:val="18"/>
                <w:szCs w:val="20"/>
              </w:rPr>
              <w:t>Other non-operating revenue/(expense)</w:t>
            </w:r>
          </w:p>
        </w:tc>
        <w:tc>
          <w:tcPr>
            <w:tcW w:w="1964" w:type="dxa"/>
            <w:tcBorders>
              <w:top w:val="nil"/>
              <w:left w:val="nil"/>
              <w:bottom w:val="single" w:sz="4" w:space="0" w:color="auto"/>
              <w:right w:val="nil"/>
            </w:tcBorders>
          </w:tcPr>
          <w:p w14:paraId="4EF15E96" w14:textId="7C01A2EE" w:rsidR="000C58DC" w:rsidRDefault="000C58DC" w:rsidP="000C58DC">
            <w:pPr>
              <w:jc w:val="right"/>
              <w:rPr>
                <w:sz w:val="18"/>
                <w:szCs w:val="20"/>
              </w:rPr>
            </w:pPr>
            <w:r w:rsidRPr="00F13682">
              <w:rPr>
                <w:sz w:val="18"/>
              </w:rPr>
              <w:t xml:space="preserve"> 105,499 </w:t>
            </w:r>
          </w:p>
        </w:tc>
        <w:tc>
          <w:tcPr>
            <w:tcW w:w="1551" w:type="dxa"/>
            <w:tcBorders>
              <w:top w:val="nil"/>
              <w:left w:val="nil"/>
              <w:bottom w:val="single" w:sz="4" w:space="0" w:color="auto"/>
              <w:right w:val="nil"/>
            </w:tcBorders>
          </w:tcPr>
          <w:p w14:paraId="1CC67012" w14:textId="237F7044" w:rsidR="000C58DC" w:rsidRPr="00F13682" w:rsidRDefault="000C58DC" w:rsidP="000C58DC">
            <w:pPr>
              <w:jc w:val="right"/>
              <w:rPr>
                <w:sz w:val="18"/>
              </w:rPr>
            </w:pPr>
            <w:r w:rsidRPr="00F13682">
              <w:rPr>
                <w:sz w:val="18"/>
              </w:rPr>
              <w:t xml:space="preserve"> 100,244 </w:t>
            </w:r>
          </w:p>
        </w:tc>
        <w:tc>
          <w:tcPr>
            <w:tcW w:w="1551" w:type="dxa"/>
            <w:tcBorders>
              <w:top w:val="nil"/>
              <w:left w:val="nil"/>
              <w:bottom w:val="single" w:sz="4" w:space="0" w:color="auto"/>
              <w:right w:val="nil"/>
            </w:tcBorders>
          </w:tcPr>
          <w:p w14:paraId="03C61246" w14:textId="6B029C32" w:rsidR="000C58DC" w:rsidRPr="00B570EE" w:rsidRDefault="000C58DC" w:rsidP="000C58DC">
            <w:pPr>
              <w:jc w:val="right"/>
              <w:rPr>
                <w:sz w:val="18"/>
              </w:rPr>
            </w:pPr>
          </w:p>
        </w:tc>
        <w:tc>
          <w:tcPr>
            <w:tcW w:w="1606" w:type="dxa"/>
            <w:tcBorders>
              <w:top w:val="nil"/>
              <w:left w:val="nil"/>
              <w:bottom w:val="single" w:sz="4" w:space="0" w:color="auto"/>
              <w:right w:val="single" w:sz="4" w:space="0" w:color="auto"/>
            </w:tcBorders>
            <w:shd w:val="clear" w:color="auto" w:fill="auto"/>
          </w:tcPr>
          <w:p w14:paraId="60B7AF97" w14:textId="62DBD73F" w:rsidR="000C58DC" w:rsidRPr="00F13682" w:rsidRDefault="000C58DC" w:rsidP="000C58DC">
            <w:pPr>
              <w:jc w:val="right"/>
              <w:rPr>
                <w:sz w:val="18"/>
              </w:rPr>
            </w:pPr>
          </w:p>
        </w:tc>
      </w:tr>
      <w:tr w:rsidR="000C58DC" w:rsidRPr="00E80EE2" w14:paraId="79D211F9" w14:textId="77777777" w:rsidTr="00522375">
        <w:trPr>
          <w:trHeight w:val="259"/>
        </w:trPr>
        <w:tc>
          <w:tcPr>
            <w:tcW w:w="3398" w:type="dxa"/>
            <w:tcBorders>
              <w:top w:val="nil"/>
              <w:left w:val="single" w:sz="4" w:space="0" w:color="auto"/>
              <w:bottom w:val="single" w:sz="4" w:space="0" w:color="auto"/>
              <w:right w:val="nil"/>
            </w:tcBorders>
          </w:tcPr>
          <w:p w14:paraId="433B343A" w14:textId="2FBBD81D" w:rsidR="000C58DC" w:rsidRPr="00E80EE2" w:rsidRDefault="000C58DC" w:rsidP="000C58DC">
            <w:pPr>
              <w:rPr>
                <w:sz w:val="18"/>
                <w:szCs w:val="20"/>
              </w:rPr>
            </w:pPr>
            <w:r w:rsidRPr="00E80EE2">
              <w:rPr>
                <w:sz w:val="18"/>
                <w:szCs w:val="20"/>
              </w:rPr>
              <w:t>Net non-operating revenues/(expenses)</w:t>
            </w:r>
          </w:p>
        </w:tc>
        <w:tc>
          <w:tcPr>
            <w:tcW w:w="1964" w:type="dxa"/>
            <w:tcBorders>
              <w:top w:val="single" w:sz="4" w:space="0" w:color="auto"/>
              <w:left w:val="nil"/>
              <w:bottom w:val="single" w:sz="4" w:space="0" w:color="auto"/>
              <w:right w:val="nil"/>
            </w:tcBorders>
          </w:tcPr>
          <w:p w14:paraId="60167CD1" w14:textId="4E011D5E" w:rsidR="000C58DC" w:rsidRPr="00E80EE2" w:rsidRDefault="000C58DC" w:rsidP="000C58DC">
            <w:pPr>
              <w:jc w:val="right"/>
              <w:rPr>
                <w:sz w:val="18"/>
                <w:szCs w:val="20"/>
              </w:rPr>
            </w:pPr>
            <w:r w:rsidRPr="00F13682">
              <w:rPr>
                <w:sz w:val="18"/>
              </w:rPr>
              <w:t xml:space="preserve"> 191,272,336 </w:t>
            </w:r>
          </w:p>
        </w:tc>
        <w:tc>
          <w:tcPr>
            <w:tcW w:w="1551" w:type="dxa"/>
            <w:tcBorders>
              <w:top w:val="single" w:sz="4" w:space="0" w:color="auto"/>
              <w:left w:val="nil"/>
              <w:bottom w:val="single" w:sz="4" w:space="0" w:color="auto"/>
              <w:right w:val="nil"/>
            </w:tcBorders>
          </w:tcPr>
          <w:p w14:paraId="59BF537D" w14:textId="274E38A1" w:rsidR="000C58DC" w:rsidRPr="00F13682" w:rsidRDefault="000C58DC" w:rsidP="000C58DC">
            <w:pPr>
              <w:jc w:val="right"/>
              <w:rPr>
                <w:sz w:val="18"/>
              </w:rPr>
            </w:pPr>
            <w:r w:rsidRPr="00F13682">
              <w:rPr>
                <w:sz w:val="18"/>
              </w:rPr>
              <w:t xml:space="preserve"> 183,613,27</w:t>
            </w:r>
            <w:r>
              <w:rPr>
                <w:sz w:val="18"/>
              </w:rPr>
              <w:t>5</w:t>
            </w:r>
            <w:r w:rsidRPr="00F13682">
              <w:rPr>
                <w:sz w:val="18"/>
              </w:rPr>
              <w:t xml:space="preserve"> </w:t>
            </w:r>
          </w:p>
        </w:tc>
        <w:tc>
          <w:tcPr>
            <w:tcW w:w="1551" w:type="dxa"/>
            <w:tcBorders>
              <w:top w:val="single" w:sz="4" w:space="0" w:color="auto"/>
              <w:left w:val="nil"/>
              <w:bottom w:val="single" w:sz="4" w:space="0" w:color="auto"/>
              <w:right w:val="nil"/>
            </w:tcBorders>
          </w:tcPr>
          <w:p w14:paraId="1BF2BC07" w14:textId="7EDF32C7" w:rsidR="000C58DC" w:rsidRPr="00F13682" w:rsidRDefault="000C58DC" w:rsidP="000C58DC">
            <w:pPr>
              <w:jc w:val="right"/>
              <w:rPr>
                <w:sz w:val="18"/>
              </w:rPr>
            </w:pPr>
          </w:p>
        </w:tc>
        <w:tc>
          <w:tcPr>
            <w:tcW w:w="1606" w:type="dxa"/>
            <w:tcBorders>
              <w:top w:val="single" w:sz="4" w:space="0" w:color="auto"/>
              <w:left w:val="nil"/>
              <w:bottom w:val="single" w:sz="4" w:space="0" w:color="auto"/>
              <w:right w:val="single" w:sz="4" w:space="0" w:color="auto"/>
            </w:tcBorders>
            <w:shd w:val="clear" w:color="auto" w:fill="auto"/>
          </w:tcPr>
          <w:p w14:paraId="37BB9FFB" w14:textId="26DD71A4" w:rsidR="000C58DC" w:rsidRPr="00F13682" w:rsidRDefault="000C58DC" w:rsidP="000C58DC">
            <w:pPr>
              <w:jc w:val="right"/>
              <w:rPr>
                <w:sz w:val="18"/>
              </w:rPr>
            </w:pPr>
          </w:p>
        </w:tc>
      </w:tr>
      <w:tr w:rsidR="000C58DC" w:rsidRPr="00E80EE2" w14:paraId="02839DEC" w14:textId="77777777" w:rsidTr="001A50DC">
        <w:trPr>
          <w:trHeight w:val="259"/>
        </w:trPr>
        <w:tc>
          <w:tcPr>
            <w:tcW w:w="3398" w:type="dxa"/>
            <w:tcBorders>
              <w:top w:val="single" w:sz="4" w:space="0" w:color="auto"/>
              <w:left w:val="single" w:sz="4" w:space="0" w:color="auto"/>
              <w:bottom w:val="single" w:sz="4" w:space="0" w:color="auto"/>
              <w:right w:val="single" w:sz="4" w:space="0" w:color="auto"/>
            </w:tcBorders>
            <w:shd w:val="clear" w:color="auto" w:fill="000080"/>
          </w:tcPr>
          <w:p w14:paraId="0B08830F" w14:textId="6CF34448" w:rsidR="000C58DC" w:rsidRPr="00E80EE2" w:rsidRDefault="000C58DC" w:rsidP="000C58DC">
            <w:pPr>
              <w:ind w:firstLine="162"/>
              <w:rPr>
                <w:sz w:val="18"/>
                <w:szCs w:val="20"/>
              </w:rPr>
            </w:pPr>
            <w:r w:rsidRPr="00E80EE2">
              <w:rPr>
                <w:b/>
                <w:color w:val="FFFFFF" w:themeColor="background1"/>
                <w:sz w:val="20"/>
                <w:szCs w:val="20"/>
              </w:rPr>
              <w:t>Other revenue and expenses</w:t>
            </w:r>
          </w:p>
        </w:tc>
        <w:tc>
          <w:tcPr>
            <w:tcW w:w="1964" w:type="dxa"/>
            <w:tcBorders>
              <w:top w:val="single" w:sz="4" w:space="0" w:color="auto"/>
              <w:left w:val="single" w:sz="4" w:space="0" w:color="auto"/>
              <w:bottom w:val="single" w:sz="4" w:space="0" w:color="auto"/>
              <w:right w:val="single" w:sz="4" w:space="0" w:color="auto"/>
            </w:tcBorders>
            <w:shd w:val="clear" w:color="auto" w:fill="000080"/>
          </w:tcPr>
          <w:p w14:paraId="65525D73" w14:textId="09D410F0" w:rsidR="000C58DC" w:rsidRPr="00E80EE2" w:rsidRDefault="000C58DC" w:rsidP="000C58DC">
            <w:pPr>
              <w:jc w:val="right"/>
              <w:rPr>
                <w:sz w:val="18"/>
                <w:szCs w:val="20"/>
              </w:rPr>
            </w:pPr>
            <w:r>
              <w:rPr>
                <w:b/>
                <w:bCs/>
                <w:color w:val="FFFFFF"/>
                <w:sz w:val="20"/>
              </w:rPr>
              <w:t>FY 2022- restated</w:t>
            </w:r>
          </w:p>
        </w:tc>
        <w:tc>
          <w:tcPr>
            <w:tcW w:w="1551" w:type="dxa"/>
            <w:tcBorders>
              <w:top w:val="single" w:sz="4" w:space="0" w:color="auto"/>
              <w:left w:val="single" w:sz="4" w:space="0" w:color="auto"/>
              <w:bottom w:val="single" w:sz="4" w:space="0" w:color="auto"/>
              <w:right w:val="single" w:sz="4" w:space="0" w:color="auto"/>
            </w:tcBorders>
            <w:shd w:val="clear" w:color="auto" w:fill="000080"/>
          </w:tcPr>
          <w:p w14:paraId="23D7F83E" w14:textId="6B0A8CD1" w:rsidR="000C58DC" w:rsidRPr="00E80EE2" w:rsidRDefault="000C58DC" w:rsidP="000C58DC">
            <w:pPr>
              <w:jc w:val="right"/>
              <w:rPr>
                <w:sz w:val="18"/>
                <w:szCs w:val="20"/>
              </w:rPr>
            </w:pPr>
            <w:r>
              <w:rPr>
                <w:b/>
                <w:bCs/>
                <w:color w:val="FFFFFF"/>
                <w:sz w:val="20"/>
              </w:rPr>
              <w:t>FY 2023</w:t>
            </w:r>
          </w:p>
        </w:tc>
        <w:tc>
          <w:tcPr>
            <w:tcW w:w="1551" w:type="dxa"/>
            <w:tcBorders>
              <w:top w:val="single" w:sz="4" w:space="0" w:color="auto"/>
              <w:left w:val="single" w:sz="4" w:space="0" w:color="auto"/>
              <w:bottom w:val="single" w:sz="4" w:space="0" w:color="auto"/>
              <w:right w:val="single" w:sz="4" w:space="0" w:color="auto"/>
            </w:tcBorders>
            <w:shd w:val="clear" w:color="auto" w:fill="000080"/>
            <w:vAlign w:val="center"/>
          </w:tcPr>
          <w:p w14:paraId="2F5B38D8" w14:textId="55AB28F1" w:rsidR="000C58DC" w:rsidRPr="00E80EE2" w:rsidRDefault="000C58DC" w:rsidP="000C58DC">
            <w:pPr>
              <w:jc w:val="right"/>
              <w:rPr>
                <w:sz w:val="18"/>
                <w:szCs w:val="20"/>
              </w:rPr>
            </w:pPr>
            <w:r>
              <w:rPr>
                <w:b/>
                <w:bCs/>
                <w:color w:val="FFFFFF"/>
                <w:sz w:val="20"/>
              </w:rPr>
              <w:t>FY 2024*</w:t>
            </w:r>
          </w:p>
        </w:tc>
        <w:tc>
          <w:tcPr>
            <w:tcW w:w="1606" w:type="dxa"/>
            <w:tcBorders>
              <w:top w:val="single" w:sz="4" w:space="0" w:color="auto"/>
              <w:left w:val="single" w:sz="4" w:space="0" w:color="auto"/>
              <w:bottom w:val="single" w:sz="4" w:space="0" w:color="auto"/>
              <w:right w:val="single" w:sz="4" w:space="0" w:color="auto"/>
            </w:tcBorders>
            <w:shd w:val="clear" w:color="auto" w:fill="000080"/>
            <w:vAlign w:val="center"/>
          </w:tcPr>
          <w:p w14:paraId="516149B3" w14:textId="083B4D26" w:rsidR="000C58DC" w:rsidRPr="00844990" w:rsidRDefault="000C58DC" w:rsidP="000C58DC">
            <w:pPr>
              <w:jc w:val="right"/>
              <w:rPr>
                <w:sz w:val="18"/>
              </w:rPr>
            </w:pPr>
            <w:r>
              <w:rPr>
                <w:b/>
                <w:bCs/>
                <w:color w:val="FFFFFF"/>
                <w:sz w:val="20"/>
              </w:rPr>
              <w:t>FY 2025</w:t>
            </w:r>
          </w:p>
        </w:tc>
      </w:tr>
      <w:tr w:rsidR="000C58DC" w:rsidRPr="00E80EE2" w14:paraId="359BE8D2" w14:textId="77777777" w:rsidTr="00522375">
        <w:trPr>
          <w:trHeight w:val="259"/>
        </w:trPr>
        <w:tc>
          <w:tcPr>
            <w:tcW w:w="3398" w:type="dxa"/>
            <w:tcBorders>
              <w:top w:val="single" w:sz="4" w:space="0" w:color="auto"/>
              <w:left w:val="single" w:sz="4" w:space="0" w:color="auto"/>
              <w:bottom w:val="nil"/>
              <w:right w:val="nil"/>
            </w:tcBorders>
          </w:tcPr>
          <w:p w14:paraId="0E4E2B5F" w14:textId="1B5D629C" w:rsidR="000C58DC" w:rsidRPr="00E80EE2" w:rsidRDefault="000C58DC" w:rsidP="000C58DC">
            <w:pPr>
              <w:rPr>
                <w:b/>
                <w:color w:val="FFFFFF" w:themeColor="background1"/>
                <w:sz w:val="20"/>
                <w:szCs w:val="20"/>
              </w:rPr>
            </w:pPr>
            <w:r w:rsidRPr="00E80EE2">
              <w:rPr>
                <w:sz w:val="18"/>
                <w:szCs w:val="20"/>
              </w:rPr>
              <w:t>Capital appropriations</w:t>
            </w:r>
          </w:p>
        </w:tc>
        <w:tc>
          <w:tcPr>
            <w:tcW w:w="1964" w:type="dxa"/>
            <w:tcBorders>
              <w:top w:val="single" w:sz="4" w:space="0" w:color="auto"/>
              <w:left w:val="nil"/>
              <w:bottom w:val="nil"/>
              <w:right w:val="nil"/>
            </w:tcBorders>
          </w:tcPr>
          <w:p w14:paraId="7B7D2A07" w14:textId="3804164E" w:rsidR="000C58DC" w:rsidRPr="00E80EE2" w:rsidRDefault="000C58DC" w:rsidP="000C58DC">
            <w:pPr>
              <w:jc w:val="right"/>
              <w:rPr>
                <w:b/>
                <w:bCs/>
                <w:color w:val="FFFFFF"/>
                <w:sz w:val="20"/>
              </w:rPr>
            </w:pPr>
            <w:r w:rsidRPr="0056475E">
              <w:rPr>
                <w:sz w:val="18"/>
              </w:rPr>
              <w:t xml:space="preserve"> 13,433,980 </w:t>
            </w:r>
          </w:p>
        </w:tc>
        <w:tc>
          <w:tcPr>
            <w:tcW w:w="1551" w:type="dxa"/>
            <w:tcBorders>
              <w:top w:val="single" w:sz="4" w:space="0" w:color="auto"/>
              <w:left w:val="nil"/>
              <w:bottom w:val="nil"/>
              <w:right w:val="nil"/>
            </w:tcBorders>
          </w:tcPr>
          <w:p w14:paraId="0BC257E4" w14:textId="7D6F003D" w:rsidR="000C58DC" w:rsidRPr="0056475E" w:rsidRDefault="000C58DC" w:rsidP="000C58DC">
            <w:pPr>
              <w:jc w:val="right"/>
              <w:rPr>
                <w:sz w:val="18"/>
              </w:rPr>
            </w:pPr>
            <w:r w:rsidRPr="0056475E">
              <w:rPr>
                <w:sz w:val="18"/>
              </w:rPr>
              <w:t xml:space="preserve"> -   </w:t>
            </w:r>
          </w:p>
        </w:tc>
        <w:tc>
          <w:tcPr>
            <w:tcW w:w="1551" w:type="dxa"/>
            <w:tcBorders>
              <w:top w:val="single" w:sz="4" w:space="0" w:color="auto"/>
              <w:left w:val="nil"/>
              <w:bottom w:val="nil"/>
              <w:right w:val="nil"/>
            </w:tcBorders>
          </w:tcPr>
          <w:p w14:paraId="39B2775B" w14:textId="26690D36" w:rsidR="000C58DC" w:rsidRPr="0056475E" w:rsidRDefault="000C58DC" w:rsidP="000C58DC">
            <w:pPr>
              <w:jc w:val="right"/>
              <w:rPr>
                <w:sz w:val="18"/>
              </w:rPr>
            </w:pPr>
          </w:p>
        </w:tc>
        <w:tc>
          <w:tcPr>
            <w:tcW w:w="1606" w:type="dxa"/>
            <w:tcBorders>
              <w:top w:val="single" w:sz="4" w:space="0" w:color="auto"/>
              <w:left w:val="nil"/>
              <w:bottom w:val="nil"/>
              <w:right w:val="single" w:sz="4" w:space="0" w:color="auto"/>
            </w:tcBorders>
            <w:shd w:val="clear" w:color="auto" w:fill="auto"/>
          </w:tcPr>
          <w:p w14:paraId="39690149" w14:textId="31B7602C" w:rsidR="000C58DC" w:rsidRPr="00297693" w:rsidRDefault="000C58DC" w:rsidP="000C58DC">
            <w:pPr>
              <w:jc w:val="right"/>
              <w:rPr>
                <w:sz w:val="18"/>
              </w:rPr>
            </w:pPr>
          </w:p>
        </w:tc>
      </w:tr>
      <w:tr w:rsidR="000C58DC" w:rsidRPr="00E80EE2" w14:paraId="4B6872D6" w14:textId="77777777" w:rsidTr="00522375">
        <w:trPr>
          <w:trHeight w:val="259"/>
        </w:trPr>
        <w:tc>
          <w:tcPr>
            <w:tcW w:w="3398" w:type="dxa"/>
            <w:tcBorders>
              <w:top w:val="nil"/>
              <w:left w:val="single" w:sz="4" w:space="0" w:color="auto"/>
              <w:bottom w:val="nil"/>
              <w:right w:val="nil"/>
            </w:tcBorders>
          </w:tcPr>
          <w:p w14:paraId="393FA12C" w14:textId="7901B901" w:rsidR="000C58DC" w:rsidRPr="00E80EE2" w:rsidRDefault="000C58DC" w:rsidP="000C58DC">
            <w:pPr>
              <w:rPr>
                <w:sz w:val="18"/>
                <w:szCs w:val="20"/>
              </w:rPr>
            </w:pPr>
            <w:r w:rsidRPr="00E80EE2">
              <w:rPr>
                <w:sz w:val="18"/>
                <w:szCs w:val="20"/>
              </w:rPr>
              <w:t>Capital gifts and grants</w:t>
            </w:r>
          </w:p>
        </w:tc>
        <w:tc>
          <w:tcPr>
            <w:tcW w:w="1964" w:type="dxa"/>
            <w:tcBorders>
              <w:top w:val="nil"/>
              <w:left w:val="nil"/>
              <w:bottom w:val="single" w:sz="4" w:space="0" w:color="auto"/>
              <w:right w:val="nil"/>
            </w:tcBorders>
          </w:tcPr>
          <w:p w14:paraId="3A8F9FF6" w14:textId="75A5B26B" w:rsidR="000C58DC" w:rsidRPr="00E80EE2" w:rsidRDefault="000C58DC" w:rsidP="000C58DC">
            <w:pPr>
              <w:jc w:val="right"/>
              <w:rPr>
                <w:sz w:val="18"/>
                <w:szCs w:val="20"/>
              </w:rPr>
            </w:pPr>
            <w:r w:rsidRPr="0056475E">
              <w:rPr>
                <w:sz w:val="18"/>
              </w:rPr>
              <w:t xml:space="preserve"> 2,215,118 </w:t>
            </w:r>
          </w:p>
        </w:tc>
        <w:tc>
          <w:tcPr>
            <w:tcW w:w="1551" w:type="dxa"/>
            <w:tcBorders>
              <w:top w:val="nil"/>
              <w:left w:val="nil"/>
              <w:bottom w:val="single" w:sz="4" w:space="0" w:color="auto"/>
              <w:right w:val="nil"/>
            </w:tcBorders>
          </w:tcPr>
          <w:p w14:paraId="32F864DA" w14:textId="42611516" w:rsidR="000C58DC" w:rsidRPr="0056475E" w:rsidRDefault="000C58DC" w:rsidP="000C58DC">
            <w:pPr>
              <w:jc w:val="right"/>
              <w:rPr>
                <w:sz w:val="18"/>
              </w:rPr>
            </w:pPr>
            <w:r w:rsidRPr="0056475E">
              <w:rPr>
                <w:sz w:val="18"/>
              </w:rPr>
              <w:t xml:space="preserve"> 2,701,043 </w:t>
            </w:r>
          </w:p>
        </w:tc>
        <w:tc>
          <w:tcPr>
            <w:tcW w:w="1551" w:type="dxa"/>
            <w:tcBorders>
              <w:top w:val="nil"/>
              <w:left w:val="nil"/>
              <w:bottom w:val="single" w:sz="4" w:space="0" w:color="auto"/>
              <w:right w:val="nil"/>
            </w:tcBorders>
          </w:tcPr>
          <w:p w14:paraId="7E41D9C8" w14:textId="2172B7B3" w:rsidR="000C58DC" w:rsidRPr="0056475E" w:rsidRDefault="000C58DC" w:rsidP="000C58DC">
            <w:pPr>
              <w:jc w:val="right"/>
              <w:rPr>
                <w:sz w:val="18"/>
              </w:rPr>
            </w:pPr>
          </w:p>
        </w:tc>
        <w:tc>
          <w:tcPr>
            <w:tcW w:w="1606" w:type="dxa"/>
            <w:tcBorders>
              <w:top w:val="nil"/>
              <w:left w:val="nil"/>
              <w:bottom w:val="single" w:sz="4" w:space="0" w:color="auto"/>
              <w:right w:val="single" w:sz="4" w:space="0" w:color="auto"/>
            </w:tcBorders>
            <w:shd w:val="clear" w:color="auto" w:fill="auto"/>
          </w:tcPr>
          <w:p w14:paraId="2D369E01" w14:textId="62F13307" w:rsidR="000C58DC" w:rsidRPr="00844990" w:rsidRDefault="000C58DC" w:rsidP="000C58DC">
            <w:pPr>
              <w:jc w:val="right"/>
              <w:rPr>
                <w:sz w:val="18"/>
              </w:rPr>
            </w:pPr>
          </w:p>
        </w:tc>
      </w:tr>
      <w:tr w:rsidR="000C58DC" w:rsidRPr="00E80EE2" w14:paraId="023026BA" w14:textId="77777777" w:rsidTr="00522375">
        <w:trPr>
          <w:trHeight w:val="259"/>
        </w:trPr>
        <w:tc>
          <w:tcPr>
            <w:tcW w:w="3398" w:type="dxa"/>
            <w:tcBorders>
              <w:top w:val="nil"/>
              <w:left w:val="single" w:sz="4" w:space="0" w:color="auto"/>
              <w:bottom w:val="single" w:sz="4" w:space="0" w:color="auto"/>
              <w:right w:val="nil"/>
            </w:tcBorders>
          </w:tcPr>
          <w:p w14:paraId="010A53DD" w14:textId="33F426B7" w:rsidR="000C58DC" w:rsidRPr="00E80EE2" w:rsidRDefault="000C58DC" w:rsidP="000C58DC">
            <w:pPr>
              <w:rPr>
                <w:sz w:val="18"/>
                <w:szCs w:val="20"/>
              </w:rPr>
            </w:pPr>
            <w:r w:rsidRPr="00E80EE2">
              <w:rPr>
                <w:sz w:val="18"/>
                <w:szCs w:val="20"/>
              </w:rPr>
              <w:t>Total other revenues and expenses</w:t>
            </w:r>
          </w:p>
        </w:tc>
        <w:tc>
          <w:tcPr>
            <w:tcW w:w="1964" w:type="dxa"/>
            <w:tcBorders>
              <w:top w:val="single" w:sz="4" w:space="0" w:color="auto"/>
              <w:left w:val="nil"/>
              <w:bottom w:val="single" w:sz="4" w:space="0" w:color="auto"/>
              <w:right w:val="nil"/>
            </w:tcBorders>
          </w:tcPr>
          <w:p w14:paraId="7E3ABCD8" w14:textId="54195D32" w:rsidR="000C58DC" w:rsidRPr="00E80EE2" w:rsidRDefault="000C58DC" w:rsidP="000C58DC">
            <w:pPr>
              <w:jc w:val="right"/>
              <w:rPr>
                <w:sz w:val="18"/>
                <w:szCs w:val="20"/>
              </w:rPr>
            </w:pPr>
            <w:r w:rsidRPr="0056475E">
              <w:rPr>
                <w:sz w:val="18"/>
              </w:rPr>
              <w:t xml:space="preserve"> 15,649,098 </w:t>
            </w:r>
          </w:p>
        </w:tc>
        <w:tc>
          <w:tcPr>
            <w:tcW w:w="1551" w:type="dxa"/>
            <w:tcBorders>
              <w:top w:val="single" w:sz="4" w:space="0" w:color="auto"/>
              <w:left w:val="nil"/>
              <w:bottom w:val="single" w:sz="4" w:space="0" w:color="auto"/>
              <w:right w:val="nil"/>
            </w:tcBorders>
          </w:tcPr>
          <w:p w14:paraId="2E6BA2CE" w14:textId="1F3E650F" w:rsidR="000C58DC" w:rsidRPr="0056475E" w:rsidRDefault="000C58DC" w:rsidP="000C58DC">
            <w:pPr>
              <w:jc w:val="right"/>
              <w:rPr>
                <w:sz w:val="18"/>
              </w:rPr>
            </w:pPr>
            <w:r w:rsidRPr="0056475E">
              <w:rPr>
                <w:sz w:val="18"/>
              </w:rPr>
              <w:t xml:space="preserve"> 2,701,043 </w:t>
            </w:r>
          </w:p>
        </w:tc>
        <w:tc>
          <w:tcPr>
            <w:tcW w:w="1551" w:type="dxa"/>
            <w:tcBorders>
              <w:top w:val="single" w:sz="4" w:space="0" w:color="auto"/>
              <w:left w:val="nil"/>
              <w:bottom w:val="single" w:sz="4" w:space="0" w:color="auto"/>
              <w:right w:val="nil"/>
            </w:tcBorders>
          </w:tcPr>
          <w:p w14:paraId="725187BC" w14:textId="37B7A92C" w:rsidR="000C58DC" w:rsidRPr="0056475E" w:rsidRDefault="000C58DC" w:rsidP="000C58DC">
            <w:pPr>
              <w:jc w:val="right"/>
              <w:rPr>
                <w:sz w:val="18"/>
              </w:rPr>
            </w:pPr>
          </w:p>
        </w:tc>
        <w:tc>
          <w:tcPr>
            <w:tcW w:w="1606" w:type="dxa"/>
            <w:tcBorders>
              <w:top w:val="single" w:sz="4" w:space="0" w:color="auto"/>
              <w:left w:val="nil"/>
              <w:bottom w:val="single" w:sz="4" w:space="0" w:color="auto"/>
              <w:right w:val="single" w:sz="4" w:space="0" w:color="auto"/>
            </w:tcBorders>
            <w:shd w:val="clear" w:color="auto" w:fill="auto"/>
          </w:tcPr>
          <w:p w14:paraId="30286ABA" w14:textId="5A3F727A" w:rsidR="000C58DC" w:rsidRPr="00844990" w:rsidRDefault="000C58DC" w:rsidP="000C58DC">
            <w:pPr>
              <w:jc w:val="right"/>
              <w:rPr>
                <w:sz w:val="18"/>
              </w:rPr>
            </w:pPr>
          </w:p>
        </w:tc>
      </w:tr>
      <w:tr w:rsidR="000C58DC" w:rsidRPr="00E80EE2" w14:paraId="2858EF42" w14:textId="77777777" w:rsidTr="00585FEB">
        <w:trPr>
          <w:trHeight w:val="259"/>
        </w:trPr>
        <w:tc>
          <w:tcPr>
            <w:tcW w:w="3398" w:type="dxa"/>
            <w:tcBorders>
              <w:top w:val="single" w:sz="4" w:space="0" w:color="auto"/>
              <w:left w:val="single" w:sz="4" w:space="0" w:color="auto"/>
              <w:bottom w:val="single" w:sz="4" w:space="0" w:color="auto"/>
              <w:right w:val="single" w:sz="4" w:space="0" w:color="auto"/>
            </w:tcBorders>
            <w:shd w:val="clear" w:color="auto" w:fill="000080"/>
          </w:tcPr>
          <w:p w14:paraId="0C4A4E82" w14:textId="40FC725C" w:rsidR="000C58DC" w:rsidRPr="00E80EE2" w:rsidRDefault="000C58DC" w:rsidP="000C58DC">
            <w:pPr>
              <w:ind w:firstLine="162"/>
              <w:rPr>
                <w:sz w:val="18"/>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000080"/>
          </w:tcPr>
          <w:p w14:paraId="3D150BAB" w14:textId="7DFA6041" w:rsidR="000C58DC" w:rsidRPr="00E80EE2" w:rsidRDefault="000C58DC" w:rsidP="000C58DC">
            <w:pPr>
              <w:jc w:val="right"/>
              <w:rPr>
                <w:sz w:val="18"/>
                <w:szCs w:val="20"/>
              </w:rPr>
            </w:pPr>
            <w:r>
              <w:rPr>
                <w:b/>
                <w:bCs/>
                <w:color w:val="FFFFFF"/>
                <w:sz w:val="20"/>
              </w:rPr>
              <w:t>FY 2022- restated</w:t>
            </w:r>
          </w:p>
        </w:tc>
        <w:tc>
          <w:tcPr>
            <w:tcW w:w="1551" w:type="dxa"/>
            <w:tcBorders>
              <w:top w:val="single" w:sz="4" w:space="0" w:color="auto"/>
              <w:left w:val="single" w:sz="4" w:space="0" w:color="auto"/>
              <w:bottom w:val="single" w:sz="4" w:space="0" w:color="auto"/>
              <w:right w:val="single" w:sz="4" w:space="0" w:color="auto"/>
            </w:tcBorders>
            <w:shd w:val="clear" w:color="auto" w:fill="000080"/>
          </w:tcPr>
          <w:p w14:paraId="6B6D835F" w14:textId="32C765B5" w:rsidR="000C58DC" w:rsidRPr="00E80EE2" w:rsidRDefault="000C58DC" w:rsidP="000C58DC">
            <w:pPr>
              <w:jc w:val="right"/>
              <w:rPr>
                <w:sz w:val="18"/>
                <w:szCs w:val="20"/>
              </w:rPr>
            </w:pPr>
            <w:r>
              <w:rPr>
                <w:b/>
                <w:bCs/>
                <w:color w:val="FFFFFF"/>
                <w:sz w:val="20"/>
              </w:rPr>
              <w:t>FY 2023</w:t>
            </w:r>
          </w:p>
        </w:tc>
        <w:tc>
          <w:tcPr>
            <w:tcW w:w="1551" w:type="dxa"/>
            <w:tcBorders>
              <w:top w:val="single" w:sz="4" w:space="0" w:color="auto"/>
              <w:left w:val="single" w:sz="4" w:space="0" w:color="auto"/>
              <w:bottom w:val="single" w:sz="4" w:space="0" w:color="auto"/>
              <w:right w:val="single" w:sz="4" w:space="0" w:color="auto"/>
            </w:tcBorders>
            <w:shd w:val="clear" w:color="auto" w:fill="000080"/>
            <w:vAlign w:val="center"/>
          </w:tcPr>
          <w:p w14:paraId="6355D510" w14:textId="5739F554" w:rsidR="000C58DC" w:rsidRPr="00E80EE2" w:rsidRDefault="000C58DC" w:rsidP="000C58DC">
            <w:pPr>
              <w:jc w:val="right"/>
              <w:rPr>
                <w:sz w:val="18"/>
                <w:szCs w:val="20"/>
              </w:rPr>
            </w:pPr>
            <w:r>
              <w:rPr>
                <w:b/>
                <w:bCs/>
                <w:color w:val="FFFFFF"/>
                <w:sz w:val="20"/>
              </w:rPr>
              <w:t>FY 2024*</w:t>
            </w:r>
          </w:p>
        </w:tc>
        <w:tc>
          <w:tcPr>
            <w:tcW w:w="1606" w:type="dxa"/>
            <w:tcBorders>
              <w:top w:val="single" w:sz="4" w:space="0" w:color="auto"/>
              <w:left w:val="single" w:sz="4" w:space="0" w:color="auto"/>
              <w:bottom w:val="single" w:sz="4" w:space="0" w:color="auto"/>
              <w:right w:val="single" w:sz="4" w:space="0" w:color="auto"/>
            </w:tcBorders>
            <w:shd w:val="clear" w:color="auto" w:fill="000080"/>
            <w:vAlign w:val="center"/>
          </w:tcPr>
          <w:p w14:paraId="6F9A77F7" w14:textId="4D79C94A" w:rsidR="000C58DC" w:rsidRPr="00844990" w:rsidRDefault="000C58DC" w:rsidP="000C58DC">
            <w:pPr>
              <w:jc w:val="right"/>
              <w:rPr>
                <w:sz w:val="18"/>
              </w:rPr>
            </w:pPr>
            <w:r>
              <w:rPr>
                <w:b/>
                <w:bCs/>
                <w:color w:val="FFFFFF"/>
                <w:sz w:val="20"/>
              </w:rPr>
              <w:t>FY 2025</w:t>
            </w:r>
          </w:p>
        </w:tc>
      </w:tr>
      <w:tr w:rsidR="000C58DC" w:rsidRPr="00E80EE2" w14:paraId="67E698E1" w14:textId="77777777" w:rsidTr="00522375">
        <w:trPr>
          <w:trHeight w:val="259"/>
        </w:trPr>
        <w:tc>
          <w:tcPr>
            <w:tcW w:w="3398" w:type="dxa"/>
            <w:tcBorders>
              <w:top w:val="single" w:sz="4" w:space="0" w:color="auto"/>
              <w:left w:val="single" w:sz="4" w:space="0" w:color="auto"/>
              <w:bottom w:val="nil"/>
              <w:right w:val="nil"/>
            </w:tcBorders>
          </w:tcPr>
          <w:p w14:paraId="76DF83ED" w14:textId="7BF2864F" w:rsidR="000C58DC" w:rsidRPr="00E80EE2" w:rsidRDefault="000C58DC" w:rsidP="000C58DC">
            <w:pPr>
              <w:rPr>
                <w:sz w:val="20"/>
                <w:szCs w:val="20"/>
              </w:rPr>
            </w:pPr>
            <w:r w:rsidRPr="00E80EE2">
              <w:rPr>
                <w:sz w:val="18"/>
                <w:szCs w:val="20"/>
              </w:rPr>
              <w:t>Increase/decrease in net position</w:t>
            </w:r>
          </w:p>
        </w:tc>
        <w:tc>
          <w:tcPr>
            <w:tcW w:w="1964" w:type="dxa"/>
            <w:tcBorders>
              <w:top w:val="single" w:sz="4" w:space="0" w:color="auto"/>
              <w:left w:val="nil"/>
              <w:bottom w:val="nil"/>
              <w:right w:val="nil"/>
            </w:tcBorders>
          </w:tcPr>
          <w:p w14:paraId="7B053475" w14:textId="512F567F" w:rsidR="000C58DC" w:rsidRPr="00E80EE2" w:rsidRDefault="000C58DC" w:rsidP="000C58DC">
            <w:pPr>
              <w:jc w:val="right"/>
              <w:rPr>
                <w:b/>
                <w:bCs/>
                <w:color w:val="FFFFFF"/>
                <w:sz w:val="20"/>
              </w:rPr>
            </w:pPr>
            <w:r w:rsidRPr="0056475E">
              <w:rPr>
                <w:sz w:val="18"/>
              </w:rPr>
              <w:t xml:space="preserve"> 52,816,</w:t>
            </w:r>
            <w:r>
              <w:rPr>
                <w:sz w:val="18"/>
              </w:rPr>
              <w:t>499</w:t>
            </w:r>
            <w:r w:rsidRPr="0056475E">
              <w:rPr>
                <w:sz w:val="18"/>
              </w:rPr>
              <w:t xml:space="preserve"> </w:t>
            </w:r>
          </w:p>
        </w:tc>
        <w:tc>
          <w:tcPr>
            <w:tcW w:w="1551" w:type="dxa"/>
            <w:tcBorders>
              <w:top w:val="single" w:sz="4" w:space="0" w:color="auto"/>
              <w:left w:val="nil"/>
              <w:bottom w:val="nil"/>
              <w:right w:val="nil"/>
            </w:tcBorders>
          </w:tcPr>
          <w:p w14:paraId="11BA63B8" w14:textId="0C1A8864" w:rsidR="000C58DC" w:rsidRPr="0056475E" w:rsidRDefault="000C58DC" w:rsidP="000C58DC">
            <w:pPr>
              <w:jc w:val="right"/>
              <w:rPr>
                <w:sz w:val="18"/>
              </w:rPr>
            </w:pPr>
            <w:r w:rsidRPr="0056475E">
              <w:rPr>
                <w:sz w:val="18"/>
              </w:rPr>
              <w:t xml:space="preserve"> 5,560,916 </w:t>
            </w:r>
          </w:p>
        </w:tc>
        <w:tc>
          <w:tcPr>
            <w:tcW w:w="1551" w:type="dxa"/>
            <w:tcBorders>
              <w:top w:val="single" w:sz="4" w:space="0" w:color="auto"/>
              <w:left w:val="nil"/>
              <w:bottom w:val="nil"/>
              <w:right w:val="nil"/>
            </w:tcBorders>
          </w:tcPr>
          <w:p w14:paraId="36903D05" w14:textId="70EF2789" w:rsidR="000C58DC" w:rsidRPr="0056475E" w:rsidRDefault="000C58DC" w:rsidP="000C58DC">
            <w:pPr>
              <w:jc w:val="right"/>
              <w:rPr>
                <w:sz w:val="18"/>
              </w:rPr>
            </w:pPr>
          </w:p>
        </w:tc>
        <w:tc>
          <w:tcPr>
            <w:tcW w:w="1606" w:type="dxa"/>
            <w:tcBorders>
              <w:top w:val="single" w:sz="4" w:space="0" w:color="auto"/>
              <w:left w:val="nil"/>
              <w:bottom w:val="nil"/>
              <w:right w:val="single" w:sz="4" w:space="0" w:color="auto"/>
            </w:tcBorders>
            <w:shd w:val="clear" w:color="auto" w:fill="auto"/>
          </w:tcPr>
          <w:p w14:paraId="6DE0F7C0" w14:textId="59D595E5" w:rsidR="000C58DC" w:rsidRPr="00297693" w:rsidRDefault="000C58DC" w:rsidP="000C58DC">
            <w:pPr>
              <w:jc w:val="right"/>
              <w:rPr>
                <w:sz w:val="18"/>
              </w:rPr>
            </w:pPr>
          </w:p>
        </w:tc>
      </w:tr>
      <w:tr w:rsidR="000C58DC" w:rsidRPr="00E80EE2" w14:paraId="3F0610BD" w14:textId="77777777" w:rsidTr="00522375">
        <w:trPr>
          <w:trHeight w:val="259"/>
        </w:trPr>
        <w:tc>
          <w:tcPr>
            <w:tcW w:w="3398" w:type="dxa"/>
            <w:tcBorders>
              <w:top w:val="nil"/>
              <w:left w:val="single" w:sz="4" w:space="0" w:color="auto"/>
              <w:bottom w:val="nil"/>
              <w:right w:val="nil"/>
            </w:tcBorders>
          </w:tcPr>
          <w:p w14:paraId="1483E108" w14:textId="51D291E6" w:rsidR="000C58DC" w:rsidRPr="00E80EE2" w:rsidRDefault="000C58DC" w:rsidP="000C58DC">
            <w:pPr>
              <w:rPr>
                <w:sz w:val="18"/>
                <w:szCs w:val="20"/>
              </w:rPr>
            </w:pPr>
            <w:r w:rsidRPr="00E80EE2">
              <w:rPr>
                <w:sz w:val="18"/>
                <w:szCs w:val="20"/>
              </w:rPr>
              <w:lastRenderedPageBreak/>
              <w:t>Net position - beginning of year</w:t>
            </w:r>
          </w:p>
        </w:tc>
        <w:tc>
          <w:tcPr>
            <w:tcW w:w="1964" w:type="dxa"/>
            <w:tcBorders>
              <w:top w:val="nil"/>
              <w:left w:val="nil"/>
              <w:bottom w:val="single" w:sz="4" w:space="0" w:color="auto"/>
              <w:right w:val="nil"/>
            </w:tcBorders>
          </w:tcPr>
          <w:p w14:paraId="4B6E94B2" w14:textId="5F9FC094" w:rsidR="000C58DC" w:rsidRPr="00E80EE2" w:rsidRDefault="000C58DC" w:rsidP="000C58DC">
            <w:pPr>
              <w:jc w:val="right"/>
              <w:rPr>
                <w:sz w:val="18"/>
                <w:szCs w:val="20"/>
              </w:rPr>
            </w:pPr>
            <w:r w:rsidRPr="0056475E">
              <w:rPr>
                <w:sz w:val="18"/>
              </w:rPr>
              <w:t xml:space="preserve"> 524,426,409 </w:t>
            </w:r>
          </w:p>
        </w:tc>
        <w:tc>
          <w:tcPr>
            <w:tcW w:w="1551" w:type="dxa"/>
            <w:tcBorders>
              <w:top w:val="nil"/>
              <w:left w:val="nil"/>
              <w:bottom w:val="single" w:sz="4" w:space="0" w:color="auto"/>
              <w:right w:val="nil"/>
            </w:tcBorders>
          </w:tcPr>
          <w:p w14:paraId="6C4B3D63" w14:textId="6F577401" w:rsidR="000C58DC" w:rsidRPr="0056475E" w:rsidRDefault="000C58DC" w:rsidP="000C58DC">
            <w:pPr>
              <w:jc w:val="right"/>
              <w:rPr>
                <w:sz w:val="18"/>
              </w:rPr>
            </w:pPr>
            <w:r w:rsidRPr="0056475E">
              <w:rPr>
                <w:sz w:val="18"/>
              </w:rPr>
              <w:t xml:space="preserve"> 577,242,90</w:t>
            </w:r>
            <w:r>
              <w:rPr>
                <w:sz w:val="18"/>
              </w:rPr>
              <w:t>8</w:t>
            </w:r>
            <w:r w:rsidRPr="0056475E">
              <w:rPr>
                <w:sz w:val="18"/>
              </w:rPr>
              <w:t xml:space="preserve"> </w:t>
            </w:r>
          </w:p>
        </w:tc>
        <w:tc>
          <w:tcPr>
            <w:tcW w:w="1551" w:type="dxa"/>
            <w:tcBorders>
              <w:top w:val="nil"/>
              <w:left w:val="nil"/>
              <w:bottom w:val="single" w:sz="4" w:space="0" w:color="auto"/>
              <w:right w:val="nil"/>
            </w:tcBorders>
          </w:tcPr>
          <w:p w14:paraId="1D7EFF2B" w14:textId="090A3810" w:rsidR="000C58DC" w:rsidRPr="0056475E" w:rsidRDefault="000C58DC" w:rsidP="000C58DC">
            <w:pPr>
              <w:jc w:val="right"/>
              <w:rPr>
                <w:sz w:val="18"/>
              </w:rPr>
            </w:pPr>
          </w:p>
        </w:tc>
        <w:tc>
          <w:tcPr>
            <w:tcW w:w="1606" w:type="dxa"/>
            <w:tcBorders>
              <w:top w:val="nil"/>
              <w:left w:val="nil"/>
              <w:bottom w:val="single" w:sz="4" w:space="0" w:color="auto"/>
              <w:right w:val="single" w:sz="4" w:space="0" w:color="auto"/>
            </w:tcBorders>
            <w:shd w:val="clear" w:color="auto" w:fill="auto"/>
          </w:tcPr>
          <w:p w14:paraId="0B437E53" w14:textId="71E45505" w:rsidR="000C58DC" w:rsidRPr="00844990" w:rsidRDefault="000C58DC" w:rsidP="000C58DC">
            <w:pPr>
              <w:jc w:val="right"/>
              <w:rPr>
                <w:sz w:val="18"/>
              </w:rPr>
            </w:pPr>
          </w:p>
        </w:tc>
      </w:tr>
      <w:tr w:rsidR="000C58DC" w:rsidRPr="00E80EE2" w14:paraId="2DB25E0C" w14:textId="77777777" w:rsidTr="00522375">
        <w:trPr>
          <w:trHeight w:val="259"/>
        </w:trPr>
        <w:tc>
          <w:tcPr>
            <w:tcW w:w="3398" w:type="dxa"/>
            <w:tcBorders>
              <w:top w:val="nil"/>
              <w:left w:val="single" w:sz="4" w:space="0" w:color="auto"/>
              <w:bottom w:val="single" w:sz="4" w:space="0" w:color="auto"/>
              <w:right w:val="nil"/>
            </w:tcBorders>
          </w:tcPr>
          <w:p w14:paraId="66BCE80B" w14:textId="5B35044D" w:rsidR="000C58DC" w:rsidRPr="00E80EE2" w:rsidRDefault="000C58DC" w:rsidP="000C58DC">
            <w:pPr>
              <w:rPr>
                <w:sz w:val="18"/>
                <w:szCs w:val="20"/>
              </w:rPr>
            </w:pPr>
            <w:r w:rsidRPr="00E80EE2">
              <w:rPr>
                <w:sz w:val="18"/>
                <w:szCs w:val="20"/>
              </w:rPr>
              <w:t>Net position - end of year</w:t>
            </w:r>
          </w:p>
        </w:tc>
        <w:tc>
          <w:tcPr>
            <w:tcW w:w="1964" w:type="dxa"/>
            <w:tcBorders>
              <w:top w:val="single" w:sz="4" w:space="0" w:color="auto"/>
              <w:left w:val="nil"/>
              <w:bottom w:val="single" w:sz="4" w:space="0" w:color="auto"/>
              <w:right w:val="nil"/>
            </w:tcBorders>
          </w:tcPr>
          <w:p w14:paraId="79058481" w14:textId="1934FABB" w:rsidR="000C58DC" w:rsidRPr="00E80EE2" w:rsidRDefault="000C58DC" w:rsidP="000C58DC">
            <w:pPr>
              <w:jc w:val="right"/>
              <w:rPr>
                <w:sz w:val="18"/>
                <w:szCs w:val="20"/>
              </w:rPr>
            </w:pPr>
            <w:r w:rsidRPr="0056475E">
              <w:rPr>
                <w:sz w:val="18"/>
              </w:rPr>
              <w:t xml:space="preserve"> 577,242,90</w:t>
            </w:r>
            <w:r>
              <w:rPr>
                <w:sz w:val="18"/>
              </w:rPr>
              <w:t>8</w:t>
            </w:r>
            <w:r w:rsidRPr="0056475E">
              <w:rPr>
                <w:sz w:val="18"/>
              </w:rPr>
              <w:t xml:space="preserve"> </w:t>
            </w:r>
          </w:p>
        </w:tc>
        <w:tc>
          <w:tcPr>
            <w:tcW w:w="1551" w:type="dxa"/>
            <w:tcBorders>
              <w:top w:val="single" w:sz="4" w:space="0" w:color="auto"/>
              <w:left w:val="nil"/>
              <w:bottom w:val="single" w:sz="4" w:space="0" w:color="auto"/>
              <w:right w:val="nil"/>
            </w:tcBorders>
          </w:tcPr>
          <w:p w14:paraId="63B93954" w14:textId="732BB9EF" w:rsidR="000C58DC" w:rsidRPr="0056475E" w:rsidRDefault="000C58DC" w:rsidP="000C58DC">
            <w:pPr>
              <w:jc w:val="right"/>
              <w:rPr>
                <w:sz w:val="18"/>
              </w:rPr>
            </w:pPr>
            <w:r w:rsidRPr="0056475E">
              <w:rPr>
                <w:sz w:val="18"/>
              </w:rPr>
              <w:t xml:space="preserve"> 582,803,82</w:t>
            </w:r>
            <w:r>
              <w:rPr>
                <w:sz w:val="18"/>
              </w:rPr>
              <w:t>4</w:t>
            </w:r>
            <w:r w:rsidRPr="0056475E">
              <w:rPr>
                <w:sz w:val="18"/>
              </w:rPr>
              <w:t xml:space="preserve"> </w:t>
            </w:r>
          </w:p>
        </w:tc>
        <w:tc>
          <w:tcPr>
            <w:tcW w:w="1551" w:type="dxa"/>
            <w:tcBorders>
              <w:top w:val="single" w:sz="4" w:space="0" w:color="auto"/>
              <w:left w:val="nil"/>
              <w:bottom w:val="single" w:sz="4" w:space="0" w:color="auto"/>
              <w:right w:val="nil"/>
            </w:tcBorders>
          </w:tcPr>
          <w:p w14:paraId="53D93E15" w14:textId="6F88EB59" w:rsidR="000C58DC" w:rsidRPr="0056475E" w:rsidRDefault="000C58DC" w:rsidP="000C58DC">
            <w:pPr>
              <w:jc w:val="right"/>
              <w:rPr>
                <w:sz w:val="18"/>
              </w:rPr>
            </w:pPr>
          </w:p>
        </w:tc>
        <w:tc>
          <w:tcPr>
            <w:tcW w:w="1606" w:type="dxa"/>
            <w:tcBorders>
              <w:top w:val="single" w:sz="4" w:space="0" w:color="auto"/>
              <w:left w:val="nil"/>
              <w:bottom w:val="single" w:sz="4" w:space="0" w:color="auto"/>
              <w:right w:val="single" w:sz="4" w:space="0" w:color="auto"/>
            </w:tcBorders>
            <w:shd w:val="clear" w:color="auto" w:fill="auto"/>
          </w:tcPr>
          <w:p w14:paraId="37E3EF44" w14:textId="5F9E910F" w:rsidR="000C58DC" w:rsidRPr="00844990" w:rsidRDefault="000C58DC" w:rsidP="000C58DC">
            <w:pPr>
              <w:jc w:val="right"/>
              <w:rPr>
                <w:sz w:val="18"/>
              </w:rPr>
            </w:pPr>
          </w:p>
        </w:tc>
      </w:tr>
    </w:tbl>
    <w:p w14:paraId="6BDF076C" w14:textId="4DCD9DD8" w:rsidR="00FC4415" w:rsidRPr="00896B75" w:rsidRDefault="00FC4415" w:rsidP="00FC4415">
      <w:pPr>
        <w:tabs>
          <w:tab w:val="left" w:pos="990"/>
        </w:tabs>
        <w:rPr>
          <w:i/>
          <w:noProof/>
          <w:sz w:val="18"/>
          <w:szCs w:val="20"/>
        </w:rPr>
      </w:pPr>
      <w:r w:rsidRPr="00896B75">
        <w:rPr>
          <w:i/>
          <w:noProof/>
          <w:sz w:val="18"/>
          <w:szCs w:val="20"/>
        </w:rPr>
        <w:t>*Required audited financials available December 202</w:t>
      </w:r>
      <w:r>
        <w:rPr>
          <w:i/>
          <w:noProof/>
          <w:sz w:val="18"/>
          <w:szCs w:val="20"/>
        </w:rPr>
        <w:t>4</w:t>
      </w:r>
      <w:r w:rsidRPr="00896B75">
        <w:rPr>
          <w:i/>
          <w:noProof/>
          <w:sz w:val="18"/>
          <w:szCs w:val="20"/>
        </w:rPr>
        <w:t>.</w:t>
      </w:r>
    </w:p>
    <w:p w14:paraId="5FB908D5" w14:textId="0B238775" w:rsidR="00DE6D55" w:rsidRPr="00F13682" w:rsidRDefault="00DE6D55" w:rsidP="008B576A">
      <w:pPr>
        <w:tabs>
          <w:tab w:val="left" w:pos="990"/>
        </w:tabs>
        <w:rPr>
          <w:noProof/>
          <w:sz w:val="18"/>
          <w:szCs w:val="20"/>
        </w:rPr>
      </w:pPr>
    </w:p>
    <w:p w14:paraId="14952CB5" w14:textId="33C151CD" w:rsidR="00CD6278" w:rsidRDefault="00CD6278" w:rsidP="00CD6278">
      <w:pPr>
        <w:pStyle w:val="Heading2"/>
        <w:spacing w:before="0" w:after="0"/>
        <w:rPr>
          <w:i w:val="0"/>
          <w:iCs w:val="0"/>
          <w:sz w:val="24"/>
          <w:szCs w:val="24"/>
        </w:rPr>
      </w:pPr>
      <w:r w:rsidRPr="00CD6278">
        <w:rPr>
          <w:i w:val="0"/>
          <w:iCs w:val="0"/>
          <w:sz w:val="24"/>
          <w:szCs w:val="24"/>
        </w:rPr>
        <w:t xml:space="preserve">Small Business Development Center (SBDC) </w:t>
      </w:r>
      <w:r w:rsidRPr="0076704B">
        <w:rPr>
          <w:i w:val="0"/>
          <w:iCs w:val="0"/>
          <w:sz w:val="24"/>
          <w:szCs w:val="24"/>
        </w:rPr>
        <w:t>Revenue and Expenditures</w:t>
      </w:r>
    </w:p>
    <w:p w14:paraId="47E12B6F" w14:textId="77777777" w:rsidR="00CD6278" w:rsidRPr="00CD6278" w:rsidRDefault="00CD6278" w:rsidP="00CD6278"/>
    <w:tbl>
      <w:tblPr>
        <w:tblW w:w="1006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870"/>
        <w:gridCol w:w="1440"/>
        <w:gridCol w:w="1620"/>
        <w:gridCol w:w="1530"/>
        <w:gridCol w:w="1600"/>
      </w:tblGrid>
      <w:tr w:rsidR="000C58DC" w14:paraId="4ED1FE9D" w14:textId="77777777" w:rsidTr="00BE2F35">
        <w:trPr>
          <w:trHeight w:val="220"/>
        </w:trPr>
        <w:tc>
          <w:tcPr>
            <w:tcW w:w="3870" w:type="dxa"/>
            <w:shd w:val="clear" w:color="auto" w:fill="000080"/>
          </w:tcPr>
          <w:p w14:paraId="39E0E70F" w14:textId="77777777" w:rsidR="000C58DC" w:rsidRDefault="000C58DC" w:rsidP="000C58DC">
            <w:pPr>
              <w:pBdr>
                <w:top w:val="nil"/>
                <w:left w:val="nil"/>
                <w:bottom w:val="nil"/>
                <w:right w:val="nil"/>
                <w:between w:val="nil"/>
              </w:pBdr>
              <w:spacing w:line="200" w:lineRule="auto"/>
              <w:rPr>
                <w:b/>
                <w:color w:val="000000"/>
                <w:sz w:val="20"/>
                <w:szCs w:val="20"/>
              </w:rPr>
            </w:pPr>
            <w:r>
              <w:rPr>
                <w:b/>
                <w:color w:val="FFFFFF"/>
                <w:sz w:val="20"/>
                <w:szCs w:val="20"/>
              </w:rPr>
              <w:t>Revenue</w:t>
            </w:r>
          </w:p>
        </w:tc>
        <w:tc>
          <w:tcPr>
            <w:tcW w:w="1440" w:type="dxa"/>
            <w:shd w:val="clear" w:color="auto" w:fill="000080"/>
          </w:tcPr>
          <w:p w14:paraId="040CF2FC" w14:textId="50E47DC8" w:rsidR="000C58DC" w:rsidRDefault="000C58DC" w:rsidP="000C58DC">
            <w:pPr>
              <w:pBdr>
                <w:top w:val="nil"/>
                <w:left w:val="nil"/>
                <w:bottom w:val="nil"/>
                <w:right w:val="nil"/>
                <w:between w:val="nil"/>
              </w:pBdr>
              <w:spacing w:line="200" w:lineRule="auto"/>
              <w:jc w:val="right"/>
              <w:rPr>
                <w:b/>
                <w:color w:val="000000"/>
                <w:sz w:val="20"/>
                <w:szCs w:val="20"/>
              </w:rPr>
            </w:pPr>
            <w:r>
              <w:rPr>
                <w:b/>
                <w:color w:val="FFFFFF"/>
                <w:sz w:val="20"/>
                <w:szCs w:val="20"/>
              </w:rPr>
              <w:t>FY 2022</w:t>
            </w:r>
          </w:p>
        </w:tc>
        <w:tc>
          <w:tcPr>
            <w:tcW w:w="1620" w:type="dxa"/>
            <w:shd w:val="clear" w:color="auto" w:fill="000080"/>
          </w:tcPr>
          <w:p w14:paraId="7FD25A6D" w14:textId="4B38CC6E" w:rsidR="000C58DC" w:rsidRDefault="000C58DC" w:rsidP="000C58DC">
            <w:pPr>
              <w:pBdr>
                <w:top w:val="nil"/>
                <w:left w:val="nil"/>
                <w:bottom w:val="nil"/>
                <w:right w:val="nil"/>
                <w:between w:val="nil"/>
              </w:pBdr>
              <w:spacing w:line="200" w:lineRule="auto"/>
              <w:jc w:val="right"/>
              <w:rPr>
                <w:b/>
                <w:color w:val="000000"/>
                <w:sz w:val="20"/>
                <w:szCs w:val="20"/>
              </w:rPr>
            </w:pPr>
            <w:r>
              <w:rPr>
                <w:b/>
                <w:color w:val="FFFFFF"/>
                <w:sz w:val="20"/>
                <w:szCs w:val="20"/>
              </w:rPr>
              <w:t>FY 2023</w:t>
            </w:r>
          </w:p>
        </w:tc>
        <w:tc>
          <w:tcPr>
            <w:tcW w:w="1530" w:type="dxa"/>
            <w:shd w:val="clear" w:color="auto" w:fill="000080"/>
          </w:tcPr>
          <w:p w14:paraId="43E4003B" w14:textId="10688136" w:rsidR="000C58DC" w:rsidRDefault="000C58DC" w:rsidP="000C58DC">
            <w:pPr>
              <w:pBdr>
                <w:top w:val="nil"/>
                <w:left w:val="nil"/>
                <w:bottom w:val="nil"/>
                <w:right w:val="nil"/>
                <w:between w:val="nil"/>
              </w:pBdr>
              <w:spacing w:line="200" w:lineRule="auto"/>
              <w:jc w:val="right"/>
              <w:rPr>
                <w:b/>
                <w:color w:val="000000"/>
                <w:sz w:val="20"/>
                <w:szCs w:val="20"/>
              </w:rPr>
            </w:pPr>
            <w:r>
              <w:rPr>
                <w:b/>
                <w:color w:val="FFFFFF"/>
                <w:sz w:val="20"/>
                <w:szCs w:val="20"/>
              </w:rPr>
              <w:t>FY 2024</w:t>
            </w:r>
          </w:p>
        </w:tc>
        <w:tc>
          <w:tcPr>
            <w:tcW w:w="1600" w:type="dxa"/>
            <w:shd w:val="clear" w:color="auto" w:fill="002060"/>
          </w:tcPr>
          <w:p w14:paraId="1CE9C25C" w14:textId="4FA2F70C" w:rsidR="000C58DC" w:rsidRDefault="000C58DC" w:rsidP="000C58DC">
            <w:pPr>
              <w:pBdr>
                <w:top w:val="nil"/>
                <w:left w:val="nil"/>
                <w:bottom w:val="nil"/>
                <w:right w:val="nil"/>
                <w:between w:val="nil"/>
              </w:pBdr>
              <w:tabs>
                <w:tab w:val="left" w:pos="285"/>
                <w:tab w:val="right" w:pos="1688"/>
              </w:tabs>
              <w:spacing w:line="200" w:lineRule="auto"/>
              <w:rPr>
                <w:b/>
                <w:color w:val="000000"/>
                <w:sz w:val="20"/>
                <w:szCs w:val="20"/>
              </w:rPr>
            </w:pPr>
            <w:r>
              <w:rPr>
                <w:b/>
                <w:color w:val="FFFFFF"/>
                <w:sz w:val="20"/>
                <w:szCs w:val="20"/>
              </w:rPr>
              <w:tab/>
            </w:r>
            <w:r>
              <w:rPr>
                <w:b/>
                <w:color w:val="FFFFFF"/>
                <w:sz w:val="20"/>
                <w:szCs w:val="20"/>
              </w:rPr>
              <w:tab/>
              <w:t>FY 2025</w:t>
            </w:r>
          </w:p>
        </w:tc>
      </w:tr>
      <w:tr w:rsidR="000C58DC" w14:paraId="09C654B2" w14:textId="77777777" w:rsidTr="00BE2F35">
        <w:trPr>
          <w:trHeight w:val="207"/>
        </w:trPr>
        <w:tc>
          <w:tcPr>
            <w:tcW w:w="3870" w:type="dxa"/>
          </w:tcPr>
          <w:p w14:paraId="6921B9E7" w14:textId="77777777" w:rsidR="000C58DC" w:rsidRPr="00BE2F35" w:rsidRDefault="000C58DC" w:rsidP="000C58DC">
            <w:pPr>
              <w:pBdr>
                <w:top w:val="nil"/>
                <w:left w:val="nil"/>
                <w:bottom w:val="nil"/>
                <w:right w:val="nil"/>
                <w:between w:val="nil"/>
              </w:pBdr>
              <w:spacing w:before="100" w:beforeAutospacing="1" w:after="100" w:afterAutospacing="1" w:line="184" w:lineRule="auto"/>
              <w:rPr>
                <w:color w:val="000000"/>
                <w:sz w:val="18"/>
                <w:szCs w:val="18"/>
              </w:rPr>
            </w:pPr>
            <w:r w:rsidRPr="00BE2F35">
              <w:rPr>
                <w:color w:val="000000"/>
                <w:sz w:val="18"/>
                <w:szCs w:val="18"/>
              </w:rPr>
              <w:t>Revenue</w:t>
            </w:r>
          </w:p>
        </w:tc>
        <w:tc>
          <w:tcPr>
            <w:tcW w:w="1440" w:type="dxa"/>
          </w:tcPr>
          <w:p w14:paraId="4DE5D033" w14:textId="5998FC33" w:rsidR="000C58DC" w:rsidRPr="00BE2F35" w:rsidRDefault="000C58DC" w:rsidP="000C58DC">
            <w:pPr>
              <w:pBdr>
                <w:top w:val="nil"/>
                <w:left w:val="nil"/>
                <w:bottom w:val="nil"/>
                <w:right w:val="nil"/>
                <w:between w:val="nil"/>
              </w:pBdr>
              <w:spacing w:before="100" w:beforeAutospacing="1" w:after="100" w:afterAutospacing="1" w:line="184" w:lineRule="auto"/>
              <w:jc w:val="right"/>
              <w:rPr>
                <w:color w:val="000000"/>
                <w:sz w:val="18"/>
                <w:szCs w:val="18"/>
              </w:rPr>
            </w:pPr>
            <w:r w:rsidRPr="00BE2F35">
              <w:rPr>
                <w:color w:val="000000"/>
                <w:sz w:val="18"/>
                <w:szCs w:val="18"/>
              </w:rPr>
              <w:t>$698,000</w:t>
            </w:r>
          </w:p>
        </w:tc>
        <w:tc>
          <w:tcPr>
            <w:tcW w:w="1620" w:type="dxa"/>
          </w:tcPr>
          <w:p w14:paraId="047102FB" w14:textId="4C17020F" w:rsidR="000C58DC" w:rsidRPr="00BE2F35" w:rsidRDefault="000C58DC" w:rsidP="000C58DC">
            <w:pPr>
              <w:pBdr>
                <w:top w:val="nil"/>
                <w:left w:val="nil"/>
                <w:bottom w:val="nil"/>
                <w:right w:val="nil"/>
                <w:between w:val="nil"/>
              </w:pBdr>
              <w:spacing w:before="100" w:beforeAutospacing="1" w:after="100" w:afterAutospacing="1" w:line="184" w:lineRule="auto"/>
              <w:jc w:val="right"/>
              <w:rPr>
                <w:color w:val="000000"/>
                <w:sz w:val="18"/>
                <w:szCs w:val="18"/>
              </w:rPr>
            </w:pPr>
            <w:r w:rsidRPr="00BE2F35">
              <w:rPr>
                <w:color w:val="000000"/>
                <w:sz w:val="18"/>
                <w:szCs w:val="18"/>
              </w:rPr>
              <w:t>$770,300</w:t>
            </w:r>
          </w:p>
        </w:tc>
        <w:tc>
          <w:tcPr>
            <w:tcW w:w="1530" w:type="dxa"/>
          </w:tcPr>
          <w:p w14:paraId="7E8C1179" w14:textId="68F3AB9A" w:rsidR="000C58DC" w:rsidRPr="00BE2F35" w:rsidRDefault="000C58DC" w:rsidP="000C58DC">
            <w:pPr>
              <w:pBdr>
                <w:top w:val="nil"/>
                <w:left w:val="nil"/>
                <w:bottom w:val="nil"/>
                <w:right w:val="nil"/>
                <w:between w:val="nil"/>
              </w:pBdr>
              <w:spacing w:before="100" w:beforeAutospacing="1" w:after="100" w:afterAutospacing="1" w:line="184" w:lineRule="auto"/>
              <w:jc w:val="right"/>
              <w:rPr>
                <w:color w:val="000000"/>
                <w:sz w:val="18"/>
                <w:szCs w:val="18"/>
              </w:rPr>
            </w:pPr>
            <w:r w:rsidRPr="00BE2F35">
              <w:rPr>
                <w:sz w:val="18"/>
                <w:szCs w:val="18"/>
              </w:rPr>
              <w:t>$832,000</w:t>
            </w:r>
          </w:p>
        </w:tc>
        <w:tc>
          <w:tcPr>
            <w:tcW w:w="1600" w:type="dxa"/>
          </w:tcPr>
          <w:p w14:paraId="5E875B4C" w14:textId="39EC5BA8" w:rsidR="000C58DC" w:rsidRPr="00BE2F35" w:rsidRDefault="000C58DC" w:rsidP="000C58DC">
            <w:pPr>
              <w:pBdr>
                <w:top w:val="nil"/>
                <w:left w:val="nil"/>
                <w:bottom w:val="nil"/>
                <w:right w:val="nil"/>
                <w:between w:val="nil"/>
              </w:pBdr>
              <w:spacing w:before="100" w:beforeAutospacing="1" w:after="100" w:afterAutospacing="1" w:line="184" w:lineRule="auto"/>
              <w:jc w:val="right"/>
              <w:rPr>
                <w:color w:val="000000"/>
                <w:sz w:val="18"/>
                <w:szCs w:val="18"/>
              </w:rPr>
            </w:pPr>
          </w:p>
        </w:tc>
      </w:tr>
      <w:tr w:rsidR="000C58DC" w14:paraId="7CF78077" w14:textId="77777777" w:rsidTr="00BE2F35">
        <w:trPr>
          <w:trHeight w:val="207"/>
        </w:trPr>
        <w:tc>
          <w:tcPr>
            <w:tcW w:w="3870" w:type="dxa"/>
          </w:tcPr>
          <w:p w14:paraId="18ABDB3A" w14:textId="77777777"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r w:rsidRPr="00BE2F35">
              <w:rPr>
                <w:b/>
                <w:color w:val="000000"/>
                <w:sz w:val="18"/>
                <w:szCs w:val="18"/>
              </w:rPr>
              <w:t>Total</w:t>
            </w:r>
          </w:p>
        </w:tc>
        <w:tc>
          <w:tcPr>
            <w:tcW w:w="1440" w:type="dxa"/>
          </w:tcPr>
          <w:p w14:paraId="1405FA25" w14:textId="2EAE446A"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r w:rsidRPr="00BE2F35">
              <w:rPr>
                <w:b/>
                <w:color w:val="000000"/>
                <w:sz w:val="18"/>
                <w:szCs w:val="18"/>
              </w:rPr>
              <w:t>$698,000</w:t>
            </w:r>
          </w:p>
        </w:tc>
        <w:tc>
          <w:tcPr>
            <w:tcW w:w="1620" w:type="dxa"/>
          </w:tcPr>
          <w:p w14:paraId="445A0827" w14:textId="44209081"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r w:rsidRPr="00BE2F35">
              <w:rPr>
                <w:b/>
                <w:color w:val="000000"/>
                <w:sz w:val="18"/>
                <w:szCs w:val="18"/>
              </w:rPr>
              <w:t>$770,300</w:t>
            </w:r>
          </w:p>
        </w:tc>
        <w:tc>
          <w:tcPr>
            <w:tcW w:w="1530" w:type="dxa"/>
          </w:tcPr>
          <w:p w14:paraId="4CF7882C" w14:textId="3329211A"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r w:rsidRPr="00BE2F35">
              <w:rPr>
                <w:b/>
                <w:sz w:val="18"/>
                <w:szCs w:val="18"/>
              </w:rPr>
              <w:t>$832,000</w:t>
            </w:r>
          </w:p>
        </w:tc>
        <w:tc>
          <w:tcPr>
            <w:tcW w:w="1600" w:type="dxa"/>
          </w:tcPr>
          <w:p w14:paraId="4F2FEF2D" w14:textId="3B84FCC5"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p>
        </w:tc>
      </w:tr>
      <w:tr w:rsidR="000C58DC" w14:paraId="6F4A5A89" w14:textId="77777777" w:rsidTr="00BE2F35">
        <w:trPr>
          <w:trHeight w:val="240"/>
        </w:trPr>
        <w:tc>
          <w:tcPr>
            <w:tcW w:w="3870" w:type="dxa"/>
            <w:shd w:val="clear" w:color="auto" w:fill="000080"/>
          </w:tcPr>
          <w:p w14:paraId="3E083D62" w14:textId="77777777" w:rsidR="000C58DC" w:rsidRDefault="000C58DC" w:rsidP="000C58DC">
            <w:pPr>
              <w:pBdr>
                <w:top w:val="nil"/>
                <w:left w:val="nil"/>
                <w:bottom w:val="nil"/>
                <w:right w:val="nil"/>
                <w:between w:val="nil"/>
              </w:pBdr>
              <w:spacing w:before="100" w:beforeAutospacing="1" w:after="100" w:afterAutospacing="1" w:line="207" w:lineRule="auto"/>
              <w:rPr>
                <w:b/>
                <w:color w:val="000000"/>
                <w:sz w:val="20"/>
                <w:szCs w:val="20"/>
              </w:rPr>
            </w:pPr>
            <w:r>
              <w:rPr>
                <w:b/>
                <w:color w:val="FFFFFF"/>
                <w:sz w:val="20"/>
                <w:szCs w:val="20"/>
              </w:rPr>
              <w:t>Expenditures</w:t>
            </w:r>
          </w:p>
        </w:tc>
        <w:tc>
          <w:tcPr>
            <w:tcW w:w="1440" w:type="dxa"/>
            <w:shd w:val="clear" w:color="auto" w:fill="000080"/>
          </w:tcPr>
          <w:p w14:paraId="5D279EA8" w14:textId="10357BFA" w:rsidR="000C58DC" w:rsidRDefault="000C58DC" w:rsidP="000C58DC">
            <w:pPr>
              <w:pBdr>
                <w:top w:val="nil"/>
                <w:left w:val="nil"/>
                <w:bottom w:val="nil"/>
                <w:right w:val="nil"/>
                <w:between w:val="nil"/>
              </w:pBdr>
              <w:spacing w:before="100" w:beforeAutospacing="1" w:after="100" w:afterAutospacing="1" w:line="207" w:lineRule="auto"/>
              <w:jc w:val="right"/>
              <w:rPr>
                <w:b/>
                <w:color w:val="000000"/>
                <w:sz w:val="20"/>
                <w:szCs w:val="20"/>
              </w:rPr>
            </w:pPr>
            <w:r>
              <w:rPr>
                <w:b/>
                <w:color w:val="FFFFFF"/>
                <w:sz w:val="20"/>
                <w:szCs w:val="20"/>
              </w:rPr>
              <w:t>FY 2022</w:t>
            </w:r>
          </w:p>
        </w:tc>
        <w:tc>
          <w:tcPr>
            <w:tcW w:w="1620" w:type="dxa"/>
            <w:shd w:val="clear" w:color="auto" w:fill="000080"/>
          </w:tcPr>
          <w:p w14:paraId="53FE8CDD" w14:textId="6971093F" w:rsidR="000C58DC" w:rsidRDefault="000C58DC" w:rsidP="000C58DC">
            <w:pPr>
              <w:pBdr>
                <w:top w:val="nil"/>
                <w:left w:val="nil"/>
                <w:bottom w:val="nil"/>
                <w:right w:val="nil"/>
                <w:between w:val="nil"/>
              </w:pBdr>
              <w:spacing w:before="100" w:beforeAutospacing="1" w:after="100" w:afterAutospacing="1" w:line="207" w:lineRule="auto"/>
              <w:jc w:val="right"/>
              <w:rPr>
                <w:b/>
                <w:color w:val="000000"/>
                <w:sz w:val="20"/>
                <w:szCs w:val="20"/>
              </w:rPr>
            </w:pPr>
            <w:r>
              <w:rPr>
                <w:b/>
                <w:color w:val="FFFFFF"/>
                <w:sz w:val="20"/>
                <w:szCs w:val="20"/>
              </w:rPr>
              <w:t>FY 2023</w:t>
            </w:r>
          </w:p>
        </w:tc>
        <w:tc>
          <w:tcPr>
            <w:tcW w:w="1530" w:type="dxa"/>
            <w:shd w:val="clear" w:color="auto" w:fill="000080"/>
          </w:tcPr>
          <w:p w14:paraId="676EE176" w14:textId="36661B73" w:rsidR="000C58DC" w:rsidRDefault="000C58DC" w:rsidP="000C58DC">
            <w:pPr>
              <w:pBdr>
                <w:top w:val="nil"/>
                <w:left w:val="nil"/>
                <w:bottom w:val="nil"/>
                <w:right w:val="nil"/>
                <w:between w:val="nil"/>
              </w:pBdr>
              <w:spacing w:before="100" w:beforeAutospacing="1" w:after="100" w:afterAutospacing="1" w:line="207" w:lineRule="auto"/>
              <w:jc w:val="right"/>
              <w:rPr>
                <w:b/>
                <w:color w:val="000000"/>
                <w:sz w:val="20"/>
                <w:szCs w:val="20"/>
              </w:rPr>
            </w:pPr>
            <w:r w:rsidRPr="00E75A3E">
              <w:rPr>
                <w:b/>
                <w:color w:val="FFFFFF" w:themeColor="background1"/>
                <w:sz w:val="20"/>
                <w:szCs w:val="20"/>
              </w:rPr>
              <w:t>FY 2024</w:t>
            </w:r>
          </w:p>
        </w:tc>
        <w:tc>
          <w:tcPr>
            <w:tcW w:w="1600" w:type="dxa"/>
            <w:shd w:val="clear" w:color="auto" w:fill="002060"/>
          </w:tcPr>
          <w:p w14:paraId="23CC4A47" w14:textId="30B4CA98" w:rsidR="000C58DC" w:rsidRPr="00E75A3E" w:rsidRDefault="000C58DC" w:rsidP="000C58DC">
            <w:pPr>
              <w:pBdr>
                <w:top w:val="nil"/>
                <w:left w:val="nil"/>
                <w:bottom w:val="nil"/>
                <w:right w:val="nil"/>
                <w:between w:val="nil"/>
              </w:pBdr>
              <w:spacing w:before="100" w:beforeAutospacing="1" w:after="100" w:afterAutospacing="1" w:line="207" w:lineRule="auto"/>
              <w:jc w:val="right"/>
              <w:rPr>
                <w:b/>
                <w:color w:val="FFFFFF" w:themeColor="background1"/>
                <w:sz w:val="20"/>
                <w:szCs w:val="20"/>
              </w:rPr>
            </w:pPr>
            <w:r w:rsidRPr="00E75A3E">
              <w:rPr>
                <w:b/>
                <w:color w:val="FFFFFF" w:themeColor="background1"/>
                <w:sz w:val="20"/>
                <w:szCs w:val="20"/>
              </w:rPr>
              <w:t>FY 202</w:t>
            </w:r>
            <w:r>
              <w:rPr>
                <w:b/>
                <w:color w:val="FFFFFF" w:themeColor="background1"/>
                <w:sz w:val="20"/>
                <w:szCs w:val="20"/>
              </w:rPr>
              <w:t>5</w:t>
            </w:r>
          </w:p>
        </w:tc>
      </w:tr>
      <w:tr w:rsidR="000C58DC" w14:paraId="1AB2A34E" w14:textId="77777777" w:rsidTr="00BE2F35">
        <w:trPr>
          <w:trHeight w:val="220"/>
        </w:trPr>
        <w:tc>
          <w:tcPr>
            <w:tcW w:w="3870" w:type="dxa"/>
          </w:tcPr>
          <w:p w14:paraId="12802452" w14:textId="77777777" w:rsidR="000C58DC" w:rsidRPr="00BE2F35" w:rsidRDefault="000C58DC" w:rsidP="000C58DC">
            <w:pPr>
              <w:pBdr>
                <w:top w:val="nil"/>
                <w:left w:val="nil"/>
                <w:bottom w:val="nil"/>
                <w:right w:val="nil"/>
                <w:between w:val="nil"/>
              </w:pBdr>
              <w:spacing w:before="100" w:beforeAutospacing="1" w:after="100" w:afterAutospacing="1" w:line="200" w:lineRule="auto"/>
              <w:rPr>
                <w:color w:val="000000"/>
                <w:sz w:val="18"/>
                <w:szCs w:val="18"/>
              </w:rPr>
            </w:pPr>
            <w:r w:rsidRPr="00BE2F35">
              <w:rPr>
                <w:color w:val="000000"/>
                <w:sz w:val="18"/>
                <w:szCs w:val="18"/>
              </w:rPr>
              <w:t>Personnel Costs*</w:t>
            </w:r>
          </w:p>
        </w:tc>
        <w:tc>
          <w:tcPr>
            <w:tcW w:w="1440" w:type="dxa"/>
          </w:tcPr>
          <w:p w14:paraId="58FE1CA7" w14:textId="2778A806" w:rsidR="000C58DC" w:rsidRPr="00BE2F35" w:rsidRDefault="000C58DC" w:rsidP="000C58DC">
            <w:pPr>
              <w:pBdr>
                <w:top w:val="nil"/>
                <w:left w:val="nil"/>
                <w:bottom w:val="nil"/>
                <w:right w:val="nil"/>
                <w:between w:val="nil"/>
              </w:pBdr>
              <w:spacing w:before="100" w:beforeAutospacing="1" w:after="100" w:afterAutospacing="1" w:line="200" w:lineRule="auto"/>
              <w:jc w:val="right"/>
              <w:rPr>
                <w:color w:val="000000"/>
                <w:sz w:val="18"/>
                <w:szCs w:val="18"/>
              </w:rPr>
            </w:pPr>
            <w:r w:rsidRPr="00BE2F35">
              <w:rPr>
                <w:color w:val="000000"/>
                <w:sz w:val="18"/>
                <w:szCs w:val="18"/>
              </w:rPr>
              <w:t>$687,878</w:t>
            </w:r>
          </w:p>
        </w:tc>
        <w:tc>
          <w:tcPr>
            <w:tcW w:w="1620" w:type="dxa"/>
          </w:tcPr>
          <w:p w14:paraId="279E1BB8" w14:textId="5FCF61D6" w:rsidR="000C58DC" w:rsidRPr="00BE2F35" w:rsidRDefault="000C58DC" w:rsidP="000C58DC">
            <w:pPr>
              <w:pBdr>
                <w:top w:val="nil"/>
                <w:left w:val="nil"/>
                <w:bottom w:val="nil"/>
                <w:right w:val="nil"/>
                <w:between w:val="nil"/>
              </w:pBdr>
              <w:spacing w:before="100" w:beforeAutospacing="1" w:after="100" w:afterAutospacing="1" w:line="200" w:lineRule="auto"/>
              <w:jc w:val="right"/>
              <w:rPr>
                <w:color w:val="000000"/>
                <w:sz w:val="18"/>
                <w:szCs w:val="18"/>
              </w:rPr>
            </w:pPr>
            <w:r w:rsidRPr="00BE2F35">
              <w:rPr>
                <w:color w:val="000000"/>
                <w:sz w:val="18"/>
                <w:szCs w:val="18"/>
              </w:rPr>
              <w:t>$719,503</w:t>
            </w:r>
          </w:p>
        </w:tc>
        <w:tc>
          <w:tcPr>
            <w:tcW w:w="1530" w:type="dxa"/>
          </w:tcPr>
          <w:p w14:paraId="779A2EA4" w14:textId="5BAC4C6F" w:rsidR="000C58DC" w:rsidRPr="00BE2F35" w:rsidRDefault="000C58DC" w:rsidP="000C58DC">
            <w:pPr>
              <w:pBdr>
                <w:top w:val="nil"/>
                <w:left w:val="nil"/>
                <w:bottom w:val="nil"/>
                <w:right w:val="nil"/>
                <w:between w:val="nil"/>
              </w:pBdr>
              <w:spacing w:before="100" w:beforeAutospacing="1" w:after="100" w:afterAutospacing="1" w:line="200" w:lineRule="auto"/>
              <w:jc w:val="right"/>
              <w:rPr>
                <w:color w:val="000000"/>
                <w:sz w:val="18"/>
                <w:szCs w:val="18"/>
              </w:rPr>
            </w:pPr>
            <w:r w:rsidRPr="00BE2F35">
              <w:rPr>
                <w:sz w:val="18"/>
                <w:szCs w:val="18"/>
              </w:rPr>
              <w:t>$822,454</w:t>
            </w:r>
          </w:p>
        </w:tc>
        <w:tc>
          <w:tcPr>
            <w:tcW w:w="1600" w:type="dxa"/>
          </w:tcPr>
          <w:p w14:paraId="70FC50BF" w14:textId="22CCED2E" w:rsidR="000C58DC" w:rsidRPr="00BE2F35" w:rsidRDefault="000C58DC" w:rsidP="000C58DC">
            <w:pPr>
              <w:pBdr>
                <w:top w:val="nil"/>
                <w:left w:val="nil"/>
                <w:bottom w:val="nil"/>
                <w:right w:val="nil"/>
                <w:between w:val="nil"/>
              </w:pBdr>
              <w:spacing w:before="100" w:beforeAutospacing="1" w:after="100" w:afterAutospacing="1" w:line="200" w:lineRule="auto"/>
              <w:jc w:val="right"/>
              <w:rPr>
                <w:color w:val="000000"/>
                <w:sz w:val="18"/>
                <w:szCs w:val="18"/>
              </w:rPr>
            </w:pPr>
          </w:p>
        </w:tc>
      </w:tr>
      <w:tr w:rsidR="000C58DC" w14:paraId="727F07A4" w14:textId="77777777" w:rsidTr="00BE2F35">
        <w:trPr>
          <w:trHeight w:val="220"/>
        </w:trPr>
        <w:tc>
          <w:tcPr>
            <w:tcW w:w="3870" w:type="dxa"/>
          </w:tcPr>
          <w:p w14:paraId="522F9AD0" w14:textId="77777777" w:rsidR="000C58DC" w:rsidRPr="00BE2F35" w:rsidRDefault="000C58DC" w:rsidP="000C58DC">
            <w:pPr>
              <w:pBdr>
                <w:top w:val="nil"/>
                <w:left w:val="nil"/>
                <w:bottom w:val="nil"/>
                <w:right w:val="nil"/>
                <w:between w:val="nil"/>
              </w:pBdr>
              <w:spacing w:before="100" w:beforeAutospacing="1" w:after="100" w:afterAutospacing="1" w:line="197" w:lineRule="auto"/>
              <w:rPr>
                <w:color w:val="000000"/>
                <w:sz w:val="18"/>
                <w:szCs w:val="18"/>
              </w:rPr>
            </w:pPr>
            <w:r w:rsidRPr="00BE2F35">
              <w:rPr>
                <w:color w:val="000000"/>
                <w:sz w:val="18"/>
                <w:szCs w:val="18"/>
              </w:rPr>
              <w:t>Operating Expenditures</w:t>
            </w:r>
          </w:p>
        </w:tc>
        <w:tc>
          <w:tcPr>
            <w:tcW w:w="1440" w:type="dxa"/>
          </w:tcPr>
          <w:p w14:paraId="0752EF3D" w14:textId="392742D3" w:rsidR="000C58DC" w:rsidRPr="00BE2F35" w:rsidRDefault="000C58DC" w:rsidP="000C58DC">
            <w:pPr>
              <w:pBdr>
                <w:top w:val="nil"/>
                <w:left w:val="nil"/>
                <w:bottom w:val="nil"/>
                <w:right w:val="nil"/>
                <w:between w:val="nil"/>
              </w:pBdr>
              <w:spacing w:before="100" w:beforeAutospacing="1" w:after="100" w:afterAutospacing="1" w:line="197" w:lineRule="auto"/>
              <w:jc w:val="right"/>
              <w:rPr>
                <w:color w:val="000000"/>
                <w:sz w:val="18"/>
                <w:szCs w:val="18"/>
              </w:rPr>
            </w:pPr>
            <w:r w:rsidRPr="00BE2F35">
              <w:rPr>
                <w:color w:val="000000"/>
                <w:sz w:val="18"/>
                <w:szCs w:val="18"/>
              </w:rPr>
              <w:t>$10,122</w:t>
            </w:r>
          </w:p>
        </w:tc>
        <w:tc>
          <w:tcPr>
            <w:tcW w:w="1620" w:type="dxa"/>
          </w:tcPr>
          <w:p w14:paraId="13B0AA30" w14:textId="2D5F208D" w:rsidR="000C58DC" w:rsidRPr="00BE2F35" w:rsidRDefault="000C58DC" w:rsidP="000C58DC">
            <w:pPr>
              <w:pBdr>
                <w:top w:val="nil"/>
                <w:left w:val="nil"/>
                <w:bottom w:val="nil"/>
                <w:right w:val="nil"/>
                <w:between w:val="nil"/>
              </w:pBdr>
              <w:spacing w:before="100" w:beforeAutospacing="1" w:after="100" w:afterAutospacing="1" w:line="197" w:lineRule="auto"/>
              <w:jc w:val="right"/>
              <w:rPr>
                <w:color w:val="000000"/>
                <w:sz w:val="18"/>
                <w:szCs w:val="18"/>
              </w:rPr>
            </w:pPr>
            <w:r w:rsidRPr="00BE2F35">
              <w:rPr>
                <w:color w:val="000000"/>
                <w:sz w:val="18"/>
                <w:szCs w:val="18"/>
              </w:rPr>
              <w:t>$50,797</w:t>
            </w:r>
          </w:p>
        </w:tc>
        <w:tc>
          <w:tcPr>
            <w:tcW w:w="1530" w:type="dxa"/>
          </w:tcPr>
          <w:p w14:paraId="7B7DC1A9" w14:textId="397B6332" w:rsidR="000C58DC" w:rsidRPr="00BE2F35" w:rsidRDefault="000C58DC" w:rsidP="000C58DC">
            <w:pPr>
              <w:pBdr>
                <w:top w:val="nil"/>
                <w:left w:val="nil"/>
                <w:bottom w:val="nil"/>
                <w:right w:val="nil"/>
                <w:between w:val="nil"/>
              </w:pBdr>
              <w:spacing w:before="100" w:beforeAutospacing="1" w:after="100" w:afterAutospacing="1" w:line="197" w:lineRule="auto"/>
              <w:jc w:val="right"/>
              <w:rPr>
                <w:color w:val="000000"/>
                <w:sz w:val="18"/>
                <w:szCs w:val="18"/>
              </w:rPr>
            </w:pPr>
            <w:r w:rsidRPr="00BE2F35">
              <w:rPr>
                <w:sz w:val="18"/>
                <w:szCs w:val="18"/>
              </w:rPr>
              <w:t>$9,546</w:t>
            </w:r>
          </w:p>
        </w:tc>
        <w:tc>
          <w:tcPr>
            <w:tcW w:w="1600" w:type="dxa"/>
          </w:tcPr>
          <w:p w14:paraId="227B6283" w14:textId="2AB3CDE3" w:rsidR="000C58DC" w:rsidRPr="00BE2F35" w:rsidRDefault="000C58DC" w:rsidP="000C58DC">
            <w:pPr>
              <w:pBdr>
                <w:top w:val="nil"/>
                <w:left w:val="nil"/>
                <w:bottom w:val="nil"/>
                <w:right w:val="nil"/>
                <w:between w:val="nil"/>
              </w:pBdr>
              <w:spacing w:before="100" w:beforeAutospacing="1" w:after="100" w:afterAutospacing="1" w:line="197" w:lineRule="auto"/>
              <w:jc w:val="right"/>
              <w:rPr>
                <w:color w:val="000000"/>
                <w:sz w:val="18"/>
                <w:szCs w:val="18"/>
              </w:rPr>
            </w:pPr>
          </w:p>
        </w:tc>
      </w:tr>
      <w:tr w:rsidR="000C58DC" w14:paraId="58AFE616" w14:textId="77777777" w:rsidTr="00BE2F35">
        <w:trPr>
          <w:trHeight w:val="220"/>
        </w:trPr>
        <w:tc>
          <w:tcPr>
            <w:tcW w:w="3870" w:type="dxa"/>
          </w:tcPr>
          <w:p w14:paraId="0E55066F" w14:textId="77777777" w:rsidR="000C58DC" w:rsidRPr="00BE2F35" w:rsidRDefault="000C58DC" w:rsidP="000C58DC">
            <w:pPr>
              <w:pBdr>
                <w:top w:val="nil"/>
                <w:left w:val="nil"/>
                <w:bottom w:val="nil"/>
                <w:right w:val="nil"/>
                <w:between w:val="nil"/>
              </w:pBdr>
              <w:spacing w:before="100" w:beforeAutospacing="1" w:after="100" w:afterAutospacing="1" w:line="192" w:lineRule="auto"/>
              <w:rPr>
                <w:color w:val="000000"/>
                <w:sz w:val="18"/>
                <w:szCs w:val="18"/>
              </w:rPr>
            </w:pPr>
            <w:r w:rsidRPr="00BE2F35">
              <w:rPr>
                <w:color w:val="000000"/>
                <w:sz w:val="18"/>
                <w:szCs w:val="18"/>
              </w:rPr>
              <w:t>Capital Outlay</w:t>
            </w:r>
          </w:p>
        </w:tc>
        <w:tc>
          <w:tcPr>
            <w:tcW w:w="1440" w:type="dxa"/>
          </w:tcPr>
          <w:p w14:paraId="6EE47A82" w14:textId="0C8735E7" w:rsidR="000C58DC" w:rsidRPr="00BE2F35" w:rsidRDefault="000C58DC" w:rsidP="000C58DC">
            <w:pPr>
              <w:pBdr>
                <w:top w:val="nil"/>
                <w:left w:val="nil"/>
                <w:bottom w:val="nil"/>
                <w:right w:val="nil"/>
                <w:between w:val="nil"/>
              </w:pBdr>
              <w:spacing w:before="100" w:beforeAutospacing="1" w:after="100" w:afterAutospacing="1" w:line="192" w:lineRule="auto"/>
              <w:jc w:val="right"/>
              <w:rPr>
                <w:color w:val="000000"/>
                <w:sz w:val="18"/>
                <w:szCs w:val="18"/>
              </w:rPr>
            </w:pPr>
            <w:r w:rsidRPr="00BE2F35">
              <w:rPr>
                <w:color w:val="000000"/>
                <w:sz w:val="18"/>
                <w:szCs w:val="18"/>
              </w:rPr>
              <w:t>$0</w:t>
            </w:r>
          </w:p>
        </w:tc>
        <w:tc>
          <w:tcPr>
            <w:tcW w:w="1620" w:type="dxa"/>
          </w:tcPr>
          <w:p w14:paraId="4E3CB12E" w14:textId="34AD3D97" w:rsidR="000C58DC" w:rsidRPr="00BE2F35" w:rsidRDefault="000C58DC" w:rsidP="000C58DC">
            <w:pPr>
              <w:pBdr>
                <w:top w:val="nil"/>
                <w:left w:val="nil"/>
                <w:bottom w:val="nil"/>
                <w:right w:val="nil"/>
                <w:between w:val="nil"/>
              </w:pBdr>
              <w:spacing w:before="100" w:beforeAutospacing="1" w:after="100" w:afterAutospacing="1" w:line="192" w:lineRule="auto"/>
              <w:jc w:val="right"/>
              <w:rPr>
                <w:color w:val="000000"/>
                <w:sz w:val="18"/>
                <w:szCs w:val="18"/>
              </w:rPr>
            </w:pPr>
            <w:r w:rsidRPr="00BE2F35">
              <w:rPr>
                <w:color w:val="000000"/>
                <w:sz w:val="18"/>
                <w:szCs w:val="18"/>
              </w:rPr>
              <w:t>$0</w:t>
            </w:r>
          </w:p>
        </w:tc>
        <w:tc>
          <w:tcPr>
            <w:tcW w:w="1530" w:type="dxa"/>
          </w:tcPr>
          <w:p w14:paraId="0966178B" w14:textId="7C6EE0C9" w:rsidR="000C58DC" w:rsidRPr="00BE2F35" w:rsidRDefault="000C58DC" w:rsidP="000C58DC">
            <w:pPr>
              <w:pBdr>
                <w:top w:val="nil"/>
                <w:left w:val="nil"/>
                <w:bottom w:val="nil"/>
                <w:right w:val="nil"/>
                <w:between w:val="nil"/>
              </w:pBdr>
              <w:spacing w:before="100" w:beforeAutospacing="1" w:after="100" w:afterAutospacing="1" w:line="192" w:lineRule="auto"/>
              <w:jc w:val="right"/>
              <w:rPr>
                <w:color w:val="000000"/>
                <w:sz w:val="18"/>
                <w:szCs w:val="18"/>
              </w:rPr>
            </w:pPr>
            <w:r w:rsidRPr="00BE2F35">
              <w:rPr>
                <w:sz w:val="18"/>
                <w:szCs w:val="18"/>
              </w:rPr>
              <w:t>$0</w:t>
            </w:r>
          </w:p>
        </w:tc>
        <w:tc>
          <w:tcPr>
            <w:tcW w:w="1600" w:type="dxa"/>
          </w:tcPr>
          <w:p w14:paraId="2CA1DD34" w14:textId="4EEE3E94" w:rsidR="000C58DC" w:rsidRPr="00BE2F35" w:rsidRDefault="000C58DC" w:rsidP="000C58DC">
            <w:pPr>
              <w:pBdr>
                <w:top w:val="nil"/>
                <w:left w:val="nil"/>
                <w:bottom w:val="nil"/>
                <w:right w:val="nil"/>
                <w:between w:val="nil"/>
              </w:pBdr>
              <w:spacing w:before="100" w:beforeAutospacing="1" w:after="100" w:afterAutospacing="1" w:line="192" w:lineRule="auto"/>
              <w:jc w:val="right"/>
              <w:rPr>
                <w:color w:val="000000"/>
                <w:sz w:val="18"/>
                <w:szCs w:val="18"/>
              </w:rPr>
            </w:pPr>
          </w:p>
        </w:tc>
      </w:tr>
      <w:tr w:rsidR="000C58DC" w14:paraId="339E59D9" w14:textId="77777777" w:rsidTr="00BE2F35">
        <w:trPr>
          <w:trHeight w:val="227"/>
        </w:trPr>
        <w:tc>
          <w:tcPr>
            <w:tcW w:w="3870" w:type="dxa"/>
          </w:tcPr>
          <w:p w14:paraId="6F1ABDCB" w14:textId="77777777" w:rsidR="000C58DC" w:rsidRPr="00BE2F35" w:rsidRDefault="000C58DC" w:rsidP="000C58DC">
            <w:pPr>
              <w:pBdr>
                <w:top w:val="nil"/>
                <w:left w:val="nil"/>
                <w:bottom w:val="nil"/>
                <w:right w:val="nil"/>
                <w:between w:val="nil"/>
              </w:pBdr>
              <w:spacing w:before="100" w:beforeAutospacing="1" w:after="100" w:afterAutospacing="1" w:line="194" w:lineRule="auto"/>
              <w:rPr>
                <w:color w:val="000000"/>
                <w:sz w:val="18"/>
                <w:szCs w:val="18"/>
              </w:rPr>
            </w:pPr>
            <w:r w:rsidRPr="00BE2F35">
              <w:rPr>
                <w:color w:val="000000"/>
                <w:sz w:val="18"/>
                <w:szCs w:val="18"/>
              </w:rPr>
              <w:t>Trustee/Benefit Payments</w:t>
            </w:r>
          </w:p>
        </w:tc>
        <w:tc>
          <w:tcPr>
            <w:tcW w:w="1440" w:type="dxa"/>
          </w:tcPr>
          <w:p w14:paraId="6FF012D9" w14:textId="0F45F9C4" w:rsidR="000C58DC" w:rsidRPr="00BE2F35" w:rsidRDefault="000C58DC" w:rsidP="000C58DC">
            <w:pPr>
              <w:pBdr>
                <w:top w:val="nil"/>
                <w:left w:val="nil"/>
                <w:bottom w:val="nil"/>
                <w:right w:val="nil"/>
                <w:between w:val="nil"/>
              </w:pBdr>
              <w:spacing w:before="100" w:beforeAutospacing="1" w:after="100" w:afterAutospacing="1" w:line="194" w:lineRule="auto"/>
              <w:jc w:val="right"/>
              <w:rPr>
                <w:color w:val="000000"/>
                <w:sz w:val="18"/>
                <w:szCs w:val="18"/>
              </w:rPr>
            </w:pPr>
            <w:r w:rsidRPr="00BE2F35">
              <w:rPr>
                <w:color w:val="000000"/>
                <w:sz w:val="18"/>
                <w:szCs w:val="18"/>
              </w:rPr>
              <w:t>$0</w:t>
            </w:r>
          </w:p>
        </w:tc>
        <w:tc>
          <w:tcPr>
            <w:tcW w:w="1620" w:type="dxa"/>
          </w:tcPr>
          <w:p w14:paraId="681003A5" w14:textId="286D7287" w:rsidR="000C58DC" w:rsidRPr="00BE2F35" w:rsidRDefault="000C58DC" w:rsidP="000C58DC">
            <w:pPr>
              <w:pBdr>
                <w:top w:val="nil"/>
                <w:left w:val="nil"/>
                <w:bottom w:val="nil"/>
                <w:right w:val="nil"/>
                <w:between w:val="nil"/>
              </w:pBdr>
              <w:spacing w:before="100" w:beforeAutospacing="1" w:after="100" w:afterAutospacing="1" w:line="194" w:lineRule="auto"/>
              <w:jc w:val="right"/>
              <w:rPr>
                <w:color w:val="000000"/>
                <w:sz w:val="18"/>
                <w:szCs w:val="18"/>
              </w:rPr>
            </w:pPr>
            <w:r w:rsidRPr="00BE2F35">
              <w:rPr>
                <w:color w:val="000000"/>
                <w:sz w:val="18"/>
                <w:szCs w:val="18"/>
              </w:rPr>
              <w:t>$0</w:t>
            </w:r>
          </w:p>
        </w:tc>
        <w:tc>
          <w:tcPr>
            <w:tcW w:w="1530" w:type="dxa"/>
          </w:tcPr>
          <w:p w14:paraId="4968B1AC" w14:textId="75FBF006" w:rsidR="000C58DC" w:rsidRPr="00BE2F35" w:rsidRDefault="000C58DC" w:rsidP="000C58DC">
            <w:pPr>
              <w:pBdr>
                <w:top w:val="nil"/>
                <w:left w:val="nil"/>
                <w:bottom w:val="nil"/>
                <w:right w:val="nil"/>
                <w:between w:val="nil"/>
              </w:pBdr>
              <w:spacing w:before="100" w:beforeAutospacing="1" w:after="100" w:afterAutospacing="1" w:line="194" w:lineRule="auto"/>
              <w:jc w:val="right"/>
              <w:rPr>
                <w:color w:val="000000"/>
                <w:sz w:val="18"/>
                <w:szCs w:val="18"/>
              </w:rPr>
            </w:pPr>
            <w:r w:rsidRPr="00BE2F35">
              <w:rPr>
                <w:sz w:val="18"/>
                <w:szCs w:val="18"/>
              </w:rPr>
              <w:t>$0</w:t>
            </w:r>
          </w:p>
        </w:tc>
        <w:tc>
          <w:tcPr>
            <w:tcW w:w="1600" w:type="dxa"/>
          </w:tcPr>
          <w:p w14:paraId="5075006E" w14:textId="24E387B0" w:rsidR="000C58DC" w:rsidRPr="00BE2F35" w:rsidRDefault="000C58DC" w:rsidP="000C58DC">
            <w:pPr>
              <w:pBdr>
                <w:top w:val="nil"/>
                <w:left w:val="nil"/>
                <w:bottom w:val="nil"/>
                <w:right w:val="nil"/>
                <w:between w:val="nil"/>
              </w:pBdr>
              <w:spacing w:before="100" w:beforeAutospacing="1" w:after="100" w:afterAutospacing="1" w:line="194" w:lineRule="auto"/>
              <w:jc w:val="right"/>
              <w:rPr>
                <w:color w:val="000000"/>
                <w:sz w:val="18"/>
                <w:szCs w:val="18"/>
              </w:rPr>
            </w:pPr>
          </w:p>
        </w:tc>
      </w:tr>
      <w:tr w:rsidR="000C58DC" w14:paraId="41E1819B" w14:textId="77777777" w:rsidTr="00BE2F35">
        <w:trPr>
          <w:trHeight w:val="207"/>
        </w:trPr>
        <w:tc>
          <w:tcPr>
            <w:tcW w:w="3870" w:type="dxa"/>
          </w:tcPr>
          <w:p w14:paraId="5CE9A429" w14:textId="77777777"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r w:rsidRPr="00BE2F35">
              <w:rPr>
                <w:b/>
                <w:color w:val="000000"/>
                <w:sz w:val="18"/>
                <w:szCs w:val="18"/>
              </w:rPr>
              <w:t>Total</w:t>
            </w:r>
          </w:p>
        </w:tc>
        <w:tc>
          <w:tcPr>
            <w:tcW w:w="1440" w:type="dxa"/>
          </w:tcPr>
          <w:p w14:paraId="0A4B99EE" w14:textId="311DAD01"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r w:rsidRPr="00BE2F35">
              <w:rPr>
                <w:b/>
                <w:color w:val="000000"/>
                <w:sz w:val="18"/>
                <w:szCs w:val="18"/>
              </w:rPr>
              <w:t>$698,000</w:t>
            </w:r>
          </w:p>
        </w:tc>
        <w:tc>
          <w:tcPr>
            <w:tcW w:w="1620" w:type="dxa"/>
          </w:tcPr>
          <w:p w14:paraId="115CFB8E" w14:textId="66B42A01"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r w:rsidRPr="00BE2F35">
              <w:rPr>
                <w:b/>
                <w:color w:val="000000"/>
                <w:sz w:val="18"/>
                <w:szCs w:val="18"/>
              </w:rPr>
              <w:t>$770,300</w:t>
            </w:r>
          </w:p>
        </w:tc>
        <w:tc>
          <w:tcPr>
            <w:tcW w:w="1530" w:type="dxa"/>
          </w:tcPr>
          <w:p w14:paraId="372B43FD" w14:textId="5AF0E34B"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r w:rsidRPr="00BE2F35">
              <w:rPr>
                <w:b/>
                <w:sz w:val="18"/>
                <w:szCs w:val="18"/>
              </w:rPr>
              <w:t>$832,000</w:t>
            </w:r>
          </w:p>
        </w:tc>
        <w:tc>
          <w:tcPr>
            <w:tcW w:w="1600" w:type="dxa"/>
          </w:tcPr>
          <w:p w14:paraId="11DC0CBE" w14:textId="47D92F32" w:rsidR="000C58DC" w:rsidRPr="00BE2F35" w:rsidRDefault="000C58DC" w:rsidP="000C58DC">
            <w:pPr>
              <w:pBdr>
                <w:top w:val="nil"/>
                <w:left w:val="nil"/>
                <w:bottom w:val="nil"/>
                <w:right w:val="nil"/>
                <w:between w:val="nil"/>
              </w:pBdr>
              <w:spacing w:before="100" w:beforeAutospacing="1" w:after="100" w:afterAutospacing="1" w:line="188" w:lineRule="auto"/>
              <w:jc w:val="right"/>
              <w:rPr>
                <w:b/>
                <w:color w:val="000000"/>
                <w:sz w:val="18"/>
                <w:szCs w:val="18"/>
              </w:rPr>
            </w:pPr>
          </w:p>
        </w:tc>
      </w:tr>
    </w:tbl>
    <w:p w14:paraId="37A25984" w14:textId="77777777" w:rsidR="00CD6278" w:rsidRDefault="00CD6278" w:rsidP="00E80EE2">
      <w:pPr>
        <w:jc w:val="both"/>
        <w:rPr>
          <w:b/>
          <w:bCs/>
        </w:rPr>
      </w:pPr>
    </w:p>
    <w:p w14:paraId="0CBC4525" w14:textId="3B6C99FC" w:rsidR="00CD6278" w:rsidRDefault="00CD6278" w:rsidP="00E80EE2">
      <w:pPr>
        <w:jc w:val="both"/>
        <w:rPr>
          <w:b/>
          <w:bCs/>
        </w:rPr>
      </w:pPr>
      <w:proofErr w:type="spellStart"/>
      <w:r w:rsidRPr="00CD6278">
        <w:rPr>
          <w:b/>
          <w:bCs/>
        </w:rPr>
        <w:t>TechHelp</w:t>
      </w:r>
      <w:proofErr w:type="spellEnd"/>
      <w:r w:rsidRPr="00CD6278">
        <w:rPr>
          <w:b/>
          <w:bCs/>
        </w:rPr>
        <w:t xml:space="preserve"> </w:t>
      </w:r>
      <w:r w:rsidRPr="00E80EE2">
        <w:rPr>
          <w:b/>
          <w:bCs/>
        </w:rPr>
        <w:t xml:space="preserve">Revenue and Expenditures </w:t>
      </w:r>
    </w:p>
    <w:p w14:paraId="1C0138F2" w14:textId="5D8C0CEE" w:rsidR="00CD6278" w:rsidRPr="002B4AAE" w:rsidRDefault="00CD6278" w:rsidP="00CD6278">
      <w:pPr>
        <w:jc w:val="both"/>
        <w:rPr>
          <w:b/>
          <w:bCs/>
          <w:spacing w:val="-2"/>
        </w:rPr>
      </w:pPr>
    </w:p>
    <w:tbl>
      <w:tblPr>
        <w:tblW w:w="10081" w:type="dxa"/>
        <w:tblInd w:w="-5" w:type="dxa"/>
        <w:tblLayout w:type="fixed"/>
        <w:tblCellMar>
          <w:left w:w="0" w:type="dxa"/>
          <w:right w:w="0" w:type="dxa"/>
        </w:tblCellMar>
        <w:tblLook w:val="01E0" w:firstRow="1" w:lastRow="1" w:firstColumn="1" w:lastColumn="1" w:noHBand="0" w:noVBand="0"/>
      </w:tblPr>
      <w:tblGrid>
        <w:gridCol w:w="4140"/>
        <w:gridCol w:w="1440"/>
        <w:gridCol w:w="1350"/>
        <w:gridCol w:w="1530"/>
        <w:gridCol w:w="1621"/>
      </w:tblGrid>
      <w:tr w:rsidR="000C58DC" w14:paraId="674B3B68" w14:textId="77777777" w:rsidTr="00BE2F35">
        <w:trPr>
          <w:trHeight w:val="230"/>
        </w:trPr>
        <w:tc>
          <w:tcPr>
            <w:tcW w:w="4140" w:type="dxa"/>
            <w:tcBorders>
              <w:top w:val="single" w:sz="4" w:space="0" w:color="000000"/>
              <w:left w:val="single" w:sz="4" w:space="0" w:color="000000"/>
            </w:tcBorders>
            <w:shd w:val="clear" w:color="auto" w:fill="000080"/>
          </w:tcPr>
          <w:p w14:paraId="75F255E8" w14:textId="77777777" w:rsidR="000C58DC" w:rsidRDefault="000C58DC" w:rsidP="000C58DC">
            <w:pPr>
              <w:pStyle w:val="TableParagraph"/>
              <w:spacing w:line="210" w:lineRule="exact"/>
              <w:ind w:left="107"/>
              <w:rPr>
                <w:b/>
                <w:sz w:val="20"/>
              </w:rPr>
            </w:pPr>
            <w:r>
              <w:rPr>
                <w:b/>
                <w:color w:val="FFFFFF"/>
                <w:spacing w:val="-2"/>
                <w:sz w:val="20"/>
              </w:rPr>
              <w:t>Revenue</w:t>
            </w:r>
          </w:p>
        </w:tc>
        <w:tc>
          <w:tcPr>
            <w:tcW w:w="1440" w:type="dxa"/>
            <w:tcBorders>
              <w:top w:val="single" w:sz="4" w:space="0" w:color="000000"/>
            </w:tcBorders>
            <w:shd w:val="clear" w:color="auto" w:fill="000080"/>
          </w:tcPr>
          <w:p w14:paraId="6CD695BF" w14:textId="76D623A4" w:rsidR="000C58DC" w:rsidRDefault="000C58DC" w:rsidP="000C58DC">
            <w:pPr>
              <w:pStyle w:val="TableParagraph"/>
              <w:spacing w:line="210" w:lineRule="exact"/>
              <w:ind w:right="360"/>
              <w:jc w:val="right"/>
              <w:rPr>
                <w:b/>
                <w:sz w:val="20"/>
              </w:rPr>
            </w:pPr>
            <w:r>
              <w:rPr>
                <w:b/>
                <w:color w:val="FFFFFF"/>
                <w:sz w:val="20"/>
              </w:rPr>
              <w:t>FY 2022</w:t>
            </w:r>
          </w:p>
        </w:tc>
        <w:tc>
          <w:tcPr>
            <w:tcW w:w="1350" w:type="dxa"/>
            <w:tcBorders>
              <w:top w:val="single" w:sz="4" w:space="0" w:color="000000"/>
            </w:tcBorders>
            <w:shd w:val="clear" w:color="auto" w:fill="000080"/>
          </w:tcPr>
          <w:p w14:paraId="7F3BB2F3" w14:textId="0FA9E040" w:rsidR="000C58DC" w:rsidRDefault="000C58DC" w:rsidP="000C58DC">
            <w:pPr>
              <w:pStyle w:val="TableParagraph"/>
              <w:spacing w:line="210" w:lineRule="exact"/>
              <w:ind w:right="144"/>
              <w:jc w:val="right"/>
              <w:rPr>
                <w:b/>
                <w:sz w:val="20"/>
              </w:rPr>
            </w:pPr>
            <w:r>
              <w:rPr>
                <w:b/>
                <w:color w:val="FFFFFF"/>
                <w:sz w:val="20"/>
              </w:rPr>
              <w:t>FY 2023</w:t>
            </w:r>
          </w:p>
        </w:tc>
        <w:tc>
          <w:tcPr>
            <w:tcW w:w="1530" w:type="dxa"/>
            <w:tcBorders>
              <w:top w:val="single" w:sz="4" w:space="0" w:color="000000"/>
            </w:tcBorders>
            <w:shd w:val="clear" w:color="auto" w:fill="000080"/>
          </w:tcPr>
          <w:p w14:paraId="304D0A24" w14:textId="1868CE76" w:rsidR="000C58DC" w:rsidRDefault="000C58DC" w:rsidP="000C58DC">
            <w:pPr>
              <w:pStyle w:val="TableParagraph"/>
              <w:spacing w:line="210" w:lineRule="exact"/>
              <w:ind w:right="144"/>
              <w:jc w:val="right"/>
              <w:rPr>
                <w:b/>
                <w:sz w:val="20"/>
              </w:rPr>
            </w:pPr>
            <w:r>
              <w:rPr>
                <w:b/>
                <w:color w:val="FFFFFF"/>
                <w:sz w:val="20"/>
              </w:rPr>
              <w:t>FY 2024</w:t>
            </w:r>
          </w:p>
        </w:tc>
        <w:tc>
          <w:tcPr>
            <w:tcW w:w="1621" w:type="dxa"/>
            <w:tcBorders>
              <w:top w:val="single" w:sz="4" w:space="0" w:color="000000"/>
              <w:right w:val="single" w:sz="4" w:space="0" w:color="000000"/>
            </w:tcBorders>
            <w:shd w:val="clear" w:color="auto" w:fill="000080"/>
          </w:tcPr>
          <w:p w14:paraId="168AD648" w14:textId="09A1FA89" w:rsidR="000C58DC" w:rsidRDefault="000C58DC" w:rsidP="000C58DC">
            <w:pPr>
              <w:pStyle w:val="TableParagraph"/>
              <w:spacing w:line="210" w:lineRule="exact"/>
              <w:ind w:right="97"/>
              <w:jc w:val="right"/>
              <w:rPr>
                <w:b/>
                <w:sz w:val="20"/>
              </w:rPr>
            </w:pPr>
            <w:r>
              <w:rPr>
                <w:b/>
                <w:color w:val="FFFFFF"/>
                <w:sz w:val="20"/>
              </w:rPr>
              <w:t>FY 2025</w:t>
            </w:r>
          </w:p>
        </w:tc>
      </w:tr>
      <w:tr w:rsidR="000C58DC" w14:paraId="048B3A9B" w14:textId="77777777" w:rsidTr="00BE2F35">
        <w:trPr>
          <w:trHeight w:val="233"/>
        </w:trPr>
        <w:tc>
          <w:tcPr>
            <w:tcW w:w="4140" w:type="dxa"/>
            <w:tcBorders>
              <w:left w:val="single" w:sz="4" w:space="0" w:color="000000"/>
            </w:tcBorders>
          </w:tcPr>
          <w:p w14:paraId="4C32E7E9" w14:textId="77777777" w:rsidR="000C58DC" w:rsidRPr="00BE2F35" w:rsidRDefault="000C58DC" w:rsidP="000C58DC">
            <w:pPr>
              <w:pStyle w:val="TableParagraph"/>
              <w:spacing w:line="213" w:lineRule="exact"/>
              <w:ind w:left="107"/>
              <w:rPr>
                <w:sz w:val="18"/>
                <w:szCs w:val="20"/>
              </w:rPr>
            </w:pPr>
            <w:r w:rsidRPr="00BE2F35">
              <w:rPr>
                <w:sz w:val="18"/>
                <w:szCs w:val="20"/>
              </w:rPr>
              <w:t>General</w:t>
            </w:r>
            <w:r w:rsidRPr="00BE2F35">
              <w:rPr>
                <w:spacing w:val="-12"/>
                <w:sz w:val="18"/>
                <w:szCs w:val="20"/>
              </w:rPr>
              <w:t xml:space="preserve"> </w:t>
            </w:r>
            <w:r w:rsidRPr="00BE2F35">
              <w:rPr>
                <w:spacing w:val="-4"/>
                <w:sz w:val="18"/>
                <w:szCs w:val="20"/>
              </w:rPr>
              <w:t>Fund</w:t>
            </w:r>
          </w:p>
        </w:tc>
        <w:tc>
          <w:tcPr>
            <w:tcW w:w="1440" w:type="dxa"/>
          </w:tcPr>
          <w:p w14:paraId="57F7BB65" w14:textId="34238FBD" w:rsidR="000C58DC" w:rsidRPr="00BE2F35" w:rsidRDefault="000C58DC" w:rsidP="000C58DC">
            <w:pPr>
              <w:pStyle w:val="TableParagraph"/>
              <w:spacing w:line="213" w:lineRule="exact"/>
              <w:ind w:right="387"/>
              <w:jc w:val="right"/>
              <w:rPr>
                <w:sz w:val="18"/>
                <w:szCs w:val="20"/>
              </w:rPr>
            </w:pPr>
            <w:r w:rsidRPr="00BE2F35">
              <w:rPr>
                <w:spacing w:val="-2"/>
                <w:sz w:val="18"/>
                <w:szCs w:val="20"/>
                <w:u w:val="single"/>
              </w:rPr>
              <w:t>$371,501</w:t>
            </w:r>
          </w:p>
        </w:tc>
        <w:tc>
          <w:tcPr>
            <w:tcW w:w="1350" w:type="dxa"/>
          </w:tcPr>
          <w:p w14:paraId="55DD0528" w14:textId="771B432B" w:rsidR="000C58DC" w:rsidRPr="00BE2F35" w:rsidRDefault="000C58DC" w:rsidP="000C58DC">
            <w:pPr>
              <w:pStyle w:val="TableParagraph"/>
              <w:spacing w:line="213" w:lineRule="exact"/>
              <w:ind w:right="95"/>
              <w:jc w:val="right"/>
              <w:rPr>
                <w:sz w:val="18"/>
                <w:szCs w:val="20"/>
              </w:rPr>
            </w:pPr>
            <w:r w:rsidRPr="00BE2F35">
              <w:rPr>
                <w:spacing w:val="-2"/>
                <w:sz w:val="18"/>
                <w:szCs w:val="20"/>
                <w:u w:val="single"/>
              </w:rPr>
              <w:t>$387,900</w:t>
            </w:r>
          </w:p>
        </w:tc>
        <w:tc>
          <w:tcPr>
            <w:tcW w:w="1530" w:type="dxa"/>
          </w:tcPr>
          <w:p w14:paraId="1B1BA5DA" w14:textId="75CFD92C" w:rsidR="000C58DC" w:rsidRPr="00BE2F35" w:rsidRDefault="000C58DC" w:rsidP="000C58DC">
            <w:pPr>
              <w:pStyle w:val="TableParagraph"/>
              <w:spacing w:line="213" w:lineRule="exact"/>
              <w:ind w:right="95"/>
              <w:jc w:val="right"/>
              <w:rPr>
                <w:sz w:val="18"/>
                <w:szCs w:val="20"/>
              </w:rPr>
            </w:pPr>
            <w:r w:rsidRPr="00BE2F35">
              <w:rPr>
                <w:spacing w:val="-2"/>
                <w:sz w:val="18"/>
                <w:szCs w:val="20"/>
                <w:u w:val="single"/>
              </w:rPr>
              <w:t>$420,709</w:t>
            </w:r>
          </w:p>
        </w:tc>
        <w:tc>
          <w:tcPr>
            <w:tcW w:w="1621" w:type="dxa"/>
            <w:tcBorders>
              <w:right w:val="single" w:sz="4" w:space="0" w:color="000000"/>
            </w:tcBorders>
          </w:tcPr>
          <w:p w14:paraId="0EB65944" w14:textId="26151D95" w:rsidR="000C58DC" w:rsidRPr="00BE2F35" w:rsidRDefault="000C58DC" w:rsidP="000C58DC">
            <w:pPr>
              <w:pStyle w:val="TableParagraph"/>
              <w:spacing w:line="213" w:lineRule="exact"/>
              <w:ind w:right="95"/>
              <w:jc w:val="right"/>
              <w:rPr>
                <w:spacing w:val="-2"/>
                <w:sz w:val="18"/>
                <w:szCs w:val="20"/>
                <w:u w:val="single"/>
              </w:rPr>
            </w:pPr>
          </w:p>
        </w:tc>
      </w:tr>
      <w:tr w:rsidR="000C58DC" w14:paraId="2997AA91" w14:textId="77777777" w:rsidTr="00BE2F35">
        <w:trPr>
          <w:trHeight w:val="227"/>
        </w:trPr>
        <w:tc>
          <w:tcPr>
            <w:tcW w:w="4140" w:type="dxa"/>
            <w:tcBorders>
              <w:left w:val="single" w:sz="4" w:space="0" w:color="000000"/>
            </w:tcBorders>
          </w:tcPr>
          <w:p w14:paraId="6C5408EC" w14:textId="77777777" w:rsidR="000C58DC" w:rsidRPr="00BE2F35" w:rsidRDefault="000C58DC" w:rsidP="000C58DC">
            <w:pPr>
              <w:pStyle w:val="TableParagraph"/>
              <w:spacing w:line="207" w:lineRule="exact"/>
              <w:ind w:right="380"/>
              <w:jc w:val="right"/>
              <w:rPr>
                <w:b/>
                <w:sz w:val="18"/>
                <w:szCs w:val="20"/>
              </w:rPr>
            </w:pPr>
            <w:r w:rsidRPr="00BE2F35">
              <w:rPr>
                <w:b/>
                <w:spacing w:val="-2"/>
                <w:sz w:val="18"/>
                <w:szCs w:val="20"/>
              </w:rPr>
              <w:t>Total</w:t>
            </w:r>
          </w:p>
        </w:tc>
        <w:tc>
          <w:tcPr>
            <w:tcW w:w="1440" w:type="dxa"/>
          </w:tcPr>
          <w:p w14:paraId="6EE743E9" w14:textId="331A6858" w:rsidR="000C58DC" w:rsidRPr="00BE2F35" w:rsidRDefault="000C58DC" w:rsidP="000C58DC">
            <w:pPr>
              <w:pStyle w:val="TableParagraph"/>
              <w:spacing w:line="207" w:lineRule="exact"/>
              <w:ind w:right="387"/>
              <w:jc w:val="right"/>
              <w:rPr>
                <w:b/>
                <w:sz w:val="18"/>
                <w:szCs w:val="20"/>
              </w:rPr>
            </w:pPr>
            <w:r w:rsidRPr="00BE2F35">
              <w:rPr>
                <w:b/>
                <w:spacing w:val="-2"/>
                <w:sz w:val="18"/>
                <w:szCs w:val="20"/>
              </w:rPr>
              <w:t>$371,501</w:t>
            </w:r>
          </w:p>
        </w:tc>
        <w:tc>
          <w:tcPr>
            <w:tcW w:w="1350" w:type="dxa"/>
          </w:tcPr>
          <w:p w14:paraId="39253D5A" w14:textId="0344D45F" w:rsidR="000C58DC" w:rsidRPr="00BE2F35" w:rsidRDefault="000C58DC" w:rsidP="000C58DC">
            <w:pPr>
              <w:pStyle w:val="TableParagraph"/>
              <w:spacing w:line="207" w:lineRule="exact"/>
              <w:ind w:right="95"/>
              <w:jc w:val="right"/>
              <w:rPr>
                <w:b/>
                <w:sz w:val="18"/>
                <w:szCs w:val="20"/>
              </w:rPr>
            </w:pPr>
            <w:r w:rsidRPr="00BE2F35">
              <w:rPr>
                <w:b/>
                <w:bCs/>
                <w:spacing w:val="-2"/>
                <w:sz w:val="18"/>
                <w:szCs w:val="20"/>
              </w:rPr>
              <w:t>$387,900</w:t>
            </w:r>
          </w:p>
        </w:tc>
        <w:tc>
          <w:tcPr>
            <w:tcW w:w="1530" w:type="dxa"/>
          </w:tcPr>
          <w:p w14:paraId="64AF7B56" w14:textId="0293909D" w:rsidR="000C58DC" w:rsidRPr="00BE2F35" w:rsidRDefault="000C58DC" w:rsidP="000C58DC">
            <w:pPr>
              <w:pStyle w:val="TableParagraph"/>
              <w:spacing w:line="207" w:lineRule="exact"/>
              <w:ind w:right="95"/>
              <w:jc w:val="right"/>
              <w:rPr>
                <w:b/>
                <w:sz w:val="18"/>
                <w:szCs w:val="20"/>
              </w:rPr>
            </w:pPr>
            <w:r w:rsidRPr="00BE2F35">
              <w:rPr>
                <w:b/>
                <w:bCs/>
                <w:spacing w:val="-2"/>
                <w:sz w:val="18"/>
                <w:szCs w:val="20"/>
              </w:rPr>
              <w:t>$420,709</w:t>
            </w:r>
          </w:p>
        </w:tc>
        <w:tc>
          <w:tcPr>
            <w:tcW w:w="1621" w:type="dxa"/>
            <w:tcBorders>
              <w:right w:val="single" w:sz="4" w:space="0" w:color="000000"/>
            </w:tcBorders>
          </w:tcPr>
          <w:p w14:paraId="3B1B83AF" w14:textId="131C9F5E" w:rsidR="000C58DC" w:rsidRPr="00BE2F35" w:rsidRDefault="000C58DC" w:rsidP="000C58DC">
            <w:pPr>
              <w:pStyle w:val="TableParagraph"/>
              <w:spacing w:line="213" w:lineRule="exact"/>
              <w:ind w:right="95"/>
              <w:jc w:val="right"/>
              <w:rPr>
                <w:b/>
                <w:bCs/>
                <w:spacing w:val="-2"/>
                <w:sz w:val="18"/>
                <w:szCs w:val="20"/>
              </w:rPr>
            </w:pPr>
          </w:p>
        </w:tc>
      </w:tr>
      <w:tr w:rsidR="000C58DC" w14:paraId="6D544CE7" w14:textId="77777777" w:rsidTr="00BE2F35">
        <w:trPr>
          <w:trHeight w:val="230"/>
        </w:trPr>
        <w:tc>
          <w:tcPr>
            <w:tcW w:w="4140" w:type="dxa"/>
            <w:tcBorders>
              <w:left w:val="single" w:sz="4" w:space="0" w:color="000000"/>
            </w:tcBorders>
            <w:shd w:val="clear" w:color="auto" w:fill="000080"/>
          </w:tcPr>
          <w:p w14:paraId="3A7735EC" w14:textId="77777777" w:rsidR="000C58DC" w:rsidRDefault="000C58DC" w:rsidP="000C58DC">
            <w:pPr>
              <w:pStyle w:val="TableParagraph"/>
              <w:spacing w:line="210" w:lineRule="exact"/>
              <w:ind w:left="107"/>
              <w:rPr>
                <w:b/>
                <w:sz w:val="20"/>
              </w:rPr>
            </w:pPr>
            <w:r>
              <w:rPr>
                <w:b/>
                <w:color w:val="FFFFFF"/>
                <w:spacing w:val="-2"/>
                <w:sz w:val="20"/>
              </w:rPr>
              <w:t>Expenditures</w:t>
            </w:r>
          </w:p>
        </w:tc>
        <w:tc>
          <w:tcPr>
            <w:tcW w:w="1440" w:type="dxa"/>
            <w:shd w:val="clear" w:color="auto" w:fill="000080"/>
          </w:tcPr>
          <w:p w14:paraId="0A5C6FE3" w14:textId="3D177E09" w:rsidR="000C58DC" w:rsidRDefault="000C58DC" w:rsidP="000C58DC">
            <w:pPr>
              <w:pStyle w:val="TableParagraph"/>
              <w:spacing w:line="210" w:lineRule="exact"/>
              <w:ind w:right="387"/>
              <w:jc w:val="right"/>
              <w:rPr>
                <w:b/>
                <w:sz w:val="20"/>
              </w:rPr>
            </w:pPr>
            <w:r>
              <w:rPr>
                <w:b/>
                <w:color w:val="FFFFFF"/>
                <w:sz w:val="20"/>
              </w:rPr>
              <w:t>FY 2022</w:t>
            </w:r>
          </w:p>
        </w:tc>
        <w:tc>
          <w:tcPr>
            <w:tcW w:w="1350" w:type="dxa"/>
            <w:shd w:val="clear" w:color="auto" w:fill="000080"/>
          </w:tcPr>
          <w:p w14:paraId="173D0014" w14:textId="59C5558E" w:rsidR="000C58DC" w:rsidRDefault="000C58DC" w:rsidP="000C58DC">
            <w:pPr>
              <w:pStyle w:val="TableParagraph"/>
              <w:spacing w:line="210" w:lineRule="exact"/>
              <w:ind w:right="144"/>
              <w:jc w:val="right"/>
              <w:rPr>
                <w:b/>
                <w:sz w:val="20"/>
              </w:rPr>
            </w:pPr>
            <w:r>
              <w:rPr>
                <w:b/>
                <w:color w:val="FFFFFF"/>
                <w:sz w:val="20"/>
              </w:rPr>
              <w:t>FY 2023</w:t>
            </w:r>
          </w:p>
        </w:tc>
        <w:tc>
          <w:tcPr>
            <w:tcW w:w="1530" w:type="dxa"/>
            <w:shd w:val="clear" w:color="auto" w:fill="000080"/>
          </w:tcPr>
          <w:p w14:paraId="1A38C3FA" w14:textId="1D286C23" w:rsidR="000C58DC" w:rsidRDefault="000C58DC" w:rsidP="000C58DC">
            <w:pPr>
              <w:pStyle w:val="TableParagraph"/>
              <w:spacing w:line="210" w:lineRule="exact"/>
              <w:ind w:right="144"/>
              <w:jc w:val="right"/>
              <w:rPr>
                <w:b/>
                <w:sz w:val="20"/>
              </w:rPr>
            </w:pPr>
            <w:r>
              <w:rPr>
                <w:b/>
                <w:color w:val="FFFFFF"/>
                <w:sz w:val="20"/>
              </w:rPr>
              <w:t>FY 2024</w:t>
            </w:r>
          </w:p>
        </w:tc>
        <w:tc>
          <w:tcPr>
            <w:tcW w:w="1621" w:type="dxa"/>
            <w:tcBorders>
              <w:right w:val="single" w:sz="4" w:space="0" w:color="000000"/>
            </w:tcBorders>
            <w:shd w:val="clear" w:color="auto" w:fill="000080"/>
          </w:tcPr>
          <w:p w14:paraId="0EC316F4" w14:textId="34D90209" w:rsidR="000C58DC" w:rsidRDefault="000C58DC" w:rsidP="000C58DC">
            <w:pPr>
              <w:pStyle w:val="TableParagraph"/>
              <w:spacing w:line="210" w:lineRule="exact"/>
              <w:ind w:right="97"/>
              <w:jc w:val="right"/>
              <w:rPr>
                <w:b/>
                <w:sz w:val="20"/>
              </w:rPr>
            </w:pPr>
            <w:r>
              <w:rPr>
                <w:b/>
                <w:color w:val="FFFFFF"/>
                <w:sz w:val="20"/>
              </w:rPr>
              <w:t>FY 2025</w:t>
            </w:r>
          </w:p>
        </w:tc>
      </w:tr>
      <w:tr w:rsidR="000C58DC" w:rsidRPr="00AB7ADC" w14:paraId="5949A228" w14:textId="77777777" w:rsidTr="00BE2F35">
        <w:trPr>
          <w:trHeight w:val="232"/>
        </w:trPr>
        <w:tc>
          <w:tcPr>
            <w:tcW w:w="4140" w:type="dxa"/>
            <w:tcBorders>
              <w:left w:val="single" w:sz="4" w:space="0" w:color="000000"/>
            </w:tcBorders>
          </w:tcPr>
          <w:p w14:paraId="561737F2" w14:textId="77777777" w:rsidR="000C58DC" w:rsidRPr="00BE2F35" w:rsidRDefault="000C58DC" w:rsidP="000C58DC">
            <w:pPr>
              <w:pStyle w:val="TableParagraph"/>
              <w:spacing w:line="212" w:lineRule="exact"/>
              <w:ind w:left="107"/>
              <w:rPr>
                <w:sz w:val="18"/>
                <w:szCs w:val="20"/>
              </w:rPr>
            </w:pPr>
            <w:r w:rsidRPr="00BE2F35">
              <w:rPr>
                <w:sz w:val="18"/>
                <w:szCs w:val="20"/>
              </w:rPr>
              <w:t>Personnel</w:t>
            </w:r>
            <w:r w:rsidRPr="00BE2F35">
              <w:rPr>
                <w:spacing w:val="-15"/>
                <w:sz w:val="18"/>
                <w:szCs w:val="20"/>
              </w:rPr>
              <w:t xml:space="preserve"> </w:t>
            </w:r>
            <w:r w:rsidRPr="00BE2F35">
              <w:rPr>
                <w:spacing w:val="-2"/>
                <w:sz w:val="18"/>
                <w:szCs w:val="20"/>
              </w:rPr>
              <w:t>Costs</w:t>
            </w:r>
          </w:p>
        </w:tc>
        <w:tc>
          <w:tcPr>
            <w:tcW w:w="1440" w:type="dxa"/>
          </w:tcPr>
          <w:p w14:paraId="53CA2CD5" w14:textId="6B0F35B3" w:rsidR="000C58DC" w:rsidRPr="00BE2F35" w:rsidRDefault="000C58DC" w:rsidP="000C58DC">
            <w:pPr>
              <w:pStyle w:val="TableParagraph"/>
              <w:spacing w:line="212" w:lineRule="exact"/>
              <w:ind w:right="387"/>
              <w:jc w:val="right"/>
              <w:rPr>
                <w:sz w:val="18"/>
                <w:szCs w:val="20"/>
              </w:rPr>
            </w:pPr>
            <w:r w:rsidRPr="00BE2F35">
              <w:rPr>
                <w:spacing w:val="-2"/>
                <w:sz w:val="18"/>
                <w:szCs w:val="20"/>
              </w:rPr>
              <w:t>$292,520</w:t>
            </w:r>
          </w:p>
        </w:tc>
        <w:tc>
          <w:tcPr>
            <w:tcW w:w="1350" w:type="dxa"/>
          </w:tcPr>
          <w:p w14:paraId="0E26D321" w14:textId="30CF485C" w:rsidR="000C58DC" w:rsidRPr="00BE2F35" w:rsidRDefault="000C58DC" w:rsidP="000C58DC">
            <w:pPr>
              <w:pStyle w:val="TableParagraph"/>
              <w:spacing w:line="212" w:lineRule="exact"/>
              <w:ind w:right="97"/>
              <w:jc w:val="right"/>
              <w:rPr>
                <w:sz w:val="18"/>
                <w:szCs w:val="20"/>
              </w:rPr>
            </w:pPr>
            <w:r w:rsidRPr="00BE2F35">
              <w:rPr>
                <w:spacing w:val="-2"/>
                <w:sz w:val="18"/>
                <w:szCs w:val="20"/>
              </w:rPr>
              <w:t>$293,864</w:t>
            </w:r>
          </w:p>
        </w:tc>
        <w:tc>
          <w:tcPr>
            <w:tcW w:w="1530" w:type="dxa"/>
          </w:tcPr>
          <w:p w14:paraId="027E541C" w14:textId="77AA5FDE" w:rsidR="000C58DC" w:rsidRPr="00BE2F35" w:rsidRDefault="000C58DC" w:rsidP="000C58DC">
            <w:pPr>
              <w:pStyle w:val="TableParagraph"/>
              <w:spacing w:line="212" w:lineRule="exact"/>
              <w:ind w:right="97"/>
              <w:jc w:val="right"/>
              <w:rPr>
                <w:sz w:val="18"/>
                <w:szCs w:val="20"/>
              </w:rPr>
            </w:pPr>
            <w:r w:rsidRPr="00BE2F35">
              <w:rPr>
                <w:spacing w:val="-2"/>
                <w:sz w:val="18"/>
                <w:szCs w:val="20"/>
              </w:rPr>
              <w:t>$309,247</w:t>
            </w:r>
          </w:p>
        </w:tc>
        <w:tc>
          <w:tcPr>
            <w:tcW w:w="1621" w:type="dxa"/>
            <w:tcBorders>
              <w:right w:val="single" w:sz="4" w:space="0" w:color="000000"/>
            </w:tcBorders>
          </w:tcPr>
          <w:p w14:paraId="436D75B6" w14:textId="042FDE94" w:rsidR="000C58DC" w:rsidRPr="00BE2F35" w:rsidRDefault="000C58DC" w:rsidP="000C58DC">
            <w:pPr>
              <w:pStyle w:val="TableParagraph"/>
              <w:spacing w:line="212" w:lineRule="exact"/>
              <w:ind w:right="97"/>
              <w:jc w:val="right"/>
              <w:rPr>
                <w:color w:val="FF0000"/>
                <w:spacing w:val="-2"/>
                <w:sz w:val="18"/>
                <w:szCs w:val="20"/>
                <w:u w:val="single"/>
              </w:rPr>
            </w:pPr>
          </w:p>
        </w:tc>
      </w:tr>
      <w:tr w:rsidR="000C58DC" w:rsidRPr="00AB7ADC" w14:paraId="16020EEC" w14:textId="77777777" w:rsidTr="00BE2F35">
        <w:trPr>
          <w:trHeight w:val="229"/>
        </w:trPr>
        <w:tc>
          <w:tcPr>
            <w:tcW w:w="4140" w:type="dxa"/>
            <w:tcBorders>
              <w:left w:val="single" w:sz="4" w:space="0" w:color="000000"/>
            </w:tcBorders>
          </w:tcPr>
          <w:p w14:paraId="78DEBD9B" w14:textId="77777777" w:rsidR="000C58DC" w:rsidRPr="00BE2F35" w:rsidRDefault="000C58DC" w:rsidP="000C58DC">
            <w:pPr>
              <w:pStyle w:val="TableParagraph"/>
              <w:spacing w:line="209" w:lineRule="exact"/>
              <w:ind w:left="107"/>
              <w:rPr>
                <w:sz w:val="18"/>
                <w:szCs w:val="20"/>
              </w:rPr>
            </w:pPr>
            <w:r w:rsidRPr="00BE2F35">
              <w:rPr>
                <w:sz w:val="18"/>
                <w:szCs w:val="20"/>
              </w:rPr>
              <w:t>Operating</w:t>
            </w:r>
            <w:r w:rsidRPr="00BE2F35">
              <w:rPr>
                <w:spacing w:val="-14"/>
                <w:sz w:val="18"/>
                <w:szCs w:val="20"/>
              </w:rPr>
              <w:t xml:space="preserve"> </w:t>
            </w:r>
            <w:r w:rsidRPr="00BE2F35">
              <w:rPr>
                <w:spacing w:val="-2"/>
                <w:sz w:val="18"/>
                <w:szCs w:val="20"/>
              </w:rPr>
              <w:t>Expenditures</w:t>
            </w:r>
          </w:p>
        </w:tc>
        <w:tc>
          <w:tcPr>
            <w:tcW w:w="1440" w:type="dxa"/>
          </w:tcPr>
          <w:p w14:paraId="141CE4CA" w14:textId="74B4421E" w:rsidR="000C58DC" w:rsidRPr="00BE2F35" w:rsidRDefault="000C58DC" w:rsidP="000C58DC">
            <w:pPr>
              <w:pStyle w:val="TableParagraph"/>
              <w:spacing w:line="209" w:lineRule="exact"/>
              <w:ind w:right="387"/>
              <w:jc w:val="right"/>
              <w:rPr>
                <w:sz w:val="18"/>
                <w:szCs w:val="20"/>
              </w:rPr>
            </w:pPr>
            <w:r w:rsidRPr="00BE2F35">
              <w:rPr>
                <w:spacing w:val="-2"/>
                <w:sz w:val="18"/>
                <w:szCs w:val="20"/>
              </w:rPr>
              <w:t>$0</w:t>
            </w:r>
          </w:p>
        </w:tc>
        <w:tc>
          <w:tcPr>
            <w:tcW w:w="1350" w:type="dxa"/>
          </w:tcPr>
          <w:p w14:paraId="3381C810" w14:textId="7C59D9D8" w:rsidR="000C58DC" w:rsidRPr="00BE2F35" w:rsidRDefault="000C58DC" w:rsidP="000C58DC">
            <w:pPr>
              <w:pStyle w:val="TableParagraph"/>
              <w:spacing w:line="209" w:lineRule="exact"/>
              <w:ind w:right="97"/>
              <w:jc w:val="right"/>
              <w:rPr>
                <w:sz w:val="18"/>
                <w:szCs w:val="20"/>
              </w:rPr>
            </w:pPr>
            <w:r w:rsidRPr="00BE2F35">
              <w:rPr>
                <w:spacing w:val="-2"/>
                <w:sz w:val="18"/>
                <w:szCs w:val="20"/>
              </w:rPr>
              <w:t>$0</w:t>
            </w:r>
          </w:p>
        </w:tc>
        <w:tc>
          <w:tcPr>
            <w:tcW w:w="1530" w:type="dxa"/>
          </w:tcPr>
          <w:p w14:paraId="14E4EDE0" w14:textId="1336D7C0" w:rsidR="000C58DC" w:rsidRPr="00BE2F35" w:rsidRDefault="000C58DC" w:rsidP="000C58DC">
            <w:pPr>
              <w:pStyle w:val="TableParagraph"/>
              <w:spacing w:line="209" w:lineRule="exact"/>
              <w:ind w:right="97"/>
              <w:jc w:val="right"/>
              <w:rPr>
                <w:sz w:val="18"/>
                <w:szCs w:val="20"/>
              </w:rPr>
            </w:pPr>
            <w:r w:rsidRPr="00BE2F35">
              <w:rPr>
                <w:spacing w:val="-2"/>
                <w:sz w:val="18"/>
                <w:szCs w:val="20"/>
              </w:rPr>
              <w:t>$0</w:t>
            </w:r>
          </w:p>
        </w:tc>
        <w:tc>
          <w:tcPr>
            <w:tcW w:w="1621" w:type="dxa"/>
            <w:tcBorders>
              <w:right w:val="single" w:sz="4" w:space="0" w:color="000000"/>
            </w:tcBorders>
          </w:tcPr>
          <w:p w14:paraId="2D86589B" w14:textId="3B7A75EF" w:rsidR="000C58DC" w:rsidRPr="00BE2F35" w:rsidRDefault="000C58DC" w:rsidP="000C58DC">
            <w:pPr>
              <w:pStyle w:val="TableParagraph"/>
              <w:spacing w:line="212" w:lineRule="exact"/>
              <w:ind w:right="97"/>
              <w:jc w:val="right"/>
              <w:rPr>
                <w:spacing w:val="-2"/>
                <w:sz w:val="18"/>
                <w:szCs w:val="20"/>
              </w:rPr>
            </w:pPr>
          </w:p>
        </w:tc>
      </w:tr>
      <w:tr w:rsidR="000C58DC" w:rsidRPr="00AB7ADC" w14:paraId="5DA2DDAC" w14:textId="77777777" w:rsidTr="00BE2F35">
        <w:trPr>
          <w:trHeight w:val="230"/>
        </w:trPr>
        <w:tc>
          <w:tcPr>
            <w:tcW w:w="4140" w:type="dxa"/>
            <w:tcBorders>
              <w:left w:val="single" w:sz="4" w:space="0" w:color="000000"/>
            </w:tcBorders>
          </w:tcPr>
          <w:p w14:paraId="68033AB0" w14:textId="77777777" w:rsidR="000C58DC" w:rsidRPr="00BE2F35" w:rsidRDefault="000C58DC" w:rsidP="000C58DC">
            <w:pPr>
              <w:pStyle w:val="TableParagraph"/>
              <w:spacing w:line="210" w:lineRule="exact"/>
              <w:ind w:left="107"/>
              <w:rPr>
                <w:sz w:val="18"/>
                <w:szCs w:val="20"/>
              </w:rPr>
            </w:pPr>
            <w:r w:rsidRPr="00BE2F35">
              <w:rPr>
                <w:sz w:val="18"/>
                <w:szCs w:val="20"/>
              </w:rPr>
              <w:t>Capital</w:t>
            </w:r>
            <w:r w:rsidRPr="00BE2F35">
              <w:rPr>
                <w:spacing w:val="-7"/>
                <w:sz w:val="18"/>
                <w:szCs w:val="20"/>
              </w:rPr>
              <w:t xml:space="preserve"> </w:t>
            </w:r>
            <w:r w:rsidRPr="00BE2F35">
              <w:rPr>
                <w:spacing w:val="-2"/>
                <w:sz w:val="18"/>
                <w:szCs w:val="20"/>
              </w:rPr>
              <w:t>Outlay</w:t>
            </w:r>
          </w:p>
        </w:tc>
        <w:tc>
          <w:tcPr>
            <w:tcW w:w="1440" w:type="dxa"/>
          </w:tcPr>
          <w:p w14:paraId="5EEF72AA" w14:textId="20A93B6C" w:rsidR="000C58DC" w:rsidRPr="00BE2F35" w:rsidRDefault="000C58DC" w:rsidP="000C58DC">
            <w:pPr>
              <w:pStyle w:val="TableParagraph"/>
              <w:spacing w:line="210" w:lineRule="exact"/>
              <w:ind w:right="387"/>
              <w:jc w:val="right"/>
              <w:rPr>
                <w:sz w:val="18"/>
                <w:szCs w:val="20"/>
              </w:rPr>
            </w:pPr>
            <w:r w:rsidRPr="00BE2F35">
              <w:rPr>
                <w:spacing w:val="-5"/>
                <w:sz w:val="18"/>
                <w:szCs w:val="20"/>
              </w:rPr>
              <w:t>$0</w:t>
            </w:r>
          </w:p>
        </w:tc>
        <w:tc>
          <w:tcPr>
            <w:tcW w:w="1350" w:type="dxa"/>
          </w:tcPr>
          <w:p w14:paraId="230EBFD9" w14:textId="58A364A9" w:rsidR="000C58DC" w:rsidRPr="00BE2F35" w:rsidRDefault="000C58DC" w:rsidP="000C58DC">
            <w:pPr>
              <w:pStyle w:val="TableParagraph"/>
              <w:spacing w:line="210" w:lineRule="exact"/>
              <w:ind w:right="97"/>
              <w:jc w:val="right"/>
              <w:rPr>
                <w:sz w:val="18"/>
                <w:szCs w:val="20"/>
              </w:rPr>
            </w:pPr>
            <w:r w:rsidRPr="00BE2F35">
              <w:rPr>
                <w:spacing w:val="-2"/>
                <w:sz w:val="18"/>
                <w:szCs w:val="20"/>
              </w:rPr>
              <w:t>$0</w:t>
            </w:r>
          </w:p>
        </w:tc>
        <w:tc>
          <w:tcPr>
            <w:tcW w:w="1530" w:type="dxa"/>
          </w:tcPr>
          <w:p w14:paraId="07E2A461" w14:textId="7710545B" w:rsidR="000C58DC" w:rsidRPr="00BE2F35" w:rsidRDefault="000C58DC" w:rsidP="000C58DC">
            <w:pPr>
              <w:pStyle w:val="TableParagraph"/>
              <w:spacing w:line="210" w:lineRule="exact"/>
              <w:ind w:right="97"/>
              <w:jc w:val="right"/>
              <w:rPr>
                <w:sz w:val="18"/>
                <w:szCs w:val="20"/>
              </w:rPr>
            </w:pPr>
            <w:r w:rsidRPr="00BE2F35">
              <w:rPr>
                <w:spacing w:val="-2"/>
                <w:sz w:val="18"/>
                <w:szCs w:val="20"/>
              </w:rPr>
              <w:t>$0</w:t>
            </w:r>
          </w:p>
        </w:tc>
        <w:tc>
          <w:tcPr>
            <w:tcW w:w="1621" w:type="dxa"/>
            <w:tcBorders>
              <w:right w:val="single" w:sz="4" w:space="0" w:color="000000"/>
            </w:tcBorders>
          </w:tcPr>
          <w:p w14:paraId="1CC8C7BA" w14:textId="640B2511" w:rsidR="000C58DC" w:rsidRPr="00BE2F35" w:rsidRDefault="000C58DC" w:rsidP="000C58DC">
            <w:pPr>
              <w:pStyle w:val="TableParagraph"/>
              <w:spacing w:line="212" w:lineRule="exact"/>
              <w:ind w:right="97"/>
              <w:jc w:val="right"/>
              <w:rPr>
                <w:spacing w:val="-2"/>
                <w:sz w:val="18"/>
                <w:szCs w:val="20"/>
              </w:rPr>
            </w:pPr>
          </w:p>
        </w:tc>
      </w:tr>
      <w:tr w:rsidR="000C58DC" w:rsidRPr="00AB7ADC" w14:paraId="29FE7663" w14:textId="77777777" w:rsidTr="00BE2F35">
        <w:trPr>
          <w:trHeight w:val="230"/>
        </w:trPr>
        <w:tc>
          <w:tcPr>
            <w:tcW w:w="4140" w:type="dxa"/>
            <w:tcBorders>
              <w:left w:val="single" w:sz="4" w:space="0" w:color="000000"/>
            </w:tcBorders>
          </w:tcPr>
          <w:p w14:paraId="4C1EE4AD" w14:textId="77777777" w:rsidR="000C58DC" w:rsidRPr="00BE2F35" w:rsidRDefault="000C58DC" w:rsidP="000C58DC">
            <w:pPr>
              <w:pStyle w:val="TableParagraph"/>
              <w:spacing w:line="210" w:lineRule="exact"/>
              <w:ind w:left="107"/>
              <w:rPr>
                <w:sz w:val="18"/>
                <w:szCs w:val="20"/>
              </w:rPr>
            </w:pPr>
            <w:r w:rsidRPr="00BE2F35">
              <w:rPr>
                <w:spacing w:val="-2"/>
                <w:sz w:val="18"/>
                <w:szCs w:val="20"/>
              </w:rPr>
              <w:t>Trustee/Benefit</w:t>
            </w:r>
            <w:r w:rsidRPr="00BE2F35">
              <w:rPr>
                <w:spacing w:val="12"/>
                <w:sz w:val="18"/>
                <w:szCs w:val="20"/>
              </w:rPr>
              <w:t xml:space="preserve"> </w:t>
            </w:r>
            <w:r w:rsidRPr="00BE2F35">
              <w:rPr>
                <w:spacing w:val="-2"/>
                <w:sz w:val="18"/>
                <w:szCs w:val="20"/>
              </w:rPr>
              <w:t>Payments</w:t>
            </w:r>
          </w:p>
        </w:tc>
        <w:tc>
          <w:tcPr>
            <w:tcW w:w="1440" w:type="dxa"/>
          </w:tcPr>
          <w:p w14:paraId="5837AED7" w14:textId="1B288568" w:rsidR="000C58DC" w:rsidRPr="00BE2F35" w:rsidRDefault="000C58DC" w:rsidP="000C58DC">
            <w:pPr>
              <w:pStyle w:val="TableParagraph"/>
              <w:spacing w:line="210" w:lineRule="exact"/>
              <w:ind w:right="387"/>
              <w:jc w:val="right"/>
              <w:rPr>
                <w:sz w:val="18"/>
                <w:szCs w:val="20"/>
              </w:rPr>
            </w:pPr>
            <w:r w:rsidRPr="00BE2F35">
              <w:rPr>
                <w:spacing w:val="-2"/>
                <w:sz w:val="18"/>
                <w:szCs w:val="20"/>
                <w:u w:val="single"/>
              </w:rPr>
              <w:t>$78,981</w:t>
            </w:r>
          </w:p>
        </w:tc>
        <w:tc>
          <w:tcPr>
            <w:tcW w:w="1350" w:type="dxa"/>
          </w:tcPr>
          <w:p w14:paraId="6B3B60D2" w14:textId="208AB843" w:rsidR="000C58DC" w:rsidRPr="00BE2F35" w:rsidRDefault="000C58DC" w:rsidP="000C58DC">
            <w:pPr>
              <w:pStyle w:val="TableParagraph"/>
              <w:spacing w:line="210" w:lineRule="exact"/>
              <w:ind w:right="97"/>
              <w:jc w:val="right"/>
              <w:rPr>
                <w:sz w:val="18"/>
                <w:szCs w:val="20"/>
              </w:rPr>
            </w:pPr>
            <w:r w:rsidRPr="00BE2F35">
              <w:rPr>
                <w:spacing w:val="-2"/>
                <w:sz w:val="18"/>
                <w:szCs w:val="20"/>
                <w:u w:val="single"/>
              </w:rPr>
              <w:t>$94,036</w:t>
            </w:r>
          </w:p>
        </w:tc>
        <w:tc>
          <w:tcPr>
            <w:tcW w:w="1530" w:type="dxa"/>
          </w:tcPr>
          <w:p w14:paraId="5FFE35A6" w14:textId="126FF6E4" w:rsidR="000C58DC" w:rsidRPr="00BE2F35" w:rsidRDefault="000C58DC" w:rsidP="000C58DC">
            <w:pPr>
              <w:pStyle w:val="TableParagraph"/>
              <w:spacing w:line="210" w:lineRule="exact"/>
              <w:ind w:right="97"/>
              <w:jc w:val="right"/>
              <w:rPr>
                <w:sz w:val="18"/>
                <w:szCs w:val="20"/>
              </w:rPr>
            </w:pPr>
            <w:r w:rsidRPr="00BE2F35">
              <w:rPr>
                <w:spacing w:val="-2"/>
                <w:sz w:val="18"/>
                <w:szCs w:val="20"/>
                <w:u w:val="single"/>
              </w:rPr>
              <w:t>$111,462</w:t>
            </w:r>
          </w:p>
        </w:tc>
        <w:tc>
          <w:tcPr>
            <w:tcW w:w="1621" w:type="dxa"/>
            <w:tcBorders>
              <w:right w:val="single" w:sz="4" w:space="0" w:color="000000"/>
            </w:tcBorders>
          </w:tcPr>
          <w:p w14:paraId="365D07BC" w14:textId="1A99F5D0" w:rsidR="000C58DC" w:rsidRPr="00BE2F35" w:rsidRDefault="000C58DC" w:rsidP="000C58DC">
            <w:pPr>
              <w:pStyle w:val="TableParagraph"/>
              <w:spacing w:line="210" w:lineRule="exact"/>
              <w:ind w:right="97"/>
              <w:jc w:val="right"/>
              <w:rPr>
                <w:spacing w:val="-2"/>
                <w:sz w:val="18"/>
                <w:szCs w:val="20"/>
              </w:rPr>
            </w:pPr>
          </w:p>
        </w:tc>
      </w:tr>
      <w:tr w:rsidR="000C58DC" w:rsidRPr="00AB7ADC" w14:paraId="3121176A" w14:textId="77777777" w:rsidTr="00BE2F35">
        <w:trPr>
          <w:trHeight w:val="227"/>
        </w:trPr>
        <w:tc>
          <w:tcPr>
            <w:tcW w:w="4140" w:type="dxa"/>
            <w:tcBorders>
              <w:left w:val="single" w:sz="4" w:space="0" w:color="000000"/>
              <w:bottom w:val="single" w:sz="4" w:space="0" w:color="000000"/>
            </w:tcBorders>
          </w:tcPr>
          <w:p w14:paraId="22108B8F" w14:textId="77777777" w:rsidR="000C58DC" w:rsidRPr="00BE2F35" w:rsidRDefault="000C58DC" w:rsidP="000C58DC">
            <w:pPr>
              <w:pStyle w:val="TableParagraph"/>
              <w:spacing w:line="207" w:lineRule="exact"/>
              <w:ind w:right="380"/>
              <w:jc w:val="right"/>
              <w:rPr>
                <w:b/>
                <w:sz w:val="18"/>
                <w:szCs w:val="20"/>
              </w:rPr>
            </w:pPr>
            <w:r w:rsidRPr="00BE2F35">
              <w:rPr>
                <w:b/>
                <w:spacing w:val="-2"/>
                <w:sz w:val="18"/>
                <w:szCs w:val="20"/>
              </w:rPr>
              <w:t>Total</w:t>
            </w:r>
          </w:p>
        </w:tc>
        <w:tc>
          <w:tcPr>
            <w:tcW w:w="1440" w:type="dxa"/>
            <w:tcBorders>
              <w:bottom w:val="single" w:sz="4" w:space="0" w:color="000000"/>
            </w:tcBorders>
          </w:tcPr>
          <w:p w14:paraId="6FC6AD63" w14:textId="200EA62D" w:rsidR="000C58DC" w:rsidRPr="00BE2F35" w:rsidRDefault="000C58DC" w:rsidP="000C58DC">
            <w:pPr>
              <w:pStyle w:val="TableParagraph"/>
              <w:spacing w:line="207" w:lineRule="exact"/>
              <w:ind w:right="387"/>
              <w:jc w:val="right"/>
              <w:rPr>
                <w:b/>
                <w:sz w:val="18"/>
                <w:szCs w:val="20"/>
              </w:rPr>
            </w:pPr>
            <w:r w:rsidRPr="00BE2F35">
              <w:rPr>
                <w:b/>
                <w:spacing w:val="-2"/>
                <w:sz w:val="18"/>
                <w:szCs w:val="20"/>
              </w:rPr>
              <w:t>371,501</w:t>
            </w:r>
          </w:p>
        </w:tc>
        <w:tc>
          <w:tcPr>
            <w:tcW w:w="1350" w:type="dxa"/>
            <w:tcBorders>
              <w:bottom w:val="single" w:sz="4" w:space="0" w:color="000000"/>
            </w:tcBorders>
          </w:tcPr>
          <w:p w14:paraId="33F690E6" w14:textId="2F469751" w:rsidR="000C58DC" w:rsidRPr="00BE2F35" w:rsidRDefault="000C58DC" w:rsidP="000C58DC">
            <w:pPr>
              <w:pStyle w:val="TableParagraph"/>
              <w:spacing w:line="207" w:lineRule="exact"/>
              <w:ind w:right="95"/>
              <w:jc w:val="right"/>
              <w:rPr>
                <w:b/>
                <w:sz w:val="18"/>
                <w:szCs w:val="20"/>
              </w:rPr>
            </w:pPr>
            <w:r w:rsidRPr="00BE2F35">
              <w:rPr>
                <w:b/>
                <w:bCs/>
                <w:spacing w:val="-2"/>
                <w:sz w:val="18"/>
                <w:szCs w:val="20"/>
              </w:rPr>
              <w:t>$387,900</w:t>
            </w:r>
          </w:p>
        </w:tc>
        <w:tc>
          <w:tcPr>
            <w:tcW w:w="1530" w:type="dxa"/>
            <w:tcBorders>
              <w:bottom w:val="single" w:sz="4" w:space="0" w:color="000000"/>
            </w:tcBorders>
          </w:tcPr>
          <w:p w14:paraId="15218A9E" w14:textId="0E7AF08D" w:rsidR="000C58DC" w:rsidRPr="00BE2F35" w:rsidRDefault="000C58DC" w:rsidP="000C58DC">
            <w:pPr>
              <w:pStyle w:val="TableParagraph"/>
              <w:spacing w:line="207" w:lineRule="exact"/>
              <w:ind w:right="95"/>
              <w:jc w:val="right"/>
              <w:rPr>
                <w:b/>
                <w:sz w:val="18"/>
                <w:szCs w:val="20"/>
              </w:rPr>
            </w:pPr>
            <w:r w:rsidRPr="00BE2F35">
              <w:rPr>
                <w:b/>
                <w:bCs/>
                <w:spacing w:val="-2"/>
                <w:sz w:val="18"/>
                <w:szCs w:val="20"/>
              </w:rPr>
              <w:t>$420,709</w:t>
            </w:r>
          </w:p>
        </w:tc>
        <w:tc>
          <w:tcPr>
            <w:tcW w:w="1621" w:type="dxa"/>
            <w:tcBorders>
              <w:bottom w:val="single" w:sz="4" w:space="0" w:color="000000"/>
              <w:right w:val="single" w:sz="4" w:space="0" w:color="000000"/>
            </w:tcBorders>
          </w:tcPr>
          <w:p w14:paraId="42CF98AE" w14:textId="1F77F0F9" w:rsidR="000C58DC" w:rsidRPr="00BE2F35" w:rsidRDefault="000C58DC" w:rsidP="000C58DC">
            <w:pPr>
              <w:pStyle w:val="TableParagraph"/>
              <w:spacing w:line="212" w:lineRule="exact"/>
              <w:ind w:right="97"/>
              <w:jc w:val="right"/>
              <w:rPr>
                <w:b/>
                <w:bCs/>
                <w:spacing w:val="-2"/>
                <w:sz w:val="18"/>
                <w:szCs w:val="20"/>
              </w:rPr>
            </w:pPr>
          </w:p>
        </w:tc>
      </w:tr>
    </w:tbl>
    <w:p w14:paraId="4FEEECDA" w14:textId="77777777" w:rsidR="00CD6278" w:rsidRDefault="00CD6278" w:rsidP="00E80EE2">
      <w:pPr>
        <w:jc w:val="both"/>
        <w:rPr>
          <w:b/>
          <w:bCs/>
        </w:rPr>
      </w:pPr>
    </w:p>
    <w:p w14:paraId="56D3665B" w14:textId="2DB5528B" w:rsidR="009110C6" w:rsidRDefault="009110C6" w:rsidP="00E80EE2">
      <w:pPr>
        <w:jc w:val="both"/>
        <w:rPr>
          <w:b/>
          <w:bCs/>
        </w:rPr>
      </w:pPr>
      <w:r w:rsidRPr="00E80EE2">
        <w:rPr>
          <w:b/>
          <w:bCs/>
        </w:rPr>
        <w:t>Profile of Cases Managed and/or Key Services Provided</w:t>
      </w:r>
    </w:p>
    <w:p w14:paraId="45CEE34D" w14:textId="77777777" w:rsidR="00600899" w:rsidRPr="00E80EE2" w:rsidRDefault="00600899" w:rsidP="00E80EE2">
      <w:pPr>
        <w:jc w:val="both"/>
        <w:rPr>
          <w:b/>
          <w:bCs/>
          <w:u w:val="single"/>
        </w:rPr>
      </w:pPr>
    </w:p>
    <w:tbl>
      <w:tblPr>
        <w:tblpPr w:leftFromText="180" w:rightFromText="180" w:vertAnchor="text" w:tblpY="1"/>
        <w:tblOverlap w:val="never"/>
        <w:tblW w:w="7850" w:type="pct"/>
        <w:tblLayout w:type="fixed"/>
        <w:tblCellMar>
          <w:top w:w="29" w:type="dxa"/>
        </w:tblCellMar>
        <w:tblLook w:val="06A0" w:firstRow="1" w:lastRow="0" w:firstColumn="1" w:lastColumn="0" w:noHBand="1" w:noVBand="1"/>
      </w:tblPr>
      <w:tblGrid>
        <w:gridCol w:w="4585"/>
        <w:gridCol w:w="32"/>
        <w:gridCol w:w="1318"/>
        <w:gridCol w:w="31"/>
        <w:gridCol w:w="1319"/>
        <w:gridCol w:w="1350"/>
        <w:gridCol w:w="29"/>
        <w:gridCol w:w="1406"/>
        <w:gridCol w:w="1435"/>
        <w:gridCol w:w="1435"/>
        <w:gridCol w:w="1435"/>
        <w:gridCol w:w="1435"/>
      </w:tblGrid>
      <w:tr w:rsidR="000C58DC" w:rsidRPr="00E80EE2" w14:paraId="773D67DF" w14:textId="77777777" w:rsidTr="000C58DC">
        <w:trPr>
          <w:gridAfter w:val="4"/>
          <w:wAfter w:w="5740" w:type="dxa"/>
          <w:trHeight w:val="251"/>
          <w:tblHeader/>
        </w:trPr>
        <w:tc>
          <w:tcPr>
            <w:tcW w:w="4617" w:type="dxa"/>
            <w:gridSpan w:val="2"/>
            <w:tcBorders>
              <w:top w:val="single" w:sz="4" w:space="0" w:color="auto"/>
              <w:left w:val="single" w:sz="4" w:space="0" w:color="auto"/>
              <w:bottom w:val="single" w:sz="4" w:space="0" w:color="auto"/>
              <w:right w:val="single" w:sz="4" w:space="0" w:color="auto"/>
            </w:tcBorders>
            <w:shd w:val="clear" w:color="000000" w:fill="000080"/>
            <w:vAlign w:val="center"/>
            <w:hideMark/>
          </w:tcPr>
          <w:p w14:paraId="070A8F8C" w14:textId="77777777" w:rsidR="000C58DC" w:rsidRPr="00E80EE2" w:rsidRDefault="000C58DC" w:rsidP="000C58DC">
            <w:pPr>
              <w:jc w:val="center"/>
              <w:rPr>
                <w:b/>
                <w:bCs/>
                <w:color w:val="FFFFFF"/>
                <w:sz w:val="20"/>
                <w:szCs w:val="20"/>
              </w:rPr>
            </w:pPr>
            <w:r w:rsidRPr="00E80EE2">
              <w:rPr>
                <w:b/>
                <w:bCs/>
                <w:color w:val="FFFFFF"/>
                <w:sz w:val="20"/>
                <w:szCs w:val="20"/>
              </w:rPr>
              <w:t>Cases Managed and/or Key Services Provided</w:t>
            </w:r>
          </w:p>
        </w:tc>
        <w:tc>
          <w:tcPr>
            <w:tcW w:w="1349" w:type="dxa"/>
            <w:gridSpan w:val="2"/>
            <w:tcBorders>
              <w:top w:val="single" w:sz="4" w:space="0" w:color="auto"/>
              <w:left w:val="single" w:sz="4" w:space="0" w:color="auto"/>
              <w:bottom w:val="single" w:sz="4" w:space="0" w:color="auto"/>
              <w:right w:val="single" w:sz="4" w:space="0" w:color="auto"/>
            </w:tcBorders>
            <w:shd w:val="clear" w:color="000000" w:fill="000080"/>
            <w:vAlign w:val="center"/>
          </w:tcPr>
          <w:p w14:paraId="3B31A335" w14:textId="391A2728" w:rsidR="000C58DC" w:rsidRPr="00E80EE2" w:rsidRDefault="000C58DC" w:rsidP="000C58DC">
            <w:pPr>
              <w:jc w:val="center"/>
              <w:rPr>
                <w:b/>
                <w:bCs/>
                <w:color w:val="FFFFFF"/>
                <w:sz w:val="20"/>
                <w:szCs w:val="20"/>
              </w:rPr>
            </w:pPr>
            <w:r>
              <w:rPr>
                <w:b/>
                <w:bCs/>
                <w:color w:val="FFFFFF"/>
                <w:sz w:val="20"/>
                <w:szCs w:val="20"/>
              </w:rPr>
              <w:t>FY 2022</w:t>
            </w:r>
          </w:p>
        </w:tc>
        <w:tc>
          <w:tcPr>
            <w:tcW w:w="1319" w:type="dxa"/>
            <w:tcBorders>
              <w:top w:val="single" w:sz="4" w:space="0" w:color="auto"/>
              <w:left w:val="single" w:sz="4" w:space="0" w:color="auto"/>
              <w:bottom w:val="single" w:sz="4" w:space="0" w:color="auto"/>
              <w:right w:val="single" w:sz="4" w:space="0" w:color="auto"/>
            </w:tcBorders>
            <w:shd w:val="clear" w:color="000000" w:fill="000080"/>
            <w:vAlign w:val="center"/>
          </w:tcPr>
          <w:p w14:paraId="7A4F0EAD" w14:textId="79E14A7C" w:rsidR="000C58DC" w:rsidRPr="00E80EE2" w:rsidRDefault="000C58DC" w:rsidP="000C58DC">
            <w:pPr>
              <w:jc w:val="center"/>
              <w:rPr>
                <w:b/>
                <w:bCs/>
                <w:color w:val="FFFFFF"/>
                <w:sz w:val="20"/>
                <w:szCs w:val="20"/>
              </w:rPr>
            </w:pPr>
            <w:r>
              <w:rPr>
                <w:b/>
                <w:bCs/>
                <w:color w:val="FFFFFF"/>
                <w:sz w:val="20"/>
                <w:szCs w:val="20"/>
              </w:rPr>
              <w:t>FY 2023</w:t>
            </w:r>
          </w:p>
        </w:tc>
        <w:tc>
          <w:tcPr>
            <w:tcW w:w="1379" w:type="dxa"/>
            <w:gridSpan w:val="2"/>
            <w:tcBorders>
              <w:top w:val="single" w:sz="4" w:space="0" w:color="auto"/>
              <w:left w:val="single" w:sz="4" w:space="0" w:color="auto"/>
              <w:bottom w:val="single" w:sz="4" w:space="0" w:color="auto"/>
              <w:right w:val="single" w:sz="4" w:space="0" w:color="auto"/>
            </w:tcBorders>
            <w:shd w:val="clear" w:color="000000" w:fill="000080"/>
            <w:vAlign w:val="center"/>
          </w:tcPr>
          <w:p w14:paraId="45F30EAA" w14:textId="5DB4AC24" w:rsidR="000C58DC" w:rsidRPr="00E80EE2" w:rsidRDefault="000C58DC" w:rsidP="000C58DC">
            <w:pPr>
              <w:jc w:val="center"/>
              <w:rPr>
                <w:b/>
                <w:bCs/>
                <w:color w:val="FFFFFF"/>
                <w:sz w:val="20"/>
                <w:szCs w:val="20"/>
              </w:rPr>
            </w:pPr>
            <w:r>
              <w:rPr>
                <w:b/>
                <w:bCs/>
                <w:color w:val="FFFFFF"/>
                <w:sz w:val="20"/>
                <w:szCs w:val="20"/>
              </w:rPr>
              <w:t>FY 2024</w:t>
            </w:r>
          </w:p>
        </w:tc>
        <w:tc>
          <w:tcPr>
            <w:tcW w:w="1406" w:type="dxa"/>
            <w:tcBorders>
              <w:top w:val="single" w:sz="4" w:space="0" w:color="auto"/>
              <w:left w:val="single" w:sz="4" w:space="0" w:color="auto"/>
              <w:bottom w:val="single" w:sz="4" w:space="0" w:color="auto"/>
              <w:right w:val="single" w:sz="4" w:space="0" w:color="auto"/>
            </w:tcBorders>
            <w:shd w:val="clear" w:color="000000" w:fill="000080"/>
            <w:vAlign w:val="center"/>
          </w:tcPr>
          <w:p w14:paraId="18866780" w14:textId="3BBCDB36" w:rsidR="000C58DC" w:rsidRPr="00E80EE2" w:rsidRDefault="000C58DC" w:rsidP="000C58DC">
            <w:pPr>
              <w:jc w:val="center"/>
              <w:rPr>
                <w:b/>
                <w:bCs/>
                <w:color w:val="FFFFFF"/>
                <w:sz w:val="20"/>
                <w:szCs w:val="20"/>
              </w:rPr>
            </w:pPr>
            <w:r>
              <w:rPr>
                <w:b/>
                <w:bCs/>
                <w:color w:val="FFFFFF"/>
                <w:sz w:val="20"/>
                <w:szCs w:val="20"/>
              </w:rPr>
              <w:t>FY 2025</w:t>
            </w:r>
          </w:p>
        </w:tc>
      </w:tr>
      <w:tr w:rsidR="000C58DC" w:rsidRPr="00E80EE2" w14:paraId="75F6FB7A" w14:textId="77777777" w:rsidTr="000C58DC">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3F411" w14:textId="29C696BB" w:rsidR="000C58DC" w:rsidRPr="00674F0C" w:rsidRDefault="000C58DC" w:rsidP="000C58DC">
            <w:pPr>
              <w:pStyle w:val="ListParagraph"/>
              <w:numPr>
                <w:ilvl w:val="0"/>
                <w:numId w:val="26"/>
              </w:numPr>
              <w:ind w:left="375"/>
              <w:rPr>
                <w:color w:val="000000"/>
                <w:sz w:val="20"/>
                <w:szCs w:val="20"/>
              </w:rPr>
            </w:pPr>
            <w:r w:rsidRPr="00674F0C">
              <w:rPr>
                <w:color w:val="000000"/>
                <w:sz w:val="20"/>
                <w:szCs w:val="20"/>
              </w:rPr>
              <w:t xml:space="preserve">Enrollments: </w:t>
            </w:r>
          </w:p>
        </w:tc>
      </w:tr>
      <w:tr w:rsidR="000C58DC" w:rsidRPr="00E80EE2" w14:paraId="42964BAA" w14:textId="77777777" w:rsidTr="000C58DC">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DAB6" w14:textId="65649DD8" w:rsidR="000C58DC" w:rsidRPr="00674F0C" w:rsidRDefault="000C58DC" w:rsidP="000C58DC">
            <w:pPr>
              <w:ind w:left="375"/>
              <w:rPr>
                <w:color w:val="000000"/>
                <w:sz w:val="20"/>
                <w:szCs w:val="20"/>
              </w:rPr>
            </w:pPr>
            <w:r w:rsidRPr="00674F0C">
              <w:rPr>
                <w:color w:val="000000"/>
                <w:sz w:val="20"/>
                <w:szCs w:val="20"/>
              </w:rPr>
              <w:t>Fall Enrollment</w:t>
            </w:r>
            <w:r>
              <w:rPr>
                <w:color w:val="000000"/>
                <w:sz w:val="20"/>
                <w:szCs w:val="20"/>
              </w:rPr>
              <w:t xml:space="preserve">, </w:t>
            </w:r>
            <w:r w:rsidRPr="00674F0C">
              <w:rPr>
                <w:color w:val="000000"/>
                <w:sz w:val="20"/>
                <w:szCs w:val="20"/>
              </w:rPr>
              <w:t>Fall Census Day (Oct. 15) includes degree seeking and non-degree seeking students</w:t>
            </w:r>
          </w:p>
        </w:tc>
      </w:tr>
      <w:tr w:rsidR="000C58DC" w:rsidRPr="00E80EE2" w14:paraId="49F083B4"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0D086C" w14:textId="1B3F46FD" w:rsidR="000C58DC" w:rsidRPr="00674F0C" w:rsidRDefault="000C58DC" w:rsidP="000C58DC">
            <w:pPr>
              <w:ind w:left="375"/>
              <w:rPr>
                <w:color w:val="000000"/>
                <w:sz w:val="20"/>
                <w:szCs w:val="20"/>
              </w:rPr>
            </w:pPr>
            <w:r>
              <w:rPr>
                <w:color w:val="000000"/>
                <w:sz w:val="20"/>
                <w:szCs w:val="20"/>
              </w:rPr>
              <w:tab/>
            </w:r>
            <w:r w:rsidRPr="00674F0C">
              <w:rPr>
                <w:color w:val="000000"/>
                <w:sz w:val="20"/>
                <w:szCs w:val="20"/>
              </w:rPr>
              <w:t>Total</w:t>
            </w:r>
          </w:p>
        </w:tc>
        <w:tc>
          <w:tcPr>
            <w:tcW w:w="1349" w:type="dxa"/>
            <w:gridSpan w:val="2"/>
            <w:tcBorders>
              <w:top w:val="single" w:sz="4" w:space="0" w:color="auto"/>
              <w:left w:val="single" w:sz="4" w:space="0" w:color="auto"/>
              <w:bottom w:val="single" w:sz="4" w:space="0" w:color="auto"/>
              <w:right w:val="single" w:sz="4" w:space="0" w:color="auto"/>
            </w:tcBorders>
            <w:noWrap/>
          </w:tcPr>
          <w:p w14:paraId="0708EC5B" w14:textId="5F41B882" w:rsidR="000C58DC" w:rsidRPr="00674F0C" w:rsidRDefault="000C58DC" w:rsidP="000C58DC">
            <w:pPr>
              <w:jc w:val="center"/>
              <w:rPr>
                <w:color w:val="000000"/>
                <w:sz w:val="20"/>
                <w:szCs w:val="20"/>
              </w:rPr>
            </w:pPr>
            <w:r>
              <w:rPr>
                <w:color w:val="000000"/>
                <w:sz w:val="20"/>
                <w:szCs w:val="20"/>
              </w:rPr>
              <w:t>25,829</w:t>
            </w:r>
          </w:p>
        </w:tc>
        <w:tc>
          <w:tcPr>
            <w:tcW w:w="1319" w:type="dxa"/>
            <w:tcBorders>
              <w:top w:val="single" w:sz="4" w:space="0" w:color="auto"/>
              <w:left w:val="single" w:sz="4" w:space="0" w:color="auto"/>
              <w:bottom w:val="single" w:sz="4" w:space="0" w:color="auto"/>
              <w:right w:val="single" w:sz="4" w:space="0" w:color="auto"/>
            </w:tcBorders>
          </w:tcPr>
          <w:p w14:paraId="7C601FB8" w14:textId="5E950087" w:rsidR="000C58DC" w:rsidRPr="00674F0C" w:rsidRDefault="000C58DC" w:rsidP="000C58DC">
            <w:pPr>
              <w:jc w:val="center"/>
              <w:rPr>
                <w:color w:val="000000"/>
                <w:sz w:val="20"/>
                <w:szCs w:val="20"/>
              </w:rPr>
            </w:pPr>
            <w:r>
              <w:rPr>
                <w:color w:val="000000"/>
                <w:sz w:val="20"/>
                <w:szCs w:val="20"/>
              </w:rPr>
              <w:t>26,162</w:t>
            </w:r>
          </w:p>
        </w:tc>
        <w:tc>
          <w:tcPr>
            <w:tcW w:w="1379" w:type="dxa"/>
            <w:gridSpan w:val="2"/>
            <w:tcBorders>
              <w:top w:val="single" w:sz="4" w:space="0" w:color="auto"/>
              <w:left w:val="single" w:sz="4" w:space="0" w:color="auto"/>
              <w:bottom w:val="single" w:sz="4" w:space="0" w:color="auto"/>
              <w:right w:val="single" w:sz="4" w:space="0" w:color="auto"/>
            </w:tcBorders>
          </w:tcPr>
          <w:p w14:paraId="0EADCCAF" w14:textId="282FB9D6" w:rsidR="000C58DC" w:rsidRPr="00674F0C" w:rsidRDefault="000C58DC" w:rsidP="000C58DC">
            <w:pPr>
              <w:jc w:val="center"/>
              <w:rPr>
                <w:color w:val="000000"/>
                <w:sz w:val="20"/>
                <w:szCs w:val="20"/>
              </w:rPr>
            </w:pPr>
            <w:r>
              <w:rPr>
                <w:color w:val="000000"/>
                <w:sz w:val="20"/>
                <w:szCs w:val="20"/>
              </w:rPr>
              <w:t>26,727</w:t>
            </w:r>
          </w:p>
        </w:tc>
        <w:tc>
          <w:tcPr>
            <w:tcW w:w="1406" w:type="dxa"/>
            <w:tcBorders>
              <w:top w:val="single" w:sz="4" w:space="0" w:color="auto"/>
              <w:left w:val="single" w:sz="4" w:space="0" w:color="auto"/>
              <w:bottom w:val="single" w:sz="4" w:space="0" w:color="auto"/>
              <w:right w:val="single" w:sz="4" w:space="0" w:color="auto"/>
            </w:tcBorders>
          </w:tcPr>
          <w:p w14:paraId="3C920C59" w14:textId="0489BF02" w:rsidR="000C58DC" w:rsidRPr="00F62C9B" w:rsidRDefault="000C58DC" w:rsidP="000C58DC">
            <w:pPr>
              <w:jc w:val="center"/>
              <w:rPr>
                <w:color w:val="000000"/>
                <w:sz w:val="20"/>
                <w:szCs w:val="20"/>
              </w:rPr>
            </w:pPr>
          </w:p>
        </w:tc>
      </w:tr>
      <w:tr w:rsidR="000C58DC" w:rsidRPr="00E80EE2" w14:paraId="2601ECB5"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E59C7" w14:textId="65932A08" w:rsidR="000C58DC" w:rsidRPr="00674F0C" w:rsidRDefault="000C58DC" w:rsidP="000C58DC">
            <w:pPr>
              <w:ind w:left="375"/>
              <w:rPr>
                <w:color w:val="000000"/>
                <w:sz w:val="20"/>
                <w:szCs w:val="20"/>
              </w:rPr>
            </w:pPr>
            <w:r>
              <w:rPr>
                <w:color w:val="000000"/>
                <w:sz w:val="20"/>
                <w:szCs w:val="20"/>
              </w:rPr>
              <w:tab/>
            </w:r>
            <w:r w:rsidRPr="00674F0C">
              <w:rPr>
                <w:color w:val="000000"/>
                <w:sz w:val="20"/>
                <w:szCs w:val="20"/>
              </w:rPr>
              <w:t>Undergraduate</w:t>
            </w:r>
          </w:p>
        </w:tc>
        <w:tc>
          <w:tcPr>
            <w:tcW w:w="1349" w:type="dxa"/>
            <w:gridSpan w:val="2"/>
            <w:tcBorders>
              <w:top w:val="single" w:sz="4" w:space="0" w:color="auto"/>
              <w:left w:val="single" w:sz="4" w:space="0" w:color="auto"/>
              <w:bottom w:val="single" w:sz="4" w:space="0" w:color="auto"/>
              <w:right w:val="single" w:sz="4" w:space="0" w:color="auto"/>
            </w:tcBorders>
            <w:noWrap/>
          </w:tcPr>
          <w:p w14:paraId="58F6F18C" w14:textId="749A8EDA" w:rsidR="000C58DC" w:rsidRPr="00674F0C" w:rsidRDefault="000C58DC" w:rsidP="000C58DC">
            <w:pPr>
              <w:jc w:val="center"/>
              <w:rPr>
                <w:color w:val="000000"/>
                <w:sz w:val="20"/>
                <w:szCs w:val="20"/>
              </w:rPr>
            </w:pPr>
            <w:r>
              <w:rPr>
                <w:color w:val="000000"/>
                <w:sz w:val="20"/>
                <w:szCs w:val="20"/>
              </w:rPr>
              <w:t>22,432</w:t>
            </w:r>
          </w:p>
        </w:tc>
        <w:tc>
          <w:tcPr>
            <w:tcW w:w="1319" w:type="dxa"/>
            <w:tcBorders>
              <w:top w:val="single" w:sz="4" w:space="0" w:color="auto"/>
              <w:left w:val="single" w:sz="4" w:space="0" w:color="auto"/>
              <w:bottom w:val="single" w:sz="4" w:space="0" w:color="auto"/>
              <w:right w:val="single" w:sz="4" w:space="0" w:color="auto"/>
            </w:tcBorders>
          </w:tcPr>
          <w:p w14:paraId="149D61ED" w14:textId="59705864" w:rsidR="000C58DC" w:rsidRPr="00674F0C" w:rsidRDefault="000C58DC" w:rsidP="000C58DC">
            <w:pPr>
              <w:jc w:val="center"/>
              <w:rPr>
                <w:color w:val="000000"/>
                <w:sz w:val="20"/>
                <w:szCs w:val="20"/>
              </w:rPr>
            </w:pPr>
            <w:r>
              <w:rPr>
                <w:color w:val="000000"/>
                <w:sz w:val="20"/>
                <w:szCs w:val="20"/>
              </w:rPr>
              <w:t>22,962</w:t>
            </w:r>
          </w:p>
        </w:tc>
        <w:tc>
          <w:tcPr>
            <w:tcW w:w="1379" w:type="dxa"/>
            <w:gridSpan w:val="2"/>
            <w:tcBorders>
              <w:top w:val="single" w:sz="4" w:space="0" w:color="auto"/>
              <w:left w:val="single" w:sz="4" w:space="0" w:color="auto"/>
              <w:bottom w:val="single" w:sz="4" w:space="0" w:color="auto"/>
              <w:right w:val="single" w:sz="4" w:space="0" w:color="auto"/>
            </w:tcBorders>
          </w:tcPr>
          <w:p w14:paraId="74C2814F" w14:textId="6982A962" w:rsidR="000C58DC" w:rsidRPr="00674F0C" w:rsidRDefault="000C58DC" w:rsidP="000C58DC">
            <w:pPr>
              <w:jc w:val="center"/>
              <w:rPr>
                <w:color w:val="000000"/>
                <w:sz w:val="20"/>
                <w:szCs w:val="20"/>
              </w:rPr>
            </w:pPr>
            <w:r>
              <w:rPr>
                <w:color w:val="000000"/>
                <w:sz w:val="20"/>
                <w:szCs w:val="20"/>
              </w:rPr>
              <w:t>23,543</w:t>
            </w:r>
          </w:p>
        </w:tc>
        <w:tc>
          <w:tcPr>
            <w:tcW w:w="1406" w:type="dxa"/>
            <w:tcBorders>
              <w:top w:val="single" w:sz="4" w:space="0" w:color="auto"/>
              <w:left w:val="single" w:sz="4" w:space="0" w:color="auto"/>
              <w:bottom w:val="single" w:sz="4" w:space="0" w:color="auto"/>
              <w:right w:val="single" w:sz="4" w:space="0" w:color="auto"/>
            </w:tcBorders>
          </w:tcPr>
          <w:p w14:paraId="64E7A716" w14:textId="337174E3" w:rsidR="000C58DC" w:rsidRPr="00F62C9B" w:rsidRDefault="000C58DC" w:rsidP="000C58DC">
            <w:pPr>
              <w:jc w:val="center"/>
              <w:rPr>
                <w:color w:val="000000"/>
                <w:sz w:val="20"/>
                <w:szCs w:val="20"/>
              </w:rPr>
            </w:pPr>
          </w:p>
        </w:tc>
      </w:tr>
      <w:tr w:rsidR="000C58DC" w:rsidRPr="00E80EE2" w14:paraId="21CF6847"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A470" w14:textId="59C051BE" w:rsidR="000C58DC" w:rsidRPr="00674F0C" w:rsidRDefault="000C58DC" w:rsidP="000C58DC">
            <w:pPr>
              <w:ind w:left="375"/>
              <w:rPr>
                <w:color w:val="000000"/>
                <w:sz w:val="20"/>
                <w:szCs w:val="20"/>
              </w:rPr>
            </w:pPr>
            <w:r>
              <w:rPr>
                <w:color w:val="000000"/>
                <w:sz w:val="20"/>
                <w:szCs w:val="20"/>
              </w:rPr>
              <w:tab/>
            </w:r>
            <w:r w:rsidRPr="00674F0C">
              <w:rPr>
                <w:color w:val="000000"/>
                <w:sz w:val="20"/>
                <w:szCs w:val="20"/>
              </w:rPr>
              <w:t>Graduate</w:t>
            </w:r>
          </w:p>
        </w:tc>
        <w:tc>
          <w:tcPr>
            <w:tcW w:w="1349" w:type="dxa"/>
            <w:gridSpan w:val="2"/>
            <w:tcBorders>
              <w:top w:val="single" w:sz="4" w:space="0" w:color="auto"/>
              <w:left w:val="single" w:sz="4" w:space="0" w:color="auto"/>
              <w:bottom w:val="single" w:sz="4" w:space="0" w:color="auto"/>
              <w:right w:val="single" w:sz="4" w:space="0" w:color="auto"/>
            </w:tcBorders>
            <w:noWrap/>
          </w:tcPr>
          <w:p w14:paraId="65D04330" w14:textId="74456361" w:rsidR="000C58DC" w:rsidRPr="00674F0C" w:rsidRDefault="000C58DC" w:rsidP="000C58DC">
            <w:pPr>
              <w:jc w:val="center"/>
              <w:rPr>
                <w:color w:val="000000"/>
                <w:sz w:val="20"/>
                <w:szCs w:val="20"/>
              </w:rPr>
            </w:pPr>
            <w:r>
              <w:rPr>
                <w:color w:val="000000"/>
                <w:sz w:val="20"/>
                <w:szCs w:val="20"/>
              </w:rPr>
              <w:t>3,397</w:t>
            </w:r>
          </w:p>
        </w:tc>
        <w:tc>
          <w:tcPr>
            <w:tcW w:w="1319" w:type="dxa"/>
            <w:tcBorders>
              <w:top w:val="single" w:sz="4" w:space="0" w:color="auto"/>
              <w:left w:val="single" w:sz="4" w:space="0" w:color="auto"/>
              <w:bottom w:val="single" w:sz="4" w:space="0" w:color="auto"/>
              <w:right w:val="single" w:sz="4" w:space="0" w:color="auto"/>
            </w:tcBorders>
          </w:tcPr>
          <w:p w14:paraId="01AE74DD" w14:textId="683D8C74" w:rsidR="000C58DC" w:rsidRPr="00674F0C" w:rsidRDefault="000C58DC" w:rsidP="000C58DC">
            <w:pPr>
              <w:jc w:val="center"/>
              <w:rPr>
                <w:color w:val="000000"/>
                <w:sz w:val="20"/>
                <w:szCs w:val="20"/>
              </w:rPr>
            </w:pPr>
            <w:r>
              <w:rPr>
                <w:color w:val="000000"/>
                <w:sz w:val="20"/>
                <w:szCs w:val="20"/>
              </w:rPr>
              <w:t>3,200</w:t>
            </w:r>
          </w:p>
        </w:tc>
        <w:tc>
          <w:tcPr>
            <w:tcW w:w="1379" w:type="dxa"/>
            <w:gridSpan w:val="2"/>
            <w:tcBorders>
              <w:top w:val="single" w:sz="4" w:space="0" w:color="auto"/>
              <w:left w:val="single" w:sz="4" w:space="0" w:color="auto"/>
              <w:bottom w:val="single" w:sz="4" w:space="0" w:color="auto"/>
              <w:right w:val="single" w:sz="4" w:space="0" w:color="auto"/>
            </w:tcBorders>
          </w:tcPr>
          <w:p w14:paraId="1CC5EF65" w14:textId="31CC4542" w:rsidR="000C58DC" w:rsidRPr="00674F0C" w:rsidRDefault="000C58DC" w:rsidP="000C58DC">
            <w:pPr>
              <w:jc w:val="center"/>
              <w:rPr>
                <w:color w:val="000000"/>
                <w:sz w:val="20"/>
                <w:szCs w:val="20"/>
              </w:rPr>
            </w:pPr>
            <w:r>
              <w:rPr>
                <w:color w:val="000000"/>
                <w:sz w:val="20"/>
                <w:szCs w:val="20"/>
              </w:rPr>
              <w:t>3,184</w:t>
            </w:r>
          </w:p>
        </w:tc>
        <w:tc>
          <w:tcPr>
            <w:tcW w:w="1406" w:type="dxa"/>
            <w:tcBorders>
              <w:top w:val="single" w:sz="4" w:space="0" w:color="auto"/>
              <w:left w:val="single" w:sz="4" w:space="0" w:color="auto"/>
              <w:bottom w:val="single" w:sz="4" w:space="0" w:color="auto"/>
              <w:right w:val="single" w:sz="4" w:space="0" w:color="auto"/>
            </w:tcBorders>
          </w:tcPr>
          <w:p w14:paraId="707DB681" w14:textId="229DF50B" w:rsidR="000C58DC" w:rsidRPr="00F62C9B" w:rsidRDefault="000C58DC" w:rsidP="000C58DC">
            <w:pPr>
              <w:jc w:val="center"/>
              <w:rPr>
                <w:color w:val="000000"/>
                <w:sz w:val="20"/>
                <w:szCs w:val="20"/>
              </w:rPr>
            </w:pPr>
          </w:p>
        </w:tc>
      </w:tr>
      <w:tr w:rsidR="000C58DC" w:rsidRPr="00E80EE2" w14:paraId="283D37E7" w14:textId="77777777" w:rsidTr="000C58DC">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241A5" w14:textId="58BA9CA5" w:rsidR="000C58DC" w:rsidRPr="00F62C9B" w:rsidRDefault="000C58DC" w:rsidP="000C58DC">
            <w:pPr>
              <w:ind w:left="375"/>
              <w:rPr>
                <w:color w:val="000000"/>
                <w:sz w:val="20"/>
                <w:szCs w:val="20"/>
              </w:rPr>
            </w:pPr>
            <w:r w:rsidRPr="00F62C9B">
              <w:rPr>
                <w:sz w:val="20"/>
                <w:szCs w:val="20"/>
              </w:rPr>
              <w:t>Degree Seeking Student Enrollment</w:t>
            </w:r>
            <w:r>
              <w:rPr>
                <w:sz w:val="20"/>
                <w:szCs w:val="20"/>
              </w:rPr>
              <w:t>,</w:t>
            </w:r>
            <w:r w:rsidRPr="00F62C9B">
              <w:rPr>
                <w:sz w:val="20"/>
                <w:szCs w:val="20"/>
              </w:rPr>
              <w:t xml:space="preserve"> Fall Census Day (Oct. 15)</w:t>
            </w:r>
          </w:p>
        </w:tc>
      </w:tr>
      <w:tr w:rsidR="000C58DC" w:rsidRPr="00E80EE2" w14:paraId="4FD41182"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CD84" w14:textId="420CC1E3" w:rsidR="000C58DC" w:rsidRPr="00674F0C" w:rsidRDefault="000C58DC" w:rsidP="000C58DC">
            <w:pPr>
              <w:ind w:left="375"/>
              <w:rPr>
                <w:sz w:val="20"/>
                <w:szCs w:val="20"/>
              </w:rPr>
            </w:pPr>
            <w:r>
              <w:rPr>
                <w:sz w:val="20"/>
                <w:szCs w:val="20"/>
              </w:rPr>
              <w:tab/>
            </w:r>
            <w:r w:rsidRPr="00674F0C">
              <w:rPr>
                <w:sz w:val="20"/>
                <w:szCs w:val="20"/>
              </w:rPr>
              <w:t>Total</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3BA532C5" w14:textId="03A71F9C" w:rsidR="000C58DC" w:rsidRPr="00674F0C" w:rsidRDefault="000C58DC" w:rsidP="000C58DC">
            <w:pPr>
              <w:jc w:val="center"/>
              <w:rPr>
                <w:color w:val="000000"/>
                <w:sz w:val="20"/>
                <w:szCs w:val="20"/>
              </w:rPr>
            </w:pPr>
            <w:r>
              <w:rPr>
                <w:sz w:val="20"/>
                <w:szCs w:val="20"/>
              </w:rPr>
              <w:t>20,145</w:t>
            </w:r>
          </w:p>
        </w:tc>
        <w:tc>
          <w:tcPr>
            <w:tcW w:w="1319" w:type="dxa"/>
            <w:tcBorders>
              <w:top w:val="single" w:sz="4" w:space="0" w:color="auto"/>
              <w:left w:val="single" w:sz="4" w:space="0" w:color="auto"/>
              <w:bottom w:val="single" w:sz="4" w:space="0" w:color="auto"/>
              <w:right w:val="single" w:sz="4" w:space="0" w:color="auto"/>
            </w:tcBorders>
            <w:vAlign w:val="center"/>
          </w:tcPr>
          <w:p w14:paraId="4B998609" w14:textId="33CA1845" w:rsidR="000C58DC" w:rsidRPr="00674F0C" w:rsidRDefault="000C58DC" w:rsidP="000C58DC">
            <w:pPr>
              <w:jc w:val="center"/>
              <w:rPr>
                <w:color w:val="000000"/>
                <w:sz w:val="20"/>
                <w:szCs w:val="20"/>
              </w:rPr>
            </w:pPr>
            <w:r>
              <w:rPr>
                <w:sz w:val="20"/>
                <w:szCs w:val="20"/>
              </w:rPr>
              <w:t>19,818</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5BB7D245" w14:textId="2829A914" w:rsidR="000C58DC" w:rsidRPr="00674F0C" w:rsidRDefault="000C58DC" w:rsidP="000C58DC">
            <w:pPr>
              <w:jc w:val="center"/>
              <w:rPr>
                <w:color w:val="000000"/>
                <w:sz w:val="20"/>
                <w:szCs w:val="20"/>
              </w:rPr>
            </w:pPr>
            <w:r>
              <w:rPr>
                <w:sz w:val="20"/>
                <w:szCs w:val="20"/>
              </w:rPr>
              <w:t>19,898</w:t>
            </w:r>
          </w:p>
        </w:tc>
        <w:tc>
          <w:tcPr>
            <w:tcW w:w="1406" w:type="dxa"/>
            <w:tcBorders>
              <w:top w:val="single" w:sz="4" w:space="0" w:color="auto"/>
              <w:left w:val="single" w:sz="4" w:space="0" w:color="auto"/>
              <w:bottom w:val="single" w:sz="4" w:space="0" w:color="auto"/>
              <w:right w:val="single" w:sz="4" w:space="0" w:color="auto"/>
            </w:tcBorders>
            <w:vAlign w:val="center"/>
          </w:tcPr>
          <w:p w14:paraId="360A9A73" w14:textId="2E4DF343" w:rsidR="000C58DC" w:rsidRPr="00F62C9B" w:rsidRDefault="000C58DC" w:rsidP="000C58DC">
            <w:pPr>
              <w:jc w:val="center"/>
              <w:rPr>
                <w:sz w:val="20"/>
                <w:szCs w:val="20"/>
              </w:rPr>
            </w:pPr>
          </w:p>
        </w:tc>
      </w:tr>
      <w:tr w:rsidR="000C58DC" w:rsidRPr="00E80EE2" w14:paraId="140A231C"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C77F" w14:textId="7E76EF76" w:rsidR="000C58DC" w:rsidRPr="00674F0C" w:rsidRDefault="000C58DC" w:rsidP="000C58DC">
            <w:pPr>
              <w:ind w:left="375"/>
              <w:rPr>
                <w:sz w:val="20"/>
                <w:szCs w:val="20"/>
              </w:rPr>
            </w:pPr>
            <w:r>
              <w:rPr>
                <w:sz w:val="20"/>
                <w:szCs w:val="20"/>
              </w:rPr>
              <w:tab/>
            </w:r>
            <w:r w:rsidRPr="00674F0C">
              <w:rPr>
                <w:sz w:val="20"/>
                <w:szCs w:val="20"/>
              </w:rPr>
              <w:t>Undergraduate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6DD82C73" w14:textId="271116B2" w:rsidR="000C58DC" w:rsidRPr="00674F0C" w:rsidRDefault="000C58DC" w:rsidP="000C58DC">
            <w:pPr>
              <w:jc w:val="center"/>
              <w:rPr>
                <w:color w:val="000000"/>
                <w:sz w:val="20"/>
                <w:szCs w:val="20"/>
              </w:rPr>
            </w:pPr>
            <w:r>
              <w:rPr>
                <w:sz w:val="20"/>
                <w:szCs w:val="20"/>
              </w:rPr>
              <w:t>17,077</w:t>
            </w:r>
          </w:p>
        </w:tc>
        <w:tc>
          <w:tcPr>
            <w:tcW w:w="1319" w:type="dxa"/>
            <w:tcBorders>
              <w:top w:val="single" w:sz="4" w:space="0" w:color="auto"/>
              <w:left w:val="single" w:sz="4" w:space="0" w:color="auto"/>
              <w:bottom w:val="single" w:sz="4" w:space="0" w:color="auto"/>
              <w:right w:val="single" w:sz="4" w:space="0" w:color="auto"/>
            </w:tcBorders>
            <w:vAlign w:val="center"/>
          </w:tcPr>
          <w:p w14:paraId="192E2566" w14:textId="075079D6" w:rsidR="000C58DC" w:rsidRPr="00674F0C" w:rsidRDefault="000C58DC" w:rsidP="000C58DC">
            <w:pPr>
              <w:jc w:val="center"/>
              <w:rPr>
                <w:color w:val="000000"/>
                <w:sz w:val="20"/>
                <w:szCs w:val="20"/>
              </w:rPr>
            </w:pPr>
            <w:r>
              <w:rPr>
                <w:sz w:val="20"/>
                <w:szCs w:val="20"/>
              </w:rPr>
              <w:t>16,982</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1A5D8A01" w14:textId="0E03C90E" w:rsidR="000C58DC" w:rsidRPr="00674F0C" w:rsidRDefault="000C58DC" w:rsidP="000C58DC">
            <w:pPr>
              <w:jc w:val="center"/>
              <w:rPr>
                <w:sz w:val="20"/>
                <w:szCs w:val="20"/>
              </w:rPr>
            </w:pPr>
            <w:r>
              <w:rPr>
                <w:sz w:val="20"/>
                <w:szCs w:val="20"/>
              </w:rPr>
              <w:t>17,085</w:t>
            </w:r>
          </w:p>
        </w:tc>
        <w:tc>
          <w:tcPr>
            <w:tcW w:w="1406" w:type="dxa"/>
            <w:tcBorders>
              <w:top w:val="single" w:sz="4" w:space="0" w:color="auto"/>
              <w:left w:val="single" w:sz="4" w:space="0" w:color="auto"/>
              <w:bottom w:val="single" w:sz="4" w:space="0" w:color="auto"/>
              <w:right w:val="single" w:sz="4" w:space="0" w:color="auto"/>
            </w:tcBorders>
            <w:vAlign w:val="center"/>
          </w:tcPr>
          <w:p w14:paraId="11841AF0" w14:textId="7F7A1E36" w:rsidR="000C58DC" w:rsidRPr="00F62C9B" w:rsidRDefault="000C58DC" w:rsidP="000C58DC">
            <w:pPr>
              <w:jc w:val="center"/>
              <w:rPr>
                <w:sz w:val="20"/>
                <w:szCs w:val="20"/>
              </w:rPr>
            </w:pPr>
          </w:p>
        </w:tc>
      </w:tr>
      <w:tr w:rsidR="000C58DC" w:rsidRPr="00E80EE2" w14:paraId="63E114BC"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22F2" w14:textId="33CD8571" w:rsidR="000C58DC" w:rsidRPr="00674F0C" w:rsidRDefault="000C58DC" w:rsidP="000C58DC">
            <w:pPr>
              <w:ind w:left="375"/>
              <w:rPr>
                <w:sz w:val="20"/>
                <w:szCs w:val="20"/>
              </w:rPr>
            </w:pPr>
            <w:r>
              <w:rPr>
                <w:sz w:val="20"/>
                <w:szCs w:val="20"/>
              </w:rPr>
              <w:tab/>
            </w:r>
            <w:r w:rsidRPr="00674F0C">
              <w:rPr>
                <w:sz w:val="20"/>
                <w:szCs w:val="20"/>
              </w:rPr>
              <w:t>Graduate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54858C5C" w14:textId="64481D12" w:rsidR="000C58DC" w:rsidRPr="00674F0C" w:rsidRDefault="000C58DC" w:rsidP="000C58DC">
            <w:pPr>
              <w:jc w:val="center"/>
              <w:rPr>
                <w:color w:val="000000"/>
                <w:sz w:val="20"/>
                <w:szCs w:val="20"/>
              </w:rPr>
            </w:pPr>
            <w:r>
              <w:rPr>
                <w:sz w:val="20"/>
                <w:szCs w:val="20"/>
              </w:rPr>
              <w:t>3,068</w:t>
            </w:r>
          </w:p>
        </w:tc>
        <w:tc>
          <w:tcPr>
            <w:tcW w:w="1319" w:type="dxa"/>
            <w:tcBorders>
              <w:top w:val="single" w:sz="4" w:space="0" w:color="auto"/>
              <w:left w:val="single" w:sz="4" w:space="0" w:color="auto"/>
              <w:bottom w:val="single" w:sz="4" w:space="0" w:color="auto"/>
              <w:right w:val="single" w:sz="4" w:space="0" w:color="auto"/>
            </w:tcBorders>
            <w:vAlign w:val="center"/>
          </w:tcPr>
          <w:p w14:paraId="22667539" w14:textId="5DAD6398" w:rsidR="000C58DC" w:rsidRPr="00674F0C" w:rsidRDefault="000C58DC" w:rsidP="000C58DC">
            <w:pPr>
              <w:jc w:val="center"/>
              <w:rPr>
                <w:color w:val="000000"/>
                <w:sz w:val="20"/>
                <w:szCs w:val="20"/>
              </w:rPr>
            </w:pPr>
            <w:r>
              <w:rPr>
                <w:sz w:val="20"/>
                <w:szCs w:val="20"/>
              </w:rPr>
              <w:t>2,836</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4FABD057" w14:textId="31AF549E" w:rsidR="000C58DC" w:rsidRPr="00674F0C" w:rsidRDefault="000C58DC" w:rsidP="000C58DC">
            <w:pPr>
              <w:jc w:val="center"/>
              <w:rPr>
                <w:sz w:val="20"/>
                <w:szCs w:val="20"/>
              </w:rPr>
            </w:pPr>
            <w:r>
              <w:rPr>
                <w:sz w:val="20"/>
                <w:szCs w:val="20"/>
              </w:rPr>
              <w:t>2,813</w:t>
            </w:r>
          </w:p>
        </w:tc>
        <w:tc>
          <w:tcPr>
            <w:tcW w:w="1406" w:type="dxa"/>
            <w:tcBorders>
              <w:top w:val="single" w:sz="4" w:space="0" w:color="auto"/>
              <w:left w:val="single" w:sz="4" w:space="0" w:color="auto"/>
              <w:bottom w:val="single" w:sz="4" w:space="0" w:color="auto"/>
              <w:right w:val="single" w:sz="4" w:space="0" w:color="auto"/>
            </w:tcBorders>
            <w:vAlign w:val="center"/>
          </w:tcPr>
          <w:p w14:paraId="0D648222" w14:textId="0AE60BC2" w:rsidR="000C58DC" w:rsidRPr="00F62C9B" w:rsidRDefault="000C58DC" w:rsidP="000C58DC">
            <w:pPr>
              <w:jc w:val="center"/>
              <w:rPr>
                <w:sz w:val="20"/>
                <w:szCs w:val="20"/>
              </w:rPr>
            </w:pPr>
          </w:p>
        </w:tc>
      </w:tr>
      <w:tr w:rsidR="000C58DC" w:rsidRPr="00E80EE2" w14:paraId="62EEAEAC" w14:textId="77777777" w:rsidTr="000C58DC">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E27AB97" w14:textId="3D04FC70" w:rsidR="000C58DC" w:rsidRPr="009E40FF" w:rsidRDefault="000C58DC" w:rsidP="000C58DC">
            <w:pPr>
              <w:ind w:left="426"/>
              <w:rPr>
                <w:sz w:val="20"/>
                <w:szCs w:val="20"/>
              </w:rPr>
            </w:pPr>
            <w:r w:rsidRPr="009E40FF">
              <w:rPr>
                <w:color w:val="000000"/>
                <w:sz w:val="20"/>
                <w:szCs w:val="20"/>
              </w:rPr>
              <w:t>Enrollment in Online Programs, Fall Census Day (Oct. 15)</w:t>
            </w:r>
            <w:r w:rsidRPr="009E40FF">
              <w:rPr>
                <w:rStyle w:val="EndnoteReference"/>
                <w:color w:val="000000"/>
                <w:sz w:val="20"/>
                <w:szCs w:val="20"/>
              </w:rPr>
              <w:endnoteReference w:id="1"/>
            </w:r>
          </w:p>
        </w:tc>
      </w:tr>
      <w:tr w:rsidR="000C58DC" w:rsidRPr="00E80EE2" w14:paraId="6138CB34"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BF8FF8" w14:textId="1AD80E7D" w:rsidR="000C58DC" w:rsidRPr="009E40FF" w:rsidRDefault="000C58DC" w:rsidP="000C58DC">
            <w:pPr>
              <w:ind w:left="720"/>
              <w:rPr>
                <w:sz w:val="20"/>
                <w:szCs w:val="20"/>
              </w:rPr>
            </w:pPr>
            <w:r w:rsidRPr="009E40FF">
              <w:rPr>
                <w:sz w:val="20"/>
                <w:szCs w:val="20"/>
              </w:rPr>
              <w:t>Total</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17030120" w14:textId="150CB760" w:rsidR="000C58DC" w:rsidRPr="009E40FF" w:rsidRDefault="000C58DC" w:rsidP="000C58DC">
            <w:pPr>
              <w:jc w:val="center"/>
              <w:rPr>
                <w:sz w:val="20"/>
                <w:szCs w:val="20"/>
              </w:rPr>
            </w:pPr>
            <w:r w:rsidRPr="009E40FF">
              <w:rPr>
                <w:sz w:val="20"/>
                <w:szCs w:val="20"/>
              </w:rPr>
              <w:t>3,793</w:t>
            </w:r>
          </w:p>
        </w:tc>
        <w:tc>
          <w:tcPr>
            <w:tcW w:w="1319" w:type="dxa"/>
            <w:tcBorders>
              <w:top w:val="single" w:sz="4" w:space="0" w:color="auto"/>
              <w:left w:val="single" w:sz="4" w:space="0" w:color="auto"/>
              <w:bottom w:val="single" w:sz="4" w:space="0" w:color="auto"/>
              <w:right w:val="single" w:sz="4" w:space="0" w:color="auto"/>
            </w:tcBorders>
            <w:vAlign w:val="center"/>
          </w:tcPr>
          <w:p w14:paraId="694EEEFB" w14:textId="6AD64C2D" w:rsidR="000C58DC" w:rsidRPr="009E40FF" w:rsidRDefault="000C58DC" w:rsidP="000C58DC">
            <w:pPr>
              <w:jc w:val="center"/>
              <w:rPr>
                <w:sz w:val="20"/>
                <w:szCs w:val="20"/>
              </w:rPr>
            </w:pPr>
            <w:r w:rsidRPr="009E40FF">
              <w:rPr>
                <w:sz w:val="20"/>
                <w:szCs w:val="20"/>
              </w:rPr>
              <w:t>3,74</w:t>
            </w:r>
            <w:r>
              <w:rPr>
                <w:sz w:val="20"/>
                <w:szCs w:val="20"/>
              </w:rPr>
              <w:t>8</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14330288" w14:textId="2B9AA813" w:rsidR="000C58DC" w:rsidRPr="009E40FF" w:rsidRDefault="000C58DC" w:rsidP="000C58DC">
            <w:pPr>
              <w:jc w:val="center"/>
              <w:rPr>
                <w:sz w:val="20"/>
                <w:szCs w:val="20"/>
              </w:rPr>
            </w:pPr>
            <w:r>
              <w:rPr>
                <w:sz w:val="20"/>
                <w:szCs w:val="20"/>
              </w:rPr>
              <w:t>3,856</w:t>
            </w:r>
          </w:p>
        </w:tc>
        <w:tc>
          <w:tcPr>
            <w:tcW w:w="1406" w:type="dxa"/>
            <w:tcBorders>
              <w:top w:val="single" w:sz="4" w:space="0" w:color="auto"/>
              <w:left w:val="single" w:sz="4" w:space="0" w:color="auto"/>
              <w:bottom w:val="single" w:sz="4" w:space="0" w:color="auto"/>
              <w:right w:val="single" w:sz="4" w:space="0" w:color="auto"/>
            </w:tcBorders>
            <w:vAlign w:val="center"/>
          </w:tcPr>
          <w:p w14:paraId="03F4CBBD" w14:textId="331753A1" w:rsidR="000C58DC" w:rsidRPr="009E40FF" w:rsidRDefault="000C58DC" w:rsidP="000C58DC">
            <w:pPr>
              <w:jc w:val="center"/>
              <w:rPr>
                <w:sz w:val="20"/>
                <w:szCs w:val="20"/>
              </w:rPr>
            </w:pPr>
          </w:p>
        </w:tc>
      </w:tr>
      <w:tr w:rsidR="000C58DC" w:rsidRPr="00E80EE2" w14:paraId="65D5F803"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A8541" w14:textId="046E9566" w:rsidR="000C58DC" w:rsidRPr="009E40FF" w:rsidRDefault="000C58DC" w:rsidP="000C58DC">
            <w:pPr>
              <w:ind w:left="375"/>
              <w:rPr>
                <w:sz w:val="20"/>
                <w:szCs w:val="20"/>
              </w:rPr>
            </w:pPr>
            <w:r w:rsidRPr="009E40FF">
              <w:rPr>
                <w:sz w:val="20"/>
                <w:szCs w:val="20"/>
              </w:rPr>
              <w:tab/>
              <w:t>Undergraduate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44E6BCEB" w14:textId="054C0D62" w:rsidR="000C58DC" w:rsidRPr="009E40FF" w:rsidRDefault="000C58DC" w:rsidP="000C58DC">
            <w:pPr>
              <w:jc w:val="center"/>
              <w:rPr>
                <w:sz w:val="20"/>
                <w:szCs w:val="20"/>
              </w:rPr>
            </w:pPr>
            <w:r w:rsidRPr="009E40FF">
              <w:rPr>
                <w:sz w:val="20"/>
                <w:szCs w:val="20"/>
              </w:rPr>
              <w:t>2,282</w:t>
            </w:r>
          </w:p>
        </w:tc>
        <w:tc>
          <w:tcPr>
            <w:tcW w:w="1319" w:type="dxa"/>
            <w:tcBorders>
              <w:top w:val="single" w:sz="4" w:space="0" w:color="auto"/>
              <w:left w:val="single" w:sz="4" w:space="0" w:color="auto"/>
              <w:bottom w:val="single" w:sz="4" w:space="0" w:color="auto"/>
              <w:right w:val="single" w:sz="4" w:space="0" w:color="auto"/>
            </w:tcBorders>
            <w:vAlign w:val="center"/>
          </w:tcPr>
          <w:p w14:paraId="62EA66F3" w14:textId="0520E728" w:rsidR="000C58DC" w:rsidRPr="009E40FF" w:rsidRDefault="000C58DC" w:rsidP="000C58DC">
            <w:pPr>
              <w:jc w:val="center"/>
              <w:rPr>
                <w:sz w:val="20"/>
                <w:szCs w:val="20"/>
              </w:rPr>
            </w:pPr>
            <w:r w:rsidRPr="009E40FF">
              <w:rPr>
                <w:sz w:val="20"/>
                <w:szCs w:val="20"/>
              </w:rPr>
              <w:t>2,271</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557C617A" w14:textId="645EA7F8" w:rsidR="000C58DC" w:rsidRPr="009E40FF" w:rsidRDefault="000C58DC" w:rsidP="000C58DC">
            <w:pPr>
              <w:jc w:val="center"/>
              <w:rPr>
                <w:sz w:val="20"/>
                <w:szCs w:val="20"/>
              </w:rPr>
            </w:pPr>
            <w:r>
              <w:rPr>
                <w:sz w:val="20"/>
                <w:szCs w:val="20"/>
              </w:rPr>
              <w:t>2,441</w:t>
            </w:r>
          </w:p>
        </w:tc>
        <w:tc>
          <w:tcPr>
            <w:tcW w:w="1406" w:type="dxa"/>
            <w:tcBorders>
              <w:top w:val="single" w:sz="4" w:space="0" w:color="auto"/>
              <w:left w:val="single" w:sz="4" w:space="0" w:color="auto"/>
              <w:bottom w:val="single" w:sz="4" w:space="0" w:color="auto"/>
              <w:right w:val="single" w:sz="4" w:space="0" w:color="auto"/>
            </w:tcBorders>
            <w:vAlign w:val="center"/>
          </w:tcPr>
          <w:p w14:paraId="1FB46010" w14:textId="20F0260D" w:rsidR="000C58DC" w:rsidRPr="009E40FF" w:rsidRDefault="000C58DC" w:rsidP="000C58DC">
            <w:pPr>
              <w:jc w:val="center"/>
              <w:rPr>
                <w:sz w:val="20"/>
                <w:szCs w:val="20"/>
              </w:rPr>
            </w:pPr>
          </w:p>
        </w:tc>
      </w:tr>
      <w:tr w:rsidR="000C58DC" w:rsidRPr="00E80EE2" w14:paraId="601112A7"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55BDD9" w14:textId="21661F42" w:rsidR="000C58DC" w:rsidRPr="009E40FF" w:rsidRDefault="000C58DC" w:rsidP="000C58DC">
            <w:pPr>
              <w:ind w:left="375"/>
              <w:rPr>
                <w:sz w:val="20"/>
                <w:szCs w:val="20"/>
              </w:rPr>
            </w:pPr>
            <w:r w:rsidRPr="009E40FF">
              <w:rPr>
                <w:sz w:val="20"/>
                <w:szCs w:val="20"/>
              </w:rPr>
              <w:tab/>
              <w:t>Graduate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3F60FAC9" w14:textId="367FFDEA" w:rsidR="000C58DC" w:rsidRPr="009E40FF" w:rsidRDefault="000C58DC" w:rsidP="000C58DC">
            <w:pPr>
              <w:jc w:val="center"/>
              <w:rPr>
                <w:sz w:val="20"/>
                <w:szCs w:val="20"/>
              </w:rPr>
            </w:pPr>
            <w:r w:rsidRPr="009E40FF">
              <w:rPr>
                <w:sz w:val="20"/>
                <w:szCs w:val="20"/>
              </w:rPr>
              <w:t>1,511</w:t>
            </w:r>
          </w:p>
        </w:tc>
        <w:tc>
          <w:tcPr>
            <w:tcW w:w="1319" w:type="dxa"/>
            <w:tcBorders>
              <w:top w:val="single" w:sz="4" w:space="0" w:color="auto"/>
              <w:left w:val="single" w:sz="4" w:space="0" w:color="auto"/>
              <w:bottom w:val="single" w:sz="4" w:space="0" w:color="auto"/>
              <w:right w:val="single" w:sz="4" w:space="0" w:color="auto"/>
            </w:tcBorders>
            <w:vAlign w:val="center"/>
          </w:tcPr>
          <w:p w14:paraId="0681B967" w14:textId="1FB84A20" w:rsidR="000C58DC" w:rsidRPr="009E40FF" w:rsidRDefault="000C58DC" w:rsidP="000C58DC">
            <w:pPr>
              <w:jc w:val="center"/>
              <w:rPr>
                <w:sz w:val="20"/>
                <w:szCs w:val="20"/>
              </w:rPr>
            </w:pPr>
            <w:r w:rsidRPr="009E40FF">
              <w:rPr>
                <w:sz w:val="20"/>
                <w:szCs w:val="20"/>
              </w:rPr>
              <w:t>1,47</w:t>
            </w:r>
            <w:r>
              <w:rPr>
                <w:sz w:val="20"/>
                <w:szCs w:val="20"/>
              </w:rPr>
              <w:t>7</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39B269BA" w14:textId="35E1D0E3" w:rsidR="000C58DC" w:rsidRPr="009E40FF" w:rsidRDefault="000C58DC" w:rsidP="000C58DC">
            <w:pPr>
              <w:jc w:val="center"/>
              <w:rPr>
                <w:sz w:val="20"/>
                <w:szCs w:val="20"/>
              </w:rPr>
            </w:pPr>
            <w:r>
              <w:rPr>
                <w:sz w:val="20"/>
                <w:szCs w:val="20"/>
              </w:rPr>
              <w:t>1,415</w:t>
            </w:r>
          </w:p>
        </w:tc>
        <w:tc>
          <w:tcPr>
            <w:tcW w:w="1406" w:type="dxa"/>
            <w:tcBorders>
              <w:top w:val="single" w:sz="4" w:space="0" w:color="auto"/>
              <w:left w:val="single" w:sz="4" w:space="0" w:color="auto"/>
              <w:bottom w:val="single" w:sz="4" w:space="0" w:color="auto"/>
              <w:right w:val="single" w:sz="4" w:space="0" w:color="auto"/>
            </w:tcBorders>
            <w:vAlign w:val="center"/>
          </w:tcPr>
          <w:p w14:paraId="0C8EDF16" w14:textId="37F07D0A" w:rsidR="000C58DC" w:rsidRPr="009E40FF" w:rsidRDefault="000C58DC" w:rsidP="000C58DC">
            <w:pPr>
              <w:jc w:val="center"/>
              <w:rPr>
                <w:sz w:val="20"/>
                <w:szCs w:val="20"/>
              </w:rPr>
            </w:pPr>
          </w:p>
        </w:tc>
      </w:tr>
      <w:tr w:rsidR="000C58DC" w:rsidRPr="00E80EE2" w14:paraId="5597EDED" w14:textId="77777777" w:rsidTr="000C58DC">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AE6715D" w14:textId="1BAD3721" w:rsidR="000C58DC" w:rsidRPr="009E40FF" w:rsidRDefault="000C58DC" w:rsidP="000C58DC">
            <w:pPr>
              <w:ind w:left="426"/>
              <w:rPr>
                <w:sz w:val="20"/>
                <w:szCs w:val="20"/>
              </w:rPr>
            </w:pPr>
            <w:r w:rsidRPr="009E40FF">
              <w:rPr>
                <w:color w:val="000000"/>
                <w:sz w:val="20"/>
                <w:szCs w:val="20"/>
              </w:rPr>
              <w:t>Idaho Resident Enrollment in Online Programs, Fall Census Day (Oct. 15)</w:t>
            </w:r>
          </w:p>
        </w:tc>
      </w:tr>
      <w:tr w:rsidR="000C58DC" w:rsidRPr="00E80EE2" w14:paraId="6D5E6DE7"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8F8194" w14:textId="3B78DCD7" w:rsidR="000C58DC" w:rsidRPr="009E40FF" w:rsidRDefault="000C58DC" w:rsidP="000C58DC">
            <w:pPr>
              <w:ind w:left="375"/>
              <w:rPr>
                <w:sz w:val="20"/>
                <w:szCs w:val="20"/>
              </w:rPr>
            </w:pPr>
            <w:r w:rsidRPr="009E40FF">
              <w:rPr>
                <w:sz w:val="20"/>
                <w:szCs w:val="20"/>
              </w:rPr>
              <w:tab/>
              <w:t>Total</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5C6AD47E" w14:textId="6AEE712C" w:rsidR="000C58DC" w:rsidRPr="009E40FF" w:rsidRDefault="000C58DC" w:rsidP="000C58DC">
            <w:pPr>
              <w:jc w:val="center"/>
              <w:rPr>
                <w:sz w:val="20"/>
                <w:szCs w:val="20"/>
              </w:rPr>
            </w:pPr>
            <w:r w:rsidRPr="009E40FF">
              <w:rPr>
                <w:sz w:val="20"/>
                <w:szCs w:val="20"/>
              </w:rPr>
              <w:t>1,415</w:t>
            </w:r>
          </w:p>
        </w:tc>
        <w:tc>
          <w:tcPr>
            <w:tcW w:w="1319" w:type="dxa"/>
            <w:tcBorders>
              <w:top w:val="single" w:sz="4" w:space="0" w:color="auto"/>
              <w:left w:val="single" w:sz="4" w:space="0" w:color="auto"/>
              <w:bottom w:val="single" w:sz="4" w:space="0" w:color="auto"/>
              <w:right w:val="single" w:sz="4" w:space="0" w:color="auto"/>
            </w:tcBorders>
            <w:vAlign w:val="center"/>
          </w:tcPr>
          <w:p w14:paraId="0966DBCA" w14:textId="25944923" w:rsidR="000C58DC" w:rsidRPr="009E40FF" w:rsidRDefault="000C58DC" w:rsidP="000C58DC">
            <w:pPr>
              <w:jc w:val="center"/>
              <w:rPr>
                <w:sz w:val="20"/>
                <w:szCs w:val="20"/>
              </w:rPr>
            </w:pPr>
            <w:r w:rsidRPr="009E40FF">
              <w:rPr>
                <w:sz w:val="20"/>
                <w:szCs w:val="20"/>
              </w:rPr>
              <w:t>1,441</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4A0A8B15" w14:textId="10219E95" w:rsidR="000C58DC" w:rsidRPr="009E40FF" w:rsidRDefault="000C58DC" w:rsidP="000C58DC">
            <w:pPr>
              <w:jc w:val="center"/>
              <w:rPr>
                <w:sz w:val="20"/>
                <w:szCs w:val="20"/>
              </w:rPr>
            </w:pPr>
            <w:r>
              <w:rPr>
                <w:sz w:val="20"/>
                <w:szCs w:val="20"/>
              </w:rPr>
              <w:t>1,537</w:t>
            </w:r>
          </w:p>
        </w:tc>
        <w:tc>
          <w:tcPr>
            <w:tcW w:w="1406" w:type="dxa"/>
            <w:tcBorders>
              <w:top w:val="single" w:sz="4" w:space="0" w:color="auto"/>
              <w:left w:val="single" w:sz="4" w:space="0" w:color="auto"/>
              <w:bottom w:val="single" w:sz="4" w:space="0" w:color="auto"/>
              <w:right w:val="single" w:sz="4" w:space="0" w:color="auto"/>
            </w:tcBorders>
            <w:vAlign w:val="center"/>
          </w:tcPr>
          <w:p w14:paraId="11866F09" w14:textId="127AD9B2" w:rsidR="000C58DC" w:rsidRPr="009E40FF" w:rsidRDefault="000C58DC" w:rsidP="000C58DC">
            <w:pPr>
              <w:jc w:val="center"/>
              <w:rPr>
                <w:sz w:val="20"/>
                <w:szCs w:val="20"/>
              </w:rPr>
            </w:pPr>
          </w:p>
        </w:tc>
      </w:tr>
      <w:tr w:rsidR="000C58DC" w:rsidRPr="00E80EE2" w14:paraId="215AC733"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056B56" w14:textId="5F3EA5DD" w:rsidR="000C58DC" w:rsidRPr="009E40FF" w:rsidRDefault="000C58DC" w:rsidP="000C58DC">
            <w:pPr>
              <w:ind w:left="375"/>
              <w:rPr>
                <w:sz w:val="20"/>
                <w:szCs w:val="20"/>
              </w:rPr>
            </w:pPr>
            <w:r w:rsidRPr="009E40FF">
              <w:rPr>
                <w:sz w:val="20"/>
                <w:szCs w:val="20"/>
              </w:rPr>
              <w:tab/>
              <w:t>Undergraduate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0CF36D7B" w14:textId="0AE6A2F9" w:rsidR="000C58DC" w:rsidRPr="009E40FF" w:rsidRDefault="000C58DC" w:rsidP="000C58DC">
            <w:pPr>
              <w:jc w:val="center"/>
              <w:rPr>
                <w:sz w:val="20"/>
                <w:szCs w:val="20"/>
              </w:rPr>
            </w:pPr>
            <w:r w:rsidRPr="009E40FF">
              <w:rPr>
                <w:sz w:val="20"/>
                <w:szCs w:val="20"/>
              </w:rPr>
              <w:t>887</w:t>
            </w:r>
          </w:p>
        </w:tc>
        <w:tc>
          <w:tcPr>
            <w:tcW w:w="1319" w:type="dxa"/>
            <w:tcBorders>
              <w:top w:val="single" w:sz="4" w:space="0" w:color="auto"/>
              <w:left w:val="single" w:sz="4" w:space="0" w:color="auto"/>
              <w:bottom w:val="single" w:sz="4" w:space="0" w:color="auto"/>
              <w:right w:val="single" w:sz="4" w:space="0" w:color="auto"/>
            </w:tcBorders>
            <w:vAlign w:val="center"/>
          </w:tcPr>
          <w:p w14:paraId="71BBB3BD" w14:textId="19FBBCD4" w:rsidR="000C58DC" w:rsidRPr="009E40FF" w:rsidRDefault="000C58DC" w:rsidP="000C58DC">
            <w:pPr>
              <w:jc w:val="center"/>
              <w:rPr>
                <w:sz w:val="20"/>
                <w:szCs w:val="20"/>
              </w:rPr>
            </w:pPr>
            <w:r w:rsidRPr="009E40FF">
              <w:rPr>
                <w:sz w:val="20"/>
                <w:szCs w:val="20"/>
              </w:rPr>
              <w:t>923</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48EB525F" w14:textId="1ABD4E1A" w:rsidR="000C58DC" w:rsidRPr="009E40FF" w:rsidRDefault="000C58DC" w:rsidP="000C58DC">
            <w:pPr>
              <w:jc w:val="center"/>
              <w:rPr>
                <w:sz w:val="20"/>
                <w:szCs w:val="20"/>
              </w:rPr>
            </w:pPr>
            <w:r>
              <w:rPr>
                <w:sz w:val="20"/>
                <w:szCs w:val="20"/>
              </w:rPr>
              <w:t>1,006</w:t>
            </w:r>
          </w:p>
        </w:tc>
        <w:tc>
          <w:tcPr>
            <w:tcW w:w="1406" w:type="dxa"/>
            <w:tcBorders>
              <w:top w:val="single" w:sz="4" w:space="0" w:color="auto"/>
              <w:left w:val="single" w:sz="4" w:space="0" w:color="auto"/>
              <w:bottom w:val="single" w:sz="4" w:space="0" w:color="auto"/>
              <w:right w:val="single" w:sz="4" w:space="0" w:color="auto"/>
            </w:tcBorders>
            <w:vAlign w:val="center"/>
          </w:tcPr>
          <w:p w14:paraId="06C3D1F8" w14:textId="0DFE3FC8" w:rsidR="000C58DC" w:rsidRPr="009E40FF" w:rsidRDefault="000C58DC" w:rsidP="000C58DC">
            <w:pPr>
              <w:jc w:val="center"/>
              <w:rPr>
                <w:sz w:val="20"/>
                <w:szCs w:val="20"/>
              </w:rPr>
            </w:pPr>
          </w:p>
        </w:tc>
      </w:tr>
      <w:tr w:rsidR="000C58DC" w:rsidRPr="00E80EE2" w14:paraId="257BA98E"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98BA88" w14:textId="016DEC46" w:rsidR="000C58DC" w:rsidRPr="009E40FF" w:rsidRDefault="000C58DC" w:rsidP="000C58DC">
            <w:pPr>
              <w:ind w:left="375"/>
              <w:rPr>
                <w:sz w:val="20"/>
                <w:szCs w:val="20"/>
              </w:rPr>
            </w:pPr>
            <w:r w:rsidRPr="009E40FF">
              <w:rPr>
                <w:sz w:val="20"/>
                <w:szCs w:val="20"/>
              </w:rPr>
              <w:tab/>
              <w:t>Graduate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2838C66E" w14:textId="599DE9CD" w:rsidR="000C58DC" w:rsidRPr="009E40FF" w:rsidRDefault="000C58DC" w:rsidP="000C58DC">
            <w:pPr>
              <w:jc w:val="center"/>
              <w:rPr>
                <w:sz w:val="20"/>
                <w:szCs w:val="20"/>
              </w:rPr>
            </w:pPr>
            <w:r w:rsidRPr="009E40FF">
              <w:rPr>
                <w:sz w:val="20"/>
                <w:szCs w:val="20"/>
              </w:rPr>
              <w:t>528</w:t>
            </w:r>
          </w:p>
        </w:tc>
        <w:tc>
          <w:tcPr>
            <w:tcW w:w="1319" w:type="dxa"/>
            <w:tcBorders>
              <w:top w:val="single" w:sz="4" w:space="0" w:color="auto"/>
              <w:left w:val="single" w:sz="4" w:space="0" w:color="auto"/>
              <w:bottom w:val="single" w:sz="4" w:space="0" w:color="auto"/>
              <w:right w:val="single" w:sz="4" w:space="0" w:color="auto"/>
            </w:tcBorders>
            <w:vAlign w:val="center"/>
          </w:tcPr>
          <w:p w14:paraId="25212754" w14:textId="3E489F51" w:rsidR="000C58DC" w:rsidRPr="009E40FF" w:rsidRDefault="000C58DC" w:rsidP="000C58DC">
            <w:pPr>
              <w:jc w:val="center"/>
              <w:rPr>
                <w:sz w:val="20"/>
                <w:szCs w:val="20"/>
              </w:rPr>
            </w:pPr>
            <w:r w:rsidRPr="009E40FF">
              <w:rPr>
                <w:sz w:val="20"/>
                <w:szCs w:val="20"/>
              </w:rPr>
              <w:t>518</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03EE924B" w14:textId="4CB692AB" w:rsidR="000C58DC" w:rsidRPr="009E40FF" w:rsidRDefault="000C58DC" w:rsidP="000C58DC">
            <w:pPr>
              <w:jc w:val="center"/>
              <w:rPr>
                <w:sz w:val="20"/>
                <w:szCs w:val="20"/>
              </w:rPr>
            </w:pPr>
            <w:r>
              <w:rPr>
                <w:sz w:val="20"/>
                <w:szCs w:val="20"/>
              </w:rPr>
              <w:t>531</w:t>
            </w:r>
          </w:p>
        </w:tc>
        <w:tc>
          <w:tcPr>
            <w:tcW w:w="1406" w:type="dxa"/>
            <w:tcBorders>
              <w:top w:val="single" w:sz="4" w:space="0" w:color="auto"/>
              <w:left w:val="single" w:sz="4" w:space="0" w:color="auto"/>
              <w:bottom w:val="single" w:sz="4" w:space="0" w:color="auto"/>
              <w:right w:val="single" w:sz="4" w:space="0" w:color="auto"/>
            </w:tcBorders>
            <w:vAlign w:val="center"/>
          </w:tcPr>
          <w:p w14:paraId="726EF360" w14:textId="6DE1A562" w:rsidR="000C58DC" w:rsidRPr="009E40FF" w:rsidRDefault="000C58DC" w:rsidP="000C58DC">
            <w:pPr>
              <w:jc w:val="center"/>
              <w:rPr>
                <w:sz w:val="20"/>
                <w:szCs w:val="20"/>
              </w:rPr>
            </w:pPr>
          </w:p>
        </w:tc>
      </w:tr>
      <w:tr w:rsidR="000C58DC" w:rsidRPr="00E80EE2" w14:paraId="647CBA7E"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6BFFCC" w14:textId="73C942B0" w:rsidR="000C58DC" w:rsidRPr="00C73FF0" w:rsidRDefault="000C58DC" w:rsidP="000C58DC">
            <w:pPr>
              <w:rPr>
                <w:color w:val="000000"/>
                <w:sz w:val="20"/>
                <w:szCs w:val="20"/>
              </w:rPr>
            </w:pPr>
            <w:r w:rsidRPr="00C73FF0">
              <w:rPr>
                <w:color w:val="000000"/>
                <w:sz w:val="20"/>
                <w:szCs w:val="20"/>
              </w:rPr>
              <w:t xml:space="preserve">Annual Enrollment Total Headcount from PSR 1 Student Enrollment Report (End of Term; </w:t>
            </w:r>
            <w:r w:rsidRPr="00C73FF0">
              <w:rPr>
                <w:color w:val="000000"/>
                <w:sz w:val="20"/>
                <w:szCs w:val="20"/>
              </w:rPr>
              <w:lastRenderedPageBreak/>
              <w:t>unduplicated count of students attending Su, Fa, and/or Spr)</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67411B03" w14:textId="2446BA62" w:rsidR="000C58DC" w:rsidRPr="00674F0C" w:rsidRDefault="000C58DC" w:rsidP="000C58DC">
            <w:pPr>
              <w:jc w:val="center"/>
              <w:rPr>
                <w:color w:val="000000"/>
                <w:sz w:val="20"/>
                <w:szCs w:val="20"/>
              </w:rPr>
            </w:pPr>
            <w:r>
              <w:rPr>
                <w:sz w:val="20"/>
                <w:szCs w:val="20"/>
              </w:rPr>
              <w:lastRenderedPageBreak/>
              <w:t>32,423</w:t>
            </w:r>
          </w:p>
        </w:tc>
        <w:tc>
          <w:tcPr>
            <w:tcW w:w="1319" w:type="dxa"/>
            <w:tcBorders>
              <w:top w:val="single" w:sz="4" w:space="0" w:color="auto"/>
              <w:left w:val="single" w:sz="4" w:space="0" w:color="auto"/>
              <w:bottom w:val="single" w:sz="4" w:space="0" w:color="auto"/>
              <w:right w:val="single" w:sz="4" w:space="0" w:color="auto"/>
            </w:tcBorders>
            <w:vAlign w:val="center"/>
          </w:tcPr>
          <w:p w14:paraId="47B61D21" w14:textId="0317F22F" w:rsidR="000C58DC" w:rsidRPr="00674F0C" w:rsidRDefault="000C58DC" w:rsidP="000C58DC">
            <w:pPr>
              <w:jc w:val="center"/>
              <w:rPr>
                <w:color w:val="000000"/>
                <w:sz w:val="20"/>
                <w:szCs w:val="20"/>
              </w:rPr>
            </w:pPr>
            <w:r>
              <w:rPr>
                <w:sz w:val="20"/>
                <w:szCs w:val="20"/>
              </w:rPr>
              <w:t>32,721</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092418F6" w14:textId="48DE47F2" w:rsidR="000C58DC" w:rsidRPr="00692238" w:rsidRDefault="000C58DC" w:rsidP="000C58DC">
            <w:pPr>
              <w:jc w:val="center"/>
              <w:rPr>
                <w:sz w:val="20"/>
                <w:szCs w:val="20"/>
              </w:rPr>
            </w:pPr>
            <w:r w:rsidRPr="00692238">
              <w:rPr>
                <w:sz w:val="20"/>
                <w:szCs w:val="20"/>
              </w:rPr>
              <w:t>33,112</w:t>
            </w:r>
          </w:p>
          <w:p w14:paraId="30884911" w14:textId="48B2A9AC" w:rsidR="000C58DC" w:rsidRPr="00674F0C" w:rsidRDefault="000C58DC" w:rsidP="000C58DC">
            <w:pPr>
              <w:jc w:val="center"/>
              <w:rPr>
                <w:sz w:val="20"/>
                <w:szCs w:val="20"/>
              </w:rPr>
            </w:pPr>
          </w:p>
        </w:tc>
        <w:tc>
          <w:tcPr>
            <w:tcW w:w="1406" w:type="dxa"/>
            <w:tcBorders>
              <w:top w:val="single" w:sz="4" w:space="0" w:color="auto"/>
              <w:left w:val="single" w:sz="4" w:space="0" w:color="auto"/>
              <w:bottom w:val="single" w:sz="4" w:space="0" w:color="auto"/>
              <w:right w:val="single" w:sz="4" w:space="0" w:color="auto"/>
            </w:tcBorders>
            <w:vAlign w:val="center"/>
          </w:tcPr>
          <w:p w14:paraId="7767CEFD" w14:textId="07FC6FE2" w:rsidR="000C58DC" w:rsidRPr="00F62C9B" w:rsidRDefault="000C58DC" w:rsidP="000C58DC">
            <w:pPr>
              <w:jc w:val="center"/>
              <w:rPr>
                <w:sz w:val="20"/>
                <w:szCs w:val="20"/>
              </w:rPr>
            </w:pPr>
          </w:p>
        </w:tc>
      </w:tr>
      <w:tr w:rsidR="000C58DC" w:rsidRPr="00E80EE2" w14:paraId="3EEFF3A5"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9EC6D7" w14:textId="6ADF8029" w:rsidR="000C58DC" w:rsidRPr="00674F0C" w:rsidRDefault="000C58DC" w:rsidP="000C58DC">
            <w:pPr>
              <w:rPr>
                <w:color w:val="000000"/>
                <w:sz w:val="20"/>
                <w:szCs w:val="20"/>
              </w:rPr>
            </w:pPr>
            <w:r>
              <w:rPr>
                <w:color w:val="000000"/>
                <w:sz w:val="20"/>
                <w:szCs w:val="20"/>
              </w:rPr>
              <w:tab/>
            </w:r>
            <w:r w:rsidRPr="00674F0C">
              <w:rPr>
                <w:color w:val="000000"/>
                <w:sz w:val="20"/>
                <w:szCs w:val="20"/>
              </w:rPr>
              <w:t>N</w:t>
            </w:r>
            <w:r>
              <w:rPr>
                <w:color w:val="000000"/>
                <w:sz w:val="20"/>
                <w:szCs w:val="20"/>
              </w:rPr>
              <w:t xml:space="preserve">on-Degree Seeking (Graduate and </w:t>
            </w:r>
            <w:r>
              <w:rPr>
                <w:color w:val="000000"/>
                <w:sz w:val="20"/>
                <w:szCs w:val="20"/>
              </w:rPr>
              <w:tab/>
            </w:r>
            <w:r w:rsidRPr="00674F0C">
              <w:rPr>
                <w:color w:val="000000"/>
                <w:sz w:val="20"/>
                <w:szCs w:val="20"/>
              </w:rPr>
              <w:t>Undergrad)</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7F3F24F5" w14:textId="1D944DFA" w:rsidR="000C58DC" w:rsidRPr="00674F0C" w:rsidRDefault="000C58DC" w:rsidP="000C58DC">
            <w:pPr>
              <w:jc w:val="center"/>
              <w:rPr>
                <w:color w:val="000000"/>
                <w:sz w:val="20"/>
                <w:szCs w:val="20"/>
              </w:rPr>
            </w:pPr>
            <w:r>
              <w:rPr>
                <w:sz w:val="20"/>
                <w:szCs w:val="20"/>
              </w:rPr>
              <w:t>2,530</w:t>
            </w:r>
          </w:p>
        </w:tc>
        <w:tc>
          <w:tcPr>
            <w:tcW w:w="1319" w:type="dxa"/>
            <w:tcBorders>
              <w:top w:val="single" w:sz="4" w:space="0" w:color="auto"/>
              <w:left w:val="single" w:sz="4" w:space="0" w:color="auto"/>
              <w:bottom w:val="single" w:sz="4" w:space="0" w:color="auto"/>
              <w:right w:val="single" w:sz="4" w:space="0" w:color="auto"/>
            </w:tcBorders>
            <w:vAlign w:val="center"/>
          </w:tcPr>
          <w:p w14:paraId="3479B8C6" w14:textId="5D802CA9" w:rsidR="000C58DC" w:rsidRPr="00674F0C" w:rsidRDefault="000C58DC" w:rsidP="000C58DC">
            <w:pPr>
              <w:jc w:val="center"/>
              <w:rPr>
                <w:color w:val="000000"/>
                <w:sz w:val="20"/>
                <w:szCs w:val="20"/>
              </w:rPr>
            </w:pPr>
            <w:r>
              <w:rPr>
                <w:sz w:val="20"/>
                <w:szCs w:val="20"/>
              </w:rPr>
              <w:t>2,689</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3CB261D1" w14:textId="193E3C1E" w:rsidR="000C58DC" w:rsidRPr="00674F0C" w:rsidRDefault="000C58DC" w:rsidP="000C58DC">
            <w:pPr>
              <w:jc w:val="center"/>
              <w:rPr>
                <w:sz w:val="20"/>
                <w:szCs w:val="20"/>
              </w:rPr>
            </w:pPr>
            <w:r>
              <w:rPr>
                <w:sz w:val="20"/>
                <w:szCs w:val="20"/>
              </w:rPr>
              <w:t>2,587</w:t>
            </w:r>
          </w:p>
        </w:tc>
        <w:tc>
          <w:tcPr>
            <w:tcW w:w="1406" w:type="dxa"/>
            <w:tcBorders>
              <w:top w:val="single" w:sz="4" w:space="0" w:color="auto"/>
              <w:left w:val="single" w:sz="4" w:space="0" w:color="auto"/>
              <w:bottom w:val="single" w:sz="4" w:space="0" w:color="auto"/>
              <w:right w:val="single" w:sz="4" w:space="0" w:color="auto"/>
            </w:tcBorders>
            <w:vAlign w:val="center"/>
          </w:tcPr>
          <w:p w14:paraId="225F5942" w14:textId="60D618E3" w:rsidR="000C58DC" w:rsidRPr="00F62C9B" w:rsidRDefault="000C58DC" w:rsidP="000C58DC">
            <w:pPr>
              <w:jc w:val="center"/>
              <w:rPr>
                <w:sz w:val="20"/>
                <w:szCs w:val="20"/>
              </w:rPr>
            </w:pPr>
          </w:p>
        </w:tc>
      </w:tr>
      <w:tr w:rsidR="000C58DC" w:rsidRPr="00E80EE2" w14:paraId="0177378B"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BA8D74" w14:textId="18030281" w:rsidR="000C58DC" w:rsidRPr="00674F0C" w:rsidRDefault="000C58DC" w:rsidP="000C58DC">
            <w:pPr>
              <w:rPr>
                <w:color w:val="000000"/>
                <w:sz w:val="20"/>
                <w:szCs w:val="20"/>
              </w:rPr>
            </w:pPr>
            <w:r>
              <w:rPr>
                <w:color w:val="000000"/>
                <w:sz w:val="20"/>
                <w:szCs w:val="20"/>
              </w:rPr>
              <w:tab/>
            </w:r>
            <w:r w:rsidRPr="00674F0C">
              <w:rPr>
                <w:color w:val="000000"/>
                <w:sz w:val="20"/>
                <w:szCs w:val="20"/>
              </w:rPr>
              <w:t>Early College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11D18D56" w14:textId="0928756F" w:rsidR="000C58DC" w:rsidRPr="00674F0C" w:rsidRDefault="000C58DC" w:rsidP="000C58DC">
            <w:pPr>
              <w:jc w:val="center"/>
              <w:rPr>
                <w:color w:val="000000"/>
                <w:sz w:val="20"/>
                <w:szCs w:val="20"/>
              </w:rPr>
            </w:pPr>
            <w:r>
              <w:rPr>
                <w:sz w:val="20"/>
                <w:szCs w:val="20"/>
              </w:rPr>
              <w:t>6,535</w:t>
            </w:r>
          </w:p>
        </w:tc>
        <w:tc>
          <w:tcPr>
            <w:tcW w:w="1319" w:type="dxa"/>
            <w:tcBorders>
              <w:top w:val="single" w:sz="4" w:space="0" w:color="auto"/>
              <w:left w:val="single" w:sz="4" w:space="0" w:color="auto"/>
              <w:bottom w:val="single" w:sz="4" w:space="0" w:color="auto"/>
              <w:right w:val="single" w:sz="4" w:space="0" w:color="auto"/>
            </w:tcBorders>
            <w:vAlign w:val="center"/>
          </w:tcPr>
          <w:p w14:paraId="2F27C8D3" w14:textId="702DDCDE" w:rsidR="000C58DC" w:rsidRPr="00674F0C" w:rsidRDefault="000C58DC" w:rsidP="000C58DC">
            <w:pPr>
              <w:jc w:val="center"/>
              <w:rPr>
                <w:color w:val="000000"/>
                <w:sz w:val="20"/>
                <w:szCs w:val="20"/>
              </w:rPr>
            </w:pPr>
            <w:r>
              <w:rPr>
                <w:sz w:val="20"/>
                <w:szCs w:val="20"/>
              </w:rPr>
              <w:t>7,115</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2450236A" w14:textId="2A7F1DAC" w:rsidR="000C58DC" w:rsidRPr="00674F0C" w:rsidRDefault="000C58DC" w:rsidP="000C58DC">
            <w:pPr>
              <w:jc w:val="center"/>
              <w:rPr>
                <w:sz w:val="20"/>
                <w:szCs w:val="20"/>
              </w:rPr>
            </w:pPr>
            <w:r>
              <w:rPr>
                <w:sz w:val="20"/>
                <w:szCs w:val="20"/>
              </w:rPr>
              <w:t>7,446</w:t>
            </w:r>
          </w:p>
        </w:tc>
        <w:tc>
          <w:tcPr>
            <w:tcW w:w="1406" w:type="dxa"/>
            <w:tcBorders>
              <w:top w:val="single" w:sz="4" w:space="0" w:color="auto"/>
              <w:left w:val="single" w:sz="4" w:space="0" w:color="auto"/>
              <w:bottom w:val="single" w:sz="4" w:space="0" w:color="auto"/>
              <w:right w:val="single" w:sz="4" w:space="0" w:color="auto"/>
            </w:tcBorders>
            <w:vAlign w:val="center"/>
          </w:tcPr>
          <w:p w14:paraId="316B6E67" w14:textId="7CEA6D0B" w:rsidR="000C58DC" w:rsidRPr="00F62C9B" w:rsidRDefault="000C58DC" w:rsidP="000C58DC">
            <w:pPr>
              <w:jc w:val="center"/>
              <w:rPr>
                <w:sz w:val="20"/>
                <w:szCs w:val="20"/>
              </w:rPr>
            </w:pPr>
          </w:p>
        </w:tc>
      </w:tr>
      <w:tr w:rsidR="000C58DC" w:rsidRPr="00E80EE2" w14:paraId="29564A17"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1256F6" w14:textId="4683CF60" w:rsidR="000C58DC" w:rsidRPr="00674F0C" w:rsidRDefault="000C58DC" w:rsidP="000C58DC">
            <w:pPr>
              <w:rPr>
                <w:color w:val="000000"/>
                <w:sz w:val="20"/>
                <w:szCs w:val="20"/>
              </w:rPr>
            </w:pPr>
            <w:r>
              <w:rPr>
                <w:color w:val="000000"/>
                <w:sz w:val="20"/>
                <w:szCs w:val="20"/>
              </w:rPr>
              <w:tab/>
            </w:r>
            <w:r w:rsidRPr="00674F0C">
              <w:rPr>
                <w:color w:val="000000"/>
                <w:sz w:val="20"/>
                <w:szCs w:val="20"/>
              </w:rPr>
              <w:t>Undergraduate (degree seeking)</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6E9ECE77" w14:textId="0901D5E7" w:rsidR="000C58DC" w:rsidRPr="00674F0C" w:rsidRDefault="000C58DC" w:rsidP="000C58DC">
            <w:pPr>
              <w:jc w:val="center"/>
              <w:rPr>
                <w:color w:val="000000"/>
                <w:sz w:val="20"/>
                <w:szCs w:val="20"/>
              </w:rPr>
            </w:pPr>
            <w:r>
              <w:rPr>
                <w:sz w:val="20"/>
                <w:szCs w:val="20"/>
              </w:rPr>
              <w:t>19,506</w:t>
            </w:r>
          </w:p>
        </w:tc>
        <w:tc>
          <w:tcPr>
            <w:tcW w:w="1319" w:type="dxa"/>
            <w:tcBorders>
              <w:top w:val="single" w:sz="4" w:space="0" w:color="auto"/>
              <w:left w:val="single" w:sz="4" w:space="0" w:color="auto"/>
              <w:bottom w:val="single" w:sz="4" w:space="0" w:color="auto"/>
              <w:right w:val="single" w:sz="4" w:space="0" w:color="auto"/>
            </w:tcBorders>
            <w:vAlign w:val="center"/>
          </w:tcPr>
          <w:p w14:paraId="5D63A6C9" w14:textId="2677B5D8" w:rsidR="000C58DC" w:rsidRPr="00674F0C" w:rsidRDefault="000C58DC" w:rsidP="000C58DC">
            <w:pPr>
              <w:jc w:val="center"/>
              <w:rPr>
                <w:color w:val="000000"/>
                <w:sz w:val="20"/>
                <w:szCs w:val="20"/>
              </w:rPr>
            </w:pPr>
            <w:r>
              <w:rPr>
                <w:sz w:val="20"/>
                <w:szCs w:val="20"/>
              </w:rPr>
              <w:t>19,309</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53025B17" w14:textId="5987D86A" w:rsidR="000C58DC" w:rsidRPr="00674F0C" w:rsidRDefault="000C58DC" w:rsidP="000C58DC">
            <w:pPr>
              <w:jc w:val="center"/>
              <w:rPr>
                <w:sz w:val="20"/>
                <w:szCs w:val="20"/>
              </w:rPr>
            </w:pPr>
            <w:r>
              <w:rPr>
                <w:sz w:val="20"/>
                <w:szCs w:val="20"/>
              </w:rPr>
              <w:t>19,440</w:t>
            </w:r>
          </w:p>
        </w:tc>
        <w:tc>
          <w:tcPr>
            <w:tcW w:w="1406" w:type="dxa"/>
            <w:tcBorders>
              <w:top w:val="single" w:sz="4" w:space="0" w:color="auto"/>
              <w:left w:val="single" w:sz="4" w:space="0" w:color="auto"/>
              <w:bottom w:val="single" w:sz="4" w:space="0" w:color="auto"/>
              <w:right w:val="single" w:sz="4" w:space="0" w:color="auto"/>
            </w:tcBorders>
            <w:vAlign w:val="center"/>
          </w:tcPr>
          <w:p w14:paraId="1C6D54AE" w14:textId="66B96858" w:rsidR="000C58DC" w:rsidRPr="00F62C9B" w:rsidRDefault="000C58DC" w:rsidP="000C58DC">
            <w:pPr>
              <w:jc w:val="center"/>
              <w:rPr>
                <w:sz w:val="20"/>
                <w:szCs w:val="20"/>
              </w:rPr>
            </w:pPr>
          </w:p>
        </w:tc>
      </w:tr>
      <w:tr w:rsidR="000C58DC" w:rsidRPr="00E80EE2" w14:paraId="15340DD5"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D5D1F0" w14:textId="06827AAB" w:rsidR="000C58DC" w:rsidRPr="00674F0C" w:rsidRDefault="000C58DC" w:rsidP="000C58DC">
            <w:pPr>
              <w:ind w:left="735" w:hanging="15"/>
              <w:rPr>
                <w:color w:val="000000"/>
                <w:sz w:val="20"/>
                <w:szCs w:val="20"/>
              </w:rPr>
            </w:pPr>
            <w:r w:rsidRPr="00674F0C">
              <w:rPr>
                <w:color w:val="000000"/>
                <w:sz w:val="20"/>
                <w:szCs w:val="20"/>
              </w:rPr>
              <w:t>Graduate (degree seeking)</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43E3AF7E" w14:textId="76D808E6" w:rsidR="000C58DC" w:rsidRPr="00674F0C" w:rsidRDefault="000C58DC" w:rsidP="000C58DC">
            <w:pPr>
              <w:jc w:val="center"/>
              <w:rPr>
                <w:color w:val="000000"/>
                <w:sz w:val="20"/>
                <w:szCs w:val="20"/>
              </w:rPr>
            </w:pPr>
            <w:r>
              <w:rPr>
                <w:sz w:val="20"/>
                <w:szCs w:val="20"/>
              </w:rPr>
              <w:t>3,793</w:t>
            </w:r>
          </w:p>
        </w:tc>
        <w:tc>
          <w:tcPr>
            <w:tcW w:w="1319" w:type="dxa"/>
            <w:tcBorders>
              <w:top w:val="single" w:sz="4" w:space="0" w:color="auto"/>
              <w:left w:val="single" w:sz="4" w:space="0" w:color="auto"/>
              <w:bottom w:val="single" w:sz="4" w:space="0" w:color="auto"/>
              <w:right w:val="single" w:sz="4" w:space="0" w:color="auto"/>
            </w:tcBorders>
            <w:vAlign w:val="center"/>
          </w:tcPr>
          <w:p w14:paraId="10D03D4F" w14:textId="58DA4921" w:rsidR="000C58DC" w:rsidRPr="00674F0C" w:rsidRDefault="000C58DC" w:rsidP="000C58DC">
            <w:pPr>
              <w:jc w:val="center"/>
              <w:rPr>
                <w:color w:val="000000"/>
                <w:sz w:val="20"/>
                <w:szCs w:val="20"/>
              </w:rPr>
            </w:pPr>
            <w:r>
              <w:rPr>
                <w:sz w:val="20"/>
                <w:szCs w:val="20"/>
              </w:rPr>
              <w:t>3,538</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1FCCAC95" w14:textId="49344E48" w:rsidR="000C58DC" w:rsidRPr="00674F0C" w:rsidRDefault="000C58DC" w:rsidP="000C58DC">
            <w:pPr>
              <w:jc w:val="center"/>
              <w:rPr>
                <w:sz w:val="20"/>
                <w:szCs w:val="20"/>
              </w:rPr>
            </w:pPr>
            <w:r>
              <w:rPr>
                <w:sz w:val="20"/>
                <w:szCs w:val="20"/>
              </w:rPr>
              <w:t>3,553</w:t>
            </w:r>
          </w:p>
        </w:tc>
        <w:tc>
          <w:tcPr>
            <w:tcW w:w="1406" w:type="dxa"/>
            <w:tcBorders>
              <w:top w:val="single" w:sz="4" w:space="0" w:color="auto"/>
              <w:left w:val="single" w:sz="4" w:space="0" w:color="auto"/>
              <w:bottom w:val="single" w:sz="4" w:space="0" w:color="auto"/>
              <w:right w:val="single" w:sz="4" w:space="0" w:color="auto"/>
            </w:tcBorders>
            <w:vAlign w:val="center"/>
          </w:tcPr>
          <w:p w14:paraId="0A05A267" w14:textId="57305A30" w:rsidR="000C58DC" w:rsidRPr="00F62C9B" w:rsidRDefault="000C58DC" w:rsidP="000C58DC">
            <w:pPr>
              <w:jc w:val="center"/>
              <w:rPr>
                <w:sz w:val="20"/>
                <w:szCs w:val="20"/>
              </w:rPr>
            </w:pPr>
          </w:p>
        </w:tc>
      </w:tr>
      <w:tr w:rsidR="000C58DC" w:rsidRPr="00E80EE2" w14:paraId="036C3ED3" w14:textId="77777777" w:rsidTr="000C58DC">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57E54" w14:textId="754C88F6" w:rsidR="000C58DC" w:rsidRPr="00F62C9B" w:rsidRDefault="000C58DC" w:rsidP="000C58DC">
            <w:pPr>
              <w:pStyle w:val="ListParagraph"/>
              <w:numPr>
                <w:ilvl w:val="0"/>
                <w:numId w:val="26"/>
              </w:numPr>
              <w:ind w:left="375"/>
              <w:rPr>
                <w:color w:val="000000"/>
                <w:sz w:val="20"/>
                <w:szCs w:val="20"/>
              </w:rPr>
            </w:pPr>
            <w:r w:rsidRPr="00F62C9B">
              <w:rPr>
                <w:color w:val="000000"/>
                <w:sz w:val="20"/>
                <w:szCs w:val="20"/>
              </w:rPr>
              <w:t>Student Credit Hours (SCH) by Level (Su, Fa, and Spr)</w:t>
            </w:r>
          </w:p>
        </w:tc>
      </w:tr>
      <w:tr w:rsidR="000C58DC" w:rsidRPr="00E80EE2" w14:paraId="71476258"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E41D" w14:textId="1D7B9648" w:rsidR="000C58DC" w:rsidRPr="00674F0C" w:rsidRDefault="000C58DC" w:rsidP="000C58DC">
            <w:pPr>
              <w:ind w:left="375"/>
              <w:rPr>
                <w:color w:val="000000"/>
                <w:sz w:val="20"/>
                <w:szCs w:val="20"/>
              </w:rPr>
            </w:pPr>
            <w:r w:rsidRPr="00674F0C">
              <w:rPr>
                <w:color w:val="000000"/>
                <w:sz w:val="20"/>
                <w:szCs w:val="20"/>
              </w:rPr>
              <w:t>Annual SCH Attempted (End of Term)</w:t>
            </w:r>
            <w:r>
              <w:rPr>
                <w:color w:val="000000"/>
                <w:sz w:val="20"/>
                <w:szCs w:val="20"/>
              </w:rPr>
              <w:t xml:space="preserve"> </w:t>
            </w:r>
            <w:r w:rsidRPr="00674F0C">
              <w:rPr>
                <w:color w:val="000000"/>
                <w:sz w:val="20"/>
                <w:szCs w:val="20"/>
              </w:rPr>
              <w:t>Total</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6BE626F7" w14:textId="62E1AF4F" w:rsidR="000C58DC" w:rsidRPr="00674F0C" w:rsidRDefault="000C58DC" w:rsidP="000C58DC">
            <w:pPr>
              <w:jc w:val="center"/>
              <w:rPr>
                <w:color w:val="000000"/>
                <w:sz w:val="20"/>
                <w:szCs w:val="20"/>
              </w:rPr>
            </w:pPr>
            <w:r>
              <w:rPr>
                <w:color w:val="000000"/>
                <w:sz w:val="20"/>
                <w:szCs w:val="20"/>
              </w:rPr>
              <w:t>540,851</w:t>
            </w:r>
          </w:p>
        </w:tc>
        <w:tc>
          <w:tcPr>
            <w:tcW w:w="1319" w:type="dxa"/>
            <w:tcBorders>
              <w:top w:val="single" w:sz="4" w:space="0" w:color="auto"/>
              <w:left w:val="single" w:sz="4" w:space="0" w:color="auto"/>
              <w:bottom w:val="single" w:sz="4" w:space="0" w:color="auto"/>
              <w:right w:val="single" w:sz="4" w:space="0" w:color="auto"/>
            </w:tcBorders>
            <w:vAlign w:val="center"/>
          </w:tcPr>
          <w:p w14:paraId="7771CA49" w14:textId="070F55C0" w:rsidR="000C58DC" w:rsidRPr="00674F0C" w:rsidRDefault="000C58DC" w:rsidP="000C58DC">
            <w:pPr>
              <w:jc w:val="center"/>
              <w:rPr>
                <w:color w:val="000000"/>
                <w:sz w:val="20"/>
                <w:szCs w:val="20"/>
              </w:rPr>
            </w:pPr>
            <w:r>
              <w:rPr>
                <w:color w:val="000000"/>
                <w:sz w:val="20"/>
                <w:szCs w:val="20"/>
              </w:rPr>
              <w:t>543,240</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636A5CC3" w14:textId="72595760" w:rsidR="000C58DC" w:rsidRPr="00674F0C" w:rsidRDefault="000C58DC" w:rsidP="000C58DC">
            <w:pPr>
              <w:jc w:val="center"/>
              <w:rPr>
                <w:color w:val="000000"/>
                <w:sz w:val="20"/>
                <w:szCs w:val="20"/>
              </w:rPr>
            </w:pPr>
            <w:r>
              <w:rPr>
                <w:color w:val="000000"/>
                <w:sz w:val="20"/>
                <w:szCs w:val="20"/>
              </w:rPr>
              <w:t>554,890</w:t>
            </w:r>
          </w:p>
        </w:tc>
        <w:tc>
          <w:tcPr>
            <w:tcW w:w="1406" w:type="dxa"/>
            <w:tcBorders>
              <w:top w:val="single" w:sz="4" w:space="0" w:color="auto"/>
              <w:left w:val="single" w:sz="4" w:space="0" w:color="auto"/>
              <w:bottom w:val="single" w:sz="4" w:space="0" w:color="auto"/>
              <w:right w:val="single" w:sz="4" w:space="0" w:color="auto"/>
            </w:tcBorders>
            <w:vAlign w:val="center"/>
          </w:tcPr>
          <w:p w14:paraId="027583A1" w14:textId="477FB6B7" w:rsidR="000C58DC" w:rsidRPr="00F62C9B" w:rsidRDefault="000C58DC" w:rsidP="000C58DC">
            <w:pPr>
              <w:jc w:val="center"/>
              <w:rPr>
                <w:color w:val="000000"/>
                <w:sz w:val="20"/>
                <w:szCs w:val="20"/>
              </w:rPr>
            </w:pPr>
          </w:p>
        </w:tc>
      </w:tr>
      <w:tr w:rsidR="000C58DC" w:rsidRPr="00E80EE2" w14:paraId="51981EE3"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C647" w14:textId="77777777" w:rsidR="000C58DC" w:rsidRPr="00674F0C" w:rsidRDefault="000C58DC" w:rsidP="000C58DC">
            <w:pPr>
              <w:ind w:left="735"/>
              <w:rPr>
                <w:color w:val="000000"/>
                <w:sz w:val="20"/>
                <w:szCs w:val="20"/>
              </w:rPr>
            </w:pPr>
            <w:r w:rsidRPr="00674F0C">
              <w:rPr>
                <w:color w:val="000000"/>
                <w:sz w:val="20"/>
                <w:szCs w:val="20"/>
              </w:rPr>
              <w:t>Professional Technical</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18876963" w14:textId="2A6B7E92" w:rsidR="000C58DC" w:rsidRPr="00674F0C" w:rsidRDefault="000C58DC" w:rsidP="000C58DC">
            <w:pPr>
              <w:jc w:val="center"/>
              <w:rPr>
                <w:color w:val="000000"/>
                <w:sz w:val="20"/>
                <w:szCs w:val="20"/>
              </w:rPr>
            </w:pPr>
            <w:r>
              <w:rPr>
                <w:color w:val="000000"/>
                <w:sz w:val="20"/>
                <w:szCs w:val="20"/>
              </w:rPr>
              <w:t>0</w:t>
            </w:r>
          </w:p>
        </w:tc>
        <w:tc>
          <w:tcPr>
            <w:tcW w:w="1319" w:type="dxa"/>
            <w:tcBorders>
              <w:top w:val="single" w:sz="4" w:space="0" w:color="auto"/>
              <w:left w:val="single" w:sz="4" w:space="0" w:color="auto"/>
              <w:bottom w:val="single" w:sz="4" w:space="0" w:color="auto"/>
              <w:right w:val="single" w:sz="4" w:space="0" w:color="auto"/>
            </w:tcBorders>
            <w:vAlign w:val="center"/>
          </w:tcPr>
          <w:p w14:paraId="1DE2BB68" w14:textId="78E36706" w:rsidR="000C58DC" w:rsidRPr="00674F0C" w:rsidRDefault="000C58DC" w:rsidP="000C58DC">
            <w:pPr>
              <w:jc w:val="center"/>
              <w:rPr>
                <w:color w:val="000000"/>
                <w:sz w:val="20"/>
                <w:szCs w:val="20"/>
              </w:rPr>
            </w:pPr>
            <w:r>
              <w:rPr>
                <w:color w:val="000000"/>
                <w:sz w:val="20"/>
                <w:szCs w:val="20"/>
              </w:rPr>
              <w:t>0</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1E3C405A" w14:textId="46F45607" w:rsidR="000C58DC" w:rsidRPr="00674F0C" w:rsidRDefault="000C58DC" w:rsidP="000C58DC">
            <w:pPr>
              <w:jc w:val="center"/>
              <w:rPr>
                <w:color w:val="000000"/>
                <w:sz w:val="20"/>
                <w:szCs w:val="20"/>
              </w:rPr>
            </w:pPr>
            <w:r>
              <w:rPr>
                <w:color w:val="000000"/>
                <w:sz w:val="20"/>
                <w:szCs w:val="20"/>
              </w:rPr>
              <w:t>0</w:t>
            </w:r>
          </w:p>
        </w:tc>
        <w:tc>
          <w:tcPr>
            <w:tcW w:w="1406" w:type="dxa"/>
            <w:tcBorders>
              <w:top w:val="single" w:sz="4" w:space="0" w:color="auto"/>
              <w:left w:val="single" w:sz="4" w:space="0" w:color="auto"/>
              <w:bottom w:val="single" w:sz="4" w:space="0" w:color="auto"/>
              <w:right w:val="single" w:sz="4" w:space="0" w:color="auto"/>
            </w:tcBorders>
            <w:vAlign w:val="center"/>
          </w:tcPr>
          <w:p w14:paraId="087D7FAF" w14:textId="05F8CFA9" w:rsidR="000C58DC" w:rsidRPr="00F62C9B" w:rsidRDefault="000C58DC" w:rsidP="000C58DC">
            <w:pPr>
              <w:jc w:val="center"/>
              <w:rPr>
                <w:color w:val="000000"/>
                <w:sz w:val="20"/>
                <w:szCs w:val="20"/>
              </w:rPr>
            </w:pPr>
          </w:p>
        </w:tc>
      </w:tr>
      <w:tr w:rsidR="000C58DC" w:rsidRPr="00E80EE2" w14:paraId="1584C81A"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5BAC9" w14:textId="77777777" w:rsidR="000C58DC" w:rsidRPr="00674F0C" w:rsidRDefault="000C58DC" w:rsidP="000C58DC">
            <w:pPr>
              <w:ind w:left="735"/>
              <w:rPr>
                <w:color w:val="000000"/>
                <w:sz w:val="20"/>
                <w:szCs w:val="20"/>
              </w:rPr>
            </w:pPr>
            <w:r w:rsidRPr="00674F0C">
              <w:rPr>
                <w:color w:val="000000"/>
                <w:sz w:val="20"/>
                <w:szCs w:val="20"/>
              </w:rPr>
              <w:t>Undergraduate credits</w:t>
            </w:r>
          </w:p>
        </w:tc>
        <w:tc>
          <w:tcPr>
            <w:tcW w:w="1349" w:type="dxa"/>
            <w:gridSpan w:val="2"/>
            <w:tcBorders>
              <w:top w:val="single" w:sz="4" w:space="0" w:color="auto"/>
              <w:left w:val="single" w:sz="4" w:space="0" w:color="auto"/>
              <w:bottom w:val="single" w:sz="4" w:space="0" w:color="auto"/>
              <w:right w:val="single" w:sz="4" w:space="0" w:color="auto"/>
            </w:tcBorders>
            <w:noWrap/>
          </w:tcPr>
          <w:p w14:paraId="2F3BA66F" w14:textId="42EC51E9" w:rsidR="000C58DC" w:rsidRPr="00674F0C" w:rsidRDefault="000C58DC" w:rsidP="000C58DC">
            <w:pPr>
              <w:jc w:val="center"/>
              <w:rPr>
                <w:color w:val="000000"/>
                <w:sz w:val="20"/>
                <w:szCs w:val="20"/>
              </w:rPr>
            </w:pPr>
            <w:r>
              <w:rPr>
                <w:color w:val="000000"/>
                <w:sz w:val="20"/>
                <w:szCs w:val="20"/>
              </w:rPr>
              <w:t>479,173</w:t>
            </w:r>
          </w:p>
        </w:tc>
        <w:tc>
          <w:tcPr>
            <w:tcW w:w="1319" w:type="dxa"/>
            <w:tcBorders>
              <w:top w:val="single" w:sz="4" w:space="0" w:color="auto"/>
              <w:left w:val="single" w:sz="4" w:space="0" w:color="auto"/>
              <w:bottom w:val="single" w:sz="4" w:space="0" w:color="auto"/>
              <w:right w:val="single" w:sz="4" w:space="0" w:color="auto"/>
            </w:tcBorders>
          </w:tcPr>
          <w:p w14:paraId="1E6CBC01" w14:textId="7F0F38F9" w:rsidR="000C58DC" w:rsidRPr="00674F0C" w:rsidRDefault="000C58DC" w:rsidP="000C58DC">
            <w:pPr>
              <w:jc w:val="center"/>
              <w:rPr>
                <w:color w:val="000000"/>
                <w:sz w:val="20"/>
                <w:szCs w:val="20"/>
              </w:rPr>
            </w:pPr>
            <w:r>
              <w:rPr>
                <w:color w:val="000000"/>
                <w:sz w:val="20"/>
                <w:szCs w:val="20"/>
              </w:rPr>
              <w:t>484,708</w:t>
            </w:r>
          </w:p>
        </w:tc>
        <w:tc>
          <w:tcPr>
            <w:tcW w:w="1379" w:type="dxa"/>
            <w:gridSpan w:val="2"/>
            <w:tcBorders>
              <w:top w:val="single" w:sz="4" w:space="0" w:color="auto"/>
              <w:left w:val="single" w:sz="4" w:space="0" w:color="auto"/>
              <w:bottom w:val="single" w:sz="4" w:space="0" w:color="auto"/>
              <w:right w:val="single" w:sz="4" w:space="0" w:color="auto"/>
            </w:tcBorders>
          </w:tcPr>
          <w:p w14:paraId="4C75375F" w14:textId="0609A6CA" w:rsidR="000C58DC" w:rsidRPr="00674F0C" w:rsidRDefault="000C58DC" w:rsidP="000C58DC">
            <w:pPr>
              <w:jc w:val="center"/>
              <w:rPr>
                <w:color w:val="000000"/>
                <w:sz w:val="20"/>
                <w:szCs w:val="20"/>
              </w:rPr>
            </w:pPr>
            <w:r>
              <w:rPr>
                <w:color w:val="000000"/>
                <w:sz w:val="20"/>
                <w:szCs w:val="20"/>
              </w:rPr>
              <w:t>495,577</w:t>
            </w:r>
          </w:p>
        </w:tc>
        <w:tc>
          <w:tcPr>
            <w:tcW w:w="1406" w:type="dxa"/>
            <w:tcBorders>
              <w:top w:val="single" w:sz="4" w:space="0" w:color="auto"/>
              <w:left w:val="single" w:sz="4" w:space="0" w:color="auto"/>
              <w:bottom w:val="single" w:sz="4" w:space="0" w:color="auto"/>
              <w:right w:val="single" w:sz="4" w:space="0" w:color="auto"/>
            </w:tcBorders>
          </w:tcPr>
          <w:p w14:paraId="47DA1C84" w14:textId="1472D8F5" w:rsidR="000C58DC" w:rsidRPr="00F62C9B" w:rsidRDefault="000C58DC" w:rsidP="000C58DC">
            <w:pPr>
              <w:jc w:val="center"/>
              <w:rPr>
                <w:color w:val="000000"/>
                <w:sz w:val="20"/>
                <w:szCs w:val="20"/>
              </w:rPr>
            </w:pPr>
          </w:p>
        </w:tc>
      </w:tr>
      <w:tr w:rsidR="000C58DC" w:rsidRPr="00E80EE2" w14:paraId="514E0555"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D4040" w14:textId="77777777" w:rsidR="000C58DC" w:rsidRPr="00674F0C" w:rsidRDefault="000C58DC" w:rsidP="000C58DC">
            <w:pPr>
              <w:ind w:left="735"/>
              <w:rPr>
                <w:color w:val="000000"/>
                <w:sz w:val="20"/>
                <w:szCs w:val="20"/>
              </w:rPr>
            </w:pPr>
            <w:r w:rsidRPr="00674F0C">
              <w:rPr>
                <w:color w:val="000000"/>
                <w:sz w:val="20"/>
                <w:szCs w:val="20"/>
              </w:rPr>
              <w:t>Graduate credits</w:t>
            </w:r>
          </w:p>
        </w:tc>
        <w:tc>
          <w:tcPr>
            <w:tcW w:w="1349" w:type="dxa"/>
            <w:gridSpan w:val="2"/>
            <w:tcBorders>
              <w:top w:val="single" w:sz="4" w:space="0" w:color="auto"/>
              <w:left w:val="single" w:sz="4" w:space="0" w:color="auto"/>
              <w:bottom w:val="single" w:sz="4" w:space="0" w:color="auto"/>
              <w:right w:val="single" w:sz="4" w:space="0" w:color="auto"/>
            </w:tcBorders>
            <w:noWrap/>
          </w:tcPr>
          <w:p w14:paraId="0B969093" w14:textId="132B270B" w:rsidR="000C58DC" w:rsidRPr="00674F0C" w:rsidRDefault="000C58DC" w:rsidP="000C58DC">
            <w:pPr>
              <w:jc w:val="center"/>
              <w:rPr>
                <w:color w:val="000000"/>
                <w:sz w:val="20"/>
                <w:szCs w:val="20"/>
              </w:rPr>
            </w:pPr>
            <w:r>
              <w:rPr>
                <w:color w:val="000000"/>
                <w:sz w:val="20"/>
                <w:szCs w:val="20"/>
              </w:rPr>
              <w:t>61,678</w:t>
            </w:r>
          </w:p>
        </w:tc>
        <w:tc>
          <w:tcPr>
            <w:tcW w:w="1319" w:type="dxa"/>
            <w:tcBorders>
              <w:top w:val="single" w:sz="4" w:space="0" w:color="auto"/>
              <w:left w:val="single" w:sz="4" w:space="0" w:color="auto"/>
              <w:bottom w:val="single" w:sz="4" w:space="0" w:color="auto"/>
              <w:right w:val="single" w:sz="4" w:space="0" w:color="auto"/>
            </w:tcBorders>
          </w:tcPr>
          <w:p w14:paraId="2A350928" w14:textId="79858D9C" w:rsidR="000C58DC" w:rsidRPr="00674F0C" w:rsidRDefault="000C58DC" w:rsidP="000C58DC">
            <w:pPr>
              <w:jc w:val="center"/>
              <w:rPr>
                <w:color w:val="000000"/>
                <w:sz w:val="20"/>
                <w:szCs w:val="20"/>
              </w:rPr>
            </w:pPr>
            <w:r>
              <w:rPr>
                <w:color w:val="000000"/>
                <w:sz w:val="20"/>
                <w:szCs w:val="20"/>
              </w:rPr>
              <w:t>58,532</w:t>
            </w:r>
          </w:p>
        </w:tc>
        <w:tc>
          <w:tcPr>
            <w:tcW w:w="1379" w:type="dxa"/>
            <w:gridSpan w:val="2"/>
            <w:tcBorders>
              <w:top w:val="single" w:sz="4" w:space="0" w:color="auto"/>
              <w:left w:val="single" w:sz="4" w:space="0" w:color="auto"/>
              <w:bottom w:val="single" w:sz="4" w:space="0" w:color="auto"/>
              <w:right w:val="single" w:sz="4" w:space="0" w:color="auto"/>
            </w:tcBorders>
          </w:tcPr>
          <w:p w14:paraId="4FAD0E62" w14:textId="139697DB" w:rsidR="000C58DC" w:rsidRPr="00674F0C" w:rsidRDefault="000C58DC" w:rsidP="000C58DC">
            <w:pPr>
              <w:jc w:val="center"/>
              <w:rPr>
                <w:color w:val="000000"/>
                <w:sz w:val="20"/>
                <w:szCs w:val="20"/>
              </w:rPr>
            </w:pPr>
            <w:r w:rsidRPr="00692238">
              <w:rPr>
                <w:color w:val="000000"/>
                <w:sz w:val="20"/>
                <w:szCs w:val="20"/>
              </w:rPr>
              <w:t>59</w:t>
            </w:r>
            <w:r>
              <w:rPr>
                <w:color w:val="000000"/>
                <w:sz w:val="20"/>
                <w:szCs w:val="20"/>
              </w:rPr>
              <w:t>,</w:t>
            </w:r>
            <w:r w:rsidRPr="00692238">
              <w:rPr>
                <w:color w:val="000000"/>
                <w:sz w:val="20"/>
                <w:szCs w:val="20"/>
              </w:rPr>
              <w:t>313</w:t>
            </w:r>
          </w:p>
        </w:tc>
        <w:tc>
          <w:tcPr>
            <w:tcW w:w="1406" w:type="dxa"/>
            <w:tcBorders>
              <w:top w:val="single" w:sz="4" w:space="0" w:color="auto"/>
              <w:left w:val="single" w:sz="4" w:space="0" w:color="auto"/>
              <w:bottom w:val="single" w:sz="4" w:space="0" w:color="auto"/>
              <w:right w:val="single" w:sz="4" w:space="0" w:color="auto"/>
            </w:tcBorders>
          </w:tcPr>
          <w:p w14:paraId="3D0DB10D" w14:textId="27336652" w:rsidR="000C58DC" w:rsidRPr="00F62C9B" w:rsidRDefault="000C58DC" w:rsidP="000C58DC">
            <w:pPr>
              <w:jc w:val="center"/>
              <w:rPr>
                <w:color w:val="000000"/>
                <w:sz w:val="20"/>
                <w:szCs w:val="20"/>
              </w:rPr>
            </w:pPr>
          </w:p>
        </w:tc>
      </w:tr>
      <w:tr w:rsidR="000C58DC" w:rsidRPr="00E80EE2" w14:paraId="4CB354FB"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324075" w14:textId="3CF9A7E9" w:rsidR="000C58DC" w:rsidRPr="00674F0C" w:rsidRDefault="000C58DC" w:rsidP="000C58DC">
            <w:pPr>
              <w:ind w:left="368"/>
              <w:rPr>
                <w:color w:val="000000"/>
                <w:sz w:val="20"/>
                <w:szCs w:val="20"/>
              </w:rPr>
            </w:pPr>
            <w:r w:rsidRPr="00674F0C">
              <w:rPr>
                <w:color w:val="000000"/>
                <w:sz w:val="20"/>
                <w:szCs w:val="20"/>
              </w:rPr>
              <w:t>Annual SCH Earned (End of Term)</w:t>
            </w:r>
            <w:r>
              <w:rPr>
                <w:color w:val="000000"/>
                <w:sz w:val="20"/>
                <w:szCs w:val="20"/>
              </w:rPr>
              <w:t xml:space="preserve"> </w:t>
            </w:r>
            <w:r w:rsidRPr="00674F0C">
              <w:rPr>
                <w:color w:val="000000"/>
                <w:sz w:val="20"/>
                <w:szCs w:val="20"/>
              </w:rPr>
              <w:t>Total</w:t>
            </w:r>
            <w:r w:rsidRPr="00674F0C">
              <w:rPr>
                <w:rStyle w:val="EndnoteReference"/>
                <w:color w:val="000000"/>
                <w:sz w:val="20"/>
                <w:szCs w:val="20"/>
              </w:rPr>
              <w:endnoteReference w:id="2"/>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47DFA4AA" w14:textId="736092B3" w:rsidR="000C58DC" w:rsidRPr="00674F0C" w:rsidRDefault="000C58DC" w:rsidP="000C58DC">
            <w:pPr>
              <w:jc w:val="center"/>
              <w:rPr>
                <w:sz w:val="20"/>
                <w:szCs w:val="20"/>
              </w:rPr>
            </w:pPr>
            <w:r>
              <w:rPr>
                <w:color w:val="000000"/>
                <w:sz w:val="20"/>
                <w:szCs w:val="20"/>
              </w:rPr>
              <w:t>472,518</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9BCF7A1" w14:textId="5AE8C780" w:rsidR="000C58DC" w:rsidRPr="00674F0C" w:rsidRDefault="000C58DC" w:rsidP="000C58DC">
            <w:pPr>
              <w:jc w:val="center"/>
              <w:rPr>
                <w:sz w:val="20"/>
                <w:szCs w:val="20"/>
              </w:rPr>
            </w:pPr>
            <w:r>
              <w:rPr>
                <w:sz w:val="20"/>
                <w:szCs w:val="20"/>
              </w:rPr>
              <w:t>480,912</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CE95" w14:textId="2F3A57B0" w:rsidR="000C58DC" w:rsidRPr="00674F0C" w:rsidRDefault="000C58DC" w:rsidP="000C58DC">
            <w:pPr>
              <w:jc w:val="center"/>
              <w:rPr>
                <w:sz w:val="20"/>
                <w:szCs w:val="20"/>
              </w:rPr>
            </w:pPr>
            <w:r w:rsidRPr="00C84CB2">
              <w:rPr>
                <w:sz w:val="20"/>
                <w:szCs w:val="20"/>
              </w:rPr>
              <w:t>493</w:t>
            </w:r>
            <w:r>
              <w:rPr>
                <w:sz w:val="20"/>
                <w:szCs w:val="20"/>
              </w:rPr>
              <w:t>,</w:t>
            </w:r>
            <w:r w:rsidRPr="00C84CB2">
              <w:rPr>
                <w:sz w:val="20"/>
                <w:szCs w:val="20"/>
              </w:rPr>
              <w:t>584</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925DD9B" w14:textId="18DC23B1" w:rsidR="000C58DC" w:rsidRPr="00F62C9B" w:rsidRDefault="000C58DC" w:rsidP="000C58DC">
            <w:pPr>
              <w:jc w:val="center"/>
              <w:rPr>
                <w:sz w:val="20"/>
                <w:szCs w:val="20"/>
              </w:rPr>
            </w:pPr>
          </w:p>
        </w:tc>
      </w:tr>
      <w:tr w:rsidR="000C58DC" w:rsidRPr="00E80EE2" w14:paraId="29EE301F"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CFFA93" w14:textId="77777777" w:rsidR="000C58DC" w:rsidRPr="00674F0C" w:rsidRDefault="000C58DC" w:rsidP="000C58DC">
            <w:pPr>
              <w:ind w:left="728"/>
              <w:rPr>
                <w:color w:val="000000"/>
                <w:sz w:val="20"/>
                <w:szCs w:val="20"/>
              </w:rPr>
            </w:pPr>
            <w:r w:rsidRPr="00674F0C">
              <w:rPr>
                <w:color w:val="000000"/>
                <w:sz w:val="20"/>
                <w:szCs w:val="20"/>
              </w:rPr>
              <w:t>Undergraduate credits</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43CCA7A1" w14:textId="570434D7" w:rsidR="000C58DC" w:rsidRPr="00674F0C" w:rsidRDefault="000C58DC" w:rsidP="000C58DC">
            <w:pPr>
              <w:jc w:val="center"/>
              <w:rPr>
                <w:sz w:val="20"/>
                <w:szCs w:val="20"/>
              </w:rPr>
            </w:pPr>
            <w:r>
              <w:rPr>
                <w:color w:val="000000"/>
                <w:sz w:val="20"/>
                <w:szCs w:val="20"/>
              </w:rPr>
              <w:t>416,496</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1D47973E" w14:textId="576C0022" w:rsidR="000C58DC" w:rsidRPr="00674F0C" w:rsidRDefault="000C58DC" w:rsidP="000C58DC">
            <w:pPr>
              <w:jc w:val="center"/>
              <w:rPr>
                <w:sz w:val="20"/>
                <w:szCs w:val="20"/>
              </w:rPr>
            </w:pPr>
            <w:r>
              <w:rPr>
                <w:sz w:val="20"/>
                <w:szCs w:val="20"/>
              </w:rPr>
              <w:t>427,698</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F180" w14:textId="654E04FF" w:rsidR="000C58DC" w:rsidRPr="00674F0C" w:rsidRDefault="000C58DC" w:rsidP="000C58DC">
            <w:pPr>
              <w:jc w:val="center"/>
              <w:rPr>
                <w:sz w:val="20"/>
                <w:szCs w:val="20"/>
              </w:rPr>
            </w:pPr>
            <w:r w:rsidRPr="00C84CB2">
              <w:rPr>
                <w:sz w:val="20"/>
                <w:szCs w:val="20"/>
              </w:rPr>
              <w:t>439</w:t>
            </w:r>
            <w:r>
              <w:rPr>
                <w:sz w:val="20"/>
                <w:szCs w:val="20"/>
              </w:rPr>
              <w:t>,</w:t>
            </w:r>
            <w:r w:rsidRPr="00C84CB2">
              <w:rPr>
                <w:sz w:val="20"/>
                <w:szCs w:val="20"/>
              </w:rPr>
              <w:t>696</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A1A9C62" w14:textId="44AB22D6" w:rsidR="000C58DC" w:rsidRPr="00F62C9B" w:rsidRDefault="000C58DC" w:rsidP="000C58DC">
            <w:pPr>
              <w:jc w:val="center"/>
              <w:rPr>
                <w:sz w:val="20"/>
                <w:szCs w:val="20"/>
              </w:rPr>
            </w:pPr>
          </w:p>
        </w:tc>
      </w:tr>
      <w:tr w:rsidR="000C58DC" w:rsidRPr="00E80EE2" w14:paraId="7C75C550" w14:textId="77777777" w:rsidTr="000C58DC">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B8EAE8" w14:textId="77777777" w:rsidR="000C58DC" w:rsidRPr="00674F0C" w:rsidRDefault="000C58DC" w:rsidP="000C58DC">
            <w:pPr>
              <w:ind w:left="728"/>
              <w:rPr>
                <w:color w:val="000000"/>
                <w:sz w:val="20"/>
                <w:szCs w:val="20"/>
              </w:rPr>
            </w:pPr>
            <w:r w:rsidRPr="00674F0C">
              <w:rPr>
                <w:color w:val="000000"/>
                <w:sz w:val="20"/>
                <w:szCs w:val="20"/>
              </w:rPr>
              <w:t>Graduate credits</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1E18915D" w14:textId="326EB4E7" w:rsidR="000C58DC" w:rsidRPr="00674F0C" w:rsidRDefault="000C58DC" w:rsidP="000C58DC">
            <w:pPr>
              <w:jc w:val="center"/>
              <w:rPr>
                <w:sz w:val="20"/>
                <w:szCs w:val="20"/>
              </w:rPr>
            </w:pPr>
            <w:r>
              <w:rPr>
                <w:color w:val="000000"/>
                <w:sz w:val="20"/>
                <w:szCs w:val="20"/>
              </w:rPr>
              <w:t>56,022</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2F8D5069" w14:textId="5C1EE173" w:rsidR="000C58DC" w:rsidRPr="00674F0C" w:rsidRDefault="000C58DC" w:rsidP="000C58DC">
            <w:pPr>
              <w:jc w:val="center"/>
              <w:rPr>
                <w:sz w:val="20"/>
                <w:szCs w:val="20"/>
              </w:rPr>
            </w:pPr>
            <w:r>
              <w:rPr>
                <w:sz w:val="20"/>
                <w:szCs w:val="20"/>
              </w:rPr>
              <w:t>53,214</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2ABC0" w14:textId="27BBE952" w:rsidR="000C58DC" w:rsidRPr="00674F0C" w:rsidRDefault="000C58DC" w:rsidP="000C58DC">
            <w:pPr>
              <w:jc w:val="center"/>
              <w:rPr>
                <w:sz w:val="20"/>
                <w:szCs w:val="20"/>
              </w:rPr>
            </w:pPr>
            <w:r w:rsidRPr="00C84CB2">
              <w:rPr>
                <w:sz w:val="20"/>
                <w:szCs w:val="20"/>
              </w:rPr>
              <w:t>53</w:t>
            </w:r>
            <w:r>
              <w:rPr>
                <w:sz w:val="20"/>
                <w:szCs w:val="20"/>
              </w:rPr>
              <w:t>,</w:t>
            </w:r>
            <w:r w:rsidRPr="00C84CB2">
              <w:rPr>
                <w:sz w:val="20"/>
                <w:szCs w:val="20"/>
              </w:rPr>
              <w:t>888</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D93DC44" w14:textId="2EB291C3" w:rsidR="000C58DC" w:rsidRPr="00F62C9B" w:rsidRDefault="000C58DC" w:rsidP="000C58DC">
            <w:pPr>
              <w:jc w:val="center"/>
              <w:rPr>
                <w:sz w:val="20"/>
                <w:szCs w:val="20"/>
              </w:rPr>
            </w:pPr>
          </w:p>
        </w:tc>
      </w:tr>
      <w:tr w:rsidR="000C58DC" w:rsidRPr="00E80EE2" w14:paraId="245DC43D" w14:textId="77777777" w:rsidTr="00396CD4">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76FCEB" w14:textId="2BBCC8ED" w:rsidR="000C58DC" w:rsidRPr="00674F0C" w:rsidRDefault="000C58DC" w:rsidP="000C58DC">
            <w:pPr>
              <w:ind w:left="368"/>
              <w:rPr>
                <w:color w:val="000000"/>
                <w:sz w:val="20"/>
                <w:szCs w:val="20"/>
              </w:rPr>
            </w:pPr>
            <w:r>
              <w:rPr>
                <w:color w:val="000000"/>
                <w:sz w:val="20"/>
                <w:szCs w:val="20"/>
              </w:rPr>
              <w:t xml:space="preserve">SCH earned as a % of Attempted </w:t>
            </w:r>
            <w:r w:rsidRPr="00674F0C">
              <w:rPr>
                <w:color w:val="000000"/>
                <w:sz w:val="20"/>
                <w:szCs w:val="20"/>
              </w:rPr>
              <w:t>Total</w:t>
            </w:r>
          </w:p>
        </w:tc>
        <w:tc>
          <w:tcPr>
            <w:tcW w:w="1349" w:type="dxa"/>
            <w:gridSpan w:val="2"/>
            <w:tcBorders>
              <w:top w:val="single" w:sz="4" w:space="0" w:color="auto"/>
              <w:left w:val="single" w:sz="4" w:space="0" w:color="auto"/>
              <w:bottom w:val="single" w:sz="4" w:space="0" w:color="auto"/>
              <w:right w:val="single" w:sz="4" w:space="0" w:color="auto"/>
            </w:tcBorders>
            <w:noWrap/>
            <w:vAlign w:val="bottom"/>
          </w:tcPr>
          <w:p w14:paraId="2ED1AEF8" w14:textId="7204E5CC" w:rsidR="000C58DC" w:rsidRPr="00674F0C" w:rsidRDefault="000C58DC" w:rsidP="000C58DC">
            <w:pPr>
              <w:jc w:val="center"/>
              <w:rPr>
                <w:color w:val="000000"/>
                <w:sz w:val="20"/>
                <w:szCs w:val="20"/>
              </w:rPr>
            </w:pPr>
            <w:r>
              <w:rPr>
                <w:color w:val="000000"/>
                <w:sz w:val="20"/>
                <w:szCs w:val="20"/>
              </w:rPr>
              <w:t>87.4%</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3D3233A4" w14:textId="40F0B620" w:rsidR="000C58DC" w:rsidRPr="00674F0C" w:rsidRDefault="000C58DC" w:rsidP="000C58DC">
            <w:pPr>
              <w:jc w:val="center"/>
              <w:rPr>
                <w:color w:val="000000"/>
                <w:sz w:val="20"/>
                <w:szCs w:val="20"/>
              </w:rPr>
            </w:pPr>
            <w:r>
              <w:rPr>
                <w:color w:val="000000"/>
                <w:sz w:val="20"/>
                <w:szCs w:val="20"/>
              </w:rPr>
              <w:t>88.5%</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49F3E25C" w14:textId="6D87BC91" w:rsidR="000C58DC" w:rsidRPr="00674F0C" w:rsidRDefault="000C58DC" w:rsidP="000C58DC">
            <w:pPr>
              <w:jc w:val="center"/>
              <w:rPr>
                <w:color w:val="000000"/>
                <w:sz w:val="20"/>
                <w:szCs w:val="20"/>
              </w:rPr>
            </w:pPr>
            <w:r w:rsidRPr="00692238">
              <w:rPr>
                <w:color w:val="000000"/>
                <w:sz w:val="20"/>
                <w:szCs w:val="20"/>
              </w:rPr>
              <w:t>88.9</w:t>
            </w:r>
            <w:r>
              <w:rPr>
                <w:color w:val="000000"/>
                <w:sz w:val="20"/>
                <w:szCs w:val="20"/>
              </w:rPr>
              <w:t>%</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C3FBDB6" w14:textId="61C43DD9" w:rsidR="000C58DC" w:rsidRPr="00F62C9B" w:rsidRDefault="000C58DC" w:rsidP="000C58DC">
            <w:pPr>
              <w:jc w:val="center"/>
              <w:rPr>
                <w:color w:val="000000"/>
                <w:sz w:val="20"/>
                <w:szCs w:val="20"/>
              </w:rPr>
            </w:pPr>
          </w:p>
        </w:tc>
      </w:tr>
      <w:tr w:rsidR="000C58DC" w:rsidRPr="00E80EE2" w14:paraId="45706E84" w14:textId="77777777" w:rsidTr="00396CD4">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3E18D3" w14:textId="77777777" w:rsidR="000C58DC" w:rsidRPr="00674F0C" w:rsidRDefault="000C58DC" w:rsidP="000C58DC">
            <w:pPr>
              <w:ind w:left="728"/>
              <w:rPr>
                <w:color w:val="000000"/>
                <w:sz w:val="20"/>
                <w:szCs w:val="20"/>
              </w:rPr>
            </w:pPr>
            <w:r w:rsidRPr="00674F0C">
              <w:rPr>
                <w:color w:val="000000"/>
                <w:sz w:val="20"/>
                <w:szCs w:val="20"/>
              </w:rPr>
              <w:t>Undergraduate credits</w:t>
            </w:r>
          </w:p>
        </w:tc>
        <w:tc>
          <w:tcPr>
            <w:tcW w:w="1349" w:type="dxa"/>
            <w:gridSpan w:val="2"/>
            <w:tcBorders>
              <w:top w:val="single" w:sz="4" w:space="0" w:color="auto"/>
              <w:left w:val="single" w:sz="4" w:space="0" w:color="auto"/>
              <w:bottom w:val="single" w:sz="4" w:space="0" w:color="auto"/>
              <w:right w:val="single" w:sz="4" w:space="0" w:color="auto"/>
            </w:tcBorders>
            <w:noWrap/>
            <w:vAlign w:val="bottom"/>
          </w:tcPr>
          <w:p w14:paraId="354B2720" w14:textId="1836D285" w:rsidR="000C58DC" w:rsidRPr="00674F0C" w:rsidRDefault="000C58DC" w:rsidP="000C58DC">
            <w:pPr>
              <w:jc w:val="center"/>
              <w:rPr>
                <w:color w:val="000000"/>
                <w:sz w:val="20"/>
                <w:szCs w:val="20"/>
              </w:rPr>
            </w:pPr>
            <w:r>
              <w:rPr>
                <w:color w:val="000000"/>
                <w:sz w:val="20"/>
                <w:szCs w:val="20"/>
              </w:rPr>
              <w:t>86.9%</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1F28D39D" w14:textId="0A36F204" w:rsidR="000C58DC" w:rsidRPr="00674F0C" w:rsidRDefault="000C58DC" w:rsidP="000C58DC">
            <w:pPr>
              <w:jc w:val="center"/>
              <w:rPr>
                <w:color w:val="000000"/>
                <w:sz w:val="20"/>
                <w:szCs w:val="20"/>
              </w:rPr>
            </w:pPr>
            <w:r>
              <w:rPr>
                <w:color w:val="000000"/>
                <w:sz w:val="20"/>
                <w:szCs w:val="20"/>
              </w:rPr>
              <w:t>88.2%</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7C4AF178" w14:textId="78EF31AE" w:rsidR="000C58DC" w:rsidRPr="00674F0C" w:rsidRDefault="000C58DC" w:rsidP="000C58DC">
            <w:pPr>
              <w:jc w:val="center"/>
              <w:rPr>
                <w:color w:val="000000"/>
                <w:sz w:val="20"/>
                <w:szCs w:val="20"/>
              </w:rPr>
            </w:pPr>
            <w:r w:rsidRPr="00692238">
              <w:rPr>
                <w:color w:val="000000"/>
                <w:sz w:val="20"/>
                <w:szCs w:val="20"/>
              </w:rPr>
              <w:t>88.7</w:t>
            </w:r>
            <w:r>
              <w:rPr>
                <w:color w:val="000000"/>
                <w:sz w:val="20"/>
                <w:szCs w:val="20"/>
              </w:rPr>
              <w:t>%</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21E74B7" w14:textId="67F862AC" w:rsidR="000C58DC" w:rsidRPr="00F62C9B" w:rsidRDefault="000C58DC" w:rsidP="000C58DC">
            <w:pPr>
              <w:jc w:val="center"/>
              <w:rPr>
                <w:color w:val="000000"/>
                <w:sz w:val="20"/>
                <w:szCs w:val="20"/>
              </w:rPr>
            </w:pPr>
          </w:p>
        </w:tc>
      </w:tr>
      <w:tr w:rsidR="000C58DC" w:rsidRPr="00E80EE2" w14:paraId="4B5412E7" w14:textId="77777777" w:rsidTr="00396CD4">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4C9639" w14:textId="77777777" w:rsidR="000C58DC" w:rsidRPr="00674F0C" w:rsidRDefault="000C58DC" w:rsidP="000C58DC">
            <w:pPr>
              <w:ind w:left="728"/>
              <w:rPr>
                <w:color w:val="000000"/>
                <w:sz w:val="20"/>
                <w:szCs w:val="20"/>
              </w:rPr>
            </w:pPr>
            <w:r w:rsidRPr="00674F0C">
              <w:rPr>
                <w:color w:val="000000"/>
                <w:sz w:val="20"/>
                <w:szCs w:val="20"/>
              </w:rPr>
              <w:t>Graduate credits</w:t>
            </w:r>
          </w:p>
        </w:tc>
        <w:tc>
          <w:tcPr>
            <w:tcW w:w="1349" w:type="dxa"/>
            <w:gridSpan w:val="2"/>
            <w:tcBorders>
              <w:top w:val="single" w:sz="4" w:space="0" w:color="auto"/>
              <w:left w:val="single" w:sz="4" w:space="0" w:color="auto"/>
              <w:bottom w:val="single" w:sz="4" w:space="0" w:color="auto"/>
              <w:right w:val="single" w:sz="4" w:space="0" w:color="auto"/>
            </w:tcBorders>
            <w:noWrap/>
            <w:vAlign w:val="bottom"/>
          </w:tcPr>
          <w:p w14:paraId="662BBB22" w14:textId="5F856F65" w:rsidR="000C58DC" w:rsidRPr="00674F0C" w:rsidRDefault="000C58DC" w:rsidP="000C58DC">
            <w:pPr>
              <w:jc w:val="center"/>
              <w:rPr>
                <w:color w:val="000000"/>
                <w:sz w:val="20"/>
                <w:szCs w:val="20"/>
              </w:rPr>
            </w:pPr>
            <w:r>
              <w:rPr>
                <w:color w:val="000000"/>
                <w:sz w:val="20"/>
                <w:szCs w:val="20"/>
              </w:rPr>
              <w:t>90.8%</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14:paraId="36B6EA8F" w14:textId="1D0F500F" w:rsidR="000C58DC" w:rsidRPr="00674F0C" w:rsidRDefault="000C58DC" w:rsidP="000C58DC">
            <w:pPr>
              <w:jc w:val="center"/>
              <w:rPr>
                <w:color w:val="000000"/>
                <w:sz w:val="20"/>
                <w:szCs w:val="20"/>
              </w:rPr>
            </w:pPr>
            <w:r>
              <w:rPr>
                <w:color w:val="000000"/>
                <w:sz w:val="20"/>
                <w:szCs w:val="20"/>
              </w:rPr>
              <w:t>90.9%</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2251364F" w14:textId="6F7F052C" w:rsidR="000C58DC" w:rsidRPr="00674F0C" w:rsidRDefault="000C58DC" w:rsidP="000C58DC">
            <w:pPr>
              <w:jc w:val="center"/>
              <w:rPr>
                <w:color w:val="000000"/>
                <w:sz w:val="20"/>
                <w:szCs w:val="20"/>
              </w:rPr>
            </w:pPr>
            <w:r w:rsidRPr="00692238">
              <w:rPr>
                <w:color w:val="000000"/>
                <w:sz w:val="20"/>
                <w:szCs w:val="20"/>
              </w:rPr>
              <w:t>90.9</w:t>
            </w:r>
            <w:r>
              <w:rPr>
                <w:color w:val="000000"/>
                <w:sz w:val="20"/>
                <w:szCs w:val="20"/>
              </w:rPr>
              <w:t>%</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9D3DAE" w14:textId="384224C3" w:rsidR="000C58DC" w:rsidRPr="00F62C9B" w:rsidRDefault="000C58DC" w:rsidP="000C58DC">
            <w:pPr>
              <w:jc w:val="center"/>
              <w:rPr>
                <w:color w:val="000000"/>
                <w:sz w:val="20"/>
                <w:szCs w:val="20"/>
              </w:rPr>
            </w:pPr>
          </w:p>
        </w:tc>
      </w:tr>
      <w:tr w:rsidR="000C58DC" w:rsidRPr="00E80EE2" w14:paraId="2C4716AD" w14:textId="77777777" w:rsidTr="000C58DC">
        <w:tblPrEx>
          <w:tblCellMar>
            <w:left w:w="115" w:type="dxa"/>
            <w:right w:w="115" w:type="dxa"/>
          </w:tblCellMar>
        </w:tblPrEx>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07D3" w14:textId="5C2EDCD9" w:rsidR="000C58DC" w:rsidRPr="00C73FF0" w:rsidRDefault="000C58DC" w:rsidP="000C58DC">
            <w:pPr>
              <w:pStyle w:val="ListParagraph"/>
              <w:numPr>
                <w:ilvl w:val="0"/>
                <w:numId w:val="26"/>
              </w:numPr>
              <w:ind w:left="368"/>
              <w:rPr>
                <w:color w:val="000000"/>
                <w:sz w:val="20"/>
                <w:szCs w:val="20"/>
              </w:rPr>
            </w:pPr>
            <w:r>
              <w:rPr>
                <w:color w:val="000000"/>
                <w:sz w:val="20"/>
                <w:szCs w:val="20"/>
              </w:rPr>
              <w:t>Dual (Concurrent)</w:t>
            </w:r>
            <w:r w:rsidRPr="00C73FF0">
              <w:rPr>
                <w:color w:val="000000"/>
                <w:sz w:val="20"/>
                <w:szCs w:val="20"/>
              </w:rPr>
              <w:t xml:space="preserve"> Enrollment</w:t>
            </w:r>
            <w:r w:rsidRPr="00674F0C">
              <w:rPr>
                <w:rStyle w:val="EndnoteReference"/>
                <w:color w:val="000000"/>
                <w:sz w:val="20"/>
                <w:szCs w:val="20"/>
              </w:rPr>
              <w:endnoteReference w:id="3"/>
            </w:r>
            <w:r w:rsidRPr="00C73FF0">
              <w:rPr>
                <w:color w:val="000000"/>
                <w:sz w:val="20"/>
                <w:szCs w:val="20"/>
              </w:rPr>
              <w:t xml:space="preserve"> and Distance Education</w:t>
            </w:r>
            <w:r w:rsidRPr="00674F0C">
              <w:rPr>
                <w:rStyle w:val="EndnoteReference"/>
                <w:color w:val="000000"/>
                <w:sz w:val="20"/>
                <w:szCs w:val="20"/>
              </w:rPr>
              <w:endnoteReference w:id="4"/>
            </w:r>
          </w:p>
        </w:tc>
      </w:tr>
      <w:tr w:rsidR="000C58DC" w:rsidRPr="00E80EE2" w14:paraId="47352A13"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A96A" w14:textId="1741BC08" w:rsidR="000C58DC" w:rsidRPr="00674F0C" w:rsidRDefault="000C58DC" w:rsidP="000C58DC">
            <w:pPr>
              <w:ind w:left="368"/>
              <w:rPr>
                <w:color w:val="000000"/>
                <w:sz w:val="20"/>
                <w:szCs w:val="20"/>
              </w:rPr>
            </w:pPr>
            <w:r>
              <w:rPr>
                <w:color w:val="000000"/>
                <w:sz w:val="20"/>
                <w:szCs w:val="20"/>
              </w:rPr>
              <w:t>Dual (Concurrent)</w:t>
            </w:r>
            <w:r w:rsidRPr="00674F0C">
              <w:rPr>
                <w:color w:val="000000"/>
                <w:sz w:val="20"/>
                <w:szCs w:val="20"/>
              </w:rPr>
              <w:t xml:space="preserve"> Enrollment</w:t>
            </w:r>
            <w:r>
              <w:rPr>
                <w:color w:val="000000"/>
                <w:sz w:val="20"/>
                <w:szCs w:val="20"/>
              </w:rPr>
              <w:t xml:space="preserve"> Annual</w:t>
            </w:r>
            <w:r w:rsidRPr="00674F0C">
              <w:rPr>
                <w:color w:val="000000"/>
                <w:sz w:val="20"/>
                <w:szCs w:val="20"/>
              </w:rPr>
              <w:t xml:space="preserve"> Student Credit Hours</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5E9914AF" w14:textId="503AD11F" w:rsidR="000C58DC" w:rsidRPr="00674F0C" w:rsidRDefault="000C58DC" w:rsidP="000C58DC">
            <w:pPr>
              <w:jc w:val="center"/>
              <w:rPr>
                <w:color w:val="000000"/>
                <w:sz w:val="20"/>
                <w:szCs w:val="20"/>
              </w:rPr>
            </w:pPr>
            <w:r>
              <w:rPr>
                <w:color w:val="000000"/>
                <w:sz w:val="20"/>
                <w:szCs w:val="20"/>
              </w:rPr>
              <w:t>29,920</w:t>
            </w:r>
          </w:p>
        </w:tc>
        <w:tc>
          <w:tcPr>
            <w:tcW w:w="1319" w:type="dxa"/>
            <w:tcBorders>
              <w:top w:val="single" w:sz="4" w:space="0" w:color="auto"/>
              <w:left w:val="single" w:sz="4" w:space="0" w:color="auto"/>
              <w:bottom w:val="single" w:sz="4" w:space="0" w:color="auto"/>
              <w:right w:val="single" w:sz="4" w:space="0" w:color="auto"/>
            </w:tcBorders>
            <w:vAlign w:val="center"/>
          </w:tcPr>
          <w:p w14:paraId="31BB5ADC" w14:textId="7B75837A" w:rsidR="000C58DC" w:rsidRPr="00674F0C" w:rsidRDefault="000C58DC" w:rsidP="000C58DC">
            <w:pPr>
              <w:jc w:val="center"/>
              <w:rPr>
                <w:color w:val="000000"/>
                <w:sz w:val="20"/>
                <w:szCs w:val="20"/>
              </w:rPr>
            </w:pPr>
            <w:r>
              <w:rPr>
                <w:color w:val="000000"/>
                <w:sz w:val="20"/>
                <w:szCs w:val="20"/>
              </w:rPr>
              <w:t>32,849</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7B99893A" w14:textId="6641CAC4" w:rsidR="000C58DC" w:rsidRPr="00C869E5" w:rsidRDefault="000C58DC" w:rsidP="000C58DC">
            <w:pPr>
              <w:jc w:val="center"/>
              <w:rPr>
                <w:color w:val="000000"/>
                <w:sz w:val="20"/>
                <w:szCs w:val="20"/>
              </w:rPr>
            </w:pPr>
            <w:r>
              <w:rPr>
                <w:color w:val="000000"/>
                <w:sz w:val="20"/>
                <w:szCs w:val="20"/>
              </w:rPr>
              <w:t>37,084</w:t>
            </w:r>
          </w:p>
        </w:tc>
        <w:tc>
          <w:tcPr>
            <w:tcW w:w="1406" w:type="dxa"/>
            <w:tcBorders>
              <w:top w:val="single" w:sz="4" w:space="0" w:color="auto"/>
              <w:left w:val="single" w:sz="4" w:space="0" w:color="auto"/>
              <w:bottom w:val="single" w:sz="4" w:space="0" w:color="auto"/>
              <w:right w:val="single" w:sz="4" w:space="0" w:color="auto"/>
            </w:tcBorders>
            <w:vAlign w:val="center"/>
          </w:tcPr>
          <w:p w14:paraId="4C327812" w14:textId="265AA556" w:rsidR="000C58DC" w:rsidRPr="00F62C9B" w:rsidRDefault="000C58DC" w:rsidP="000C58DC">
            <w:pPr>
              <w:jc w:val="center"/>
              <w:rPr>
                <w:color w:val="000000"/>
                <w:sz w:val="20"/>
                <w:szCs w:val="20"/>
              </w:rPr>
            </w:pPr>
          </w:p>
        </w:tc>
      </w:tr>
      <w:tr w:rsidR="000C58DC" w:rsidRPr="00E80EE2" w14:paraId="0A20719C"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E514" w14:textId="719EA3BB" w:rsidR="000C58DC" w:rsidRPr="00674F0C" w:rsidRDefault="000C58DC" w:rsidP="000C58DC">
            <w:pPr>
              <w:ind w:left="368"/>
              <w:rPr>
                <w:color w:val="000000"/>
                <w:sz w:val="20"/>
                <w:szCs w:val="20"/>
              </w:rPr>
            </w:pPr>
            <w:r>
              <w:rPr>
                <w:color w:val="000000"/>
                <w:sz w:val="20"/>
                <w:szCs w:val="20"/>
              </w:rPr>
              <w:t>Dual (Concurrent)</w:t>
            </w:r>
            <w:r w:rsidRPr="00674F0C">
              <w:rPr>
                <w:color w:val="000000"/>
                <w:sz w:val="20"/>
                <w:szCs w:val="20"/>
              </w:rPr>
              <w:t xml:space="preserve"> Enrollment </w:t>
            </w:r>
            <w:r>
              <w:rPr>
                <w:color w:val="000000"/>
                <w:sz w:val="20"/>
                <w:szCs w:val="20"/>
              </w:rPr>
              <w:t xml:space="preserve">Annual </w:t>
            </w:r>
            <w:r w:rsidRPr="00674F0C">
              <w:rPr>
                <w:color w:val="000000"/>
                <w:sz w:val="20"/>
                <w:szCs w:val="20"/>
              </w:rPr>
              <w:t>Distinct Students</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40B029BA" w14:textId="5262271D" w:rsidR="000C58DC" w:rsidRPr="00674F0C" w:rsidRDefault="000C58DC" w:rsidP="000C58DC">
            <w:pPr>
              <w:jc w:val="center"/>
              <w:rPr>
                <w:color w:val="000000"/>
                <w:sz w:val="20"/>
                <w:szCs w:val="20"/>
              </w:rPr>
            </w:pPr>
            <w:r>
              <w:rPr>
                <w:color w:val="000000"/>
                <w:sz w:val="20"/>
                <w:szCs w:val="20"/>
              </w:rPr>
              <w:t>6,543</w:t>
            </w:r>
          </w:p>
        </w:tc>
        <w:tc>
          <w:tcPr>
            <w:tcW w:w="1319" w:type="dxa"/>
            <w:tcBorders>
              <w:top w:val="single" w:sz="4" w:space="0" w:color="auto"/>
              <w:left w:val="single" w:sz="4" w:space="0" w:color="auto"/>
              <w:bottom w:val="single" w:sz="4" w:space="0" w:color="auto"/>
              <w:right w:val="single" w:sz="4" w:space="0" w:color="auto"/>
            </w:tcBorders>
            <w:vAlign w:val="center"/>
          </w:tcPr>
          <w:p w14:paraId="413D88E8" w14:textId="1A8354D6" w:rsidR="000C58DC" w:rsidRPr="00674F0C" w:rsidRDefault="000C58DC" w:rsidP="000C58DC">
            <w:pPr>
              <w:jc w:val="center"/>
              <w:rPr>
                <w:color w:val="000000"/>
                <w:sz w:val="20"/>
                <w:szCs w:val="20"/>
              </w:rPr>
            </w:pPr>
            <w:r>
              <w:rPr>
                <w:color w:val="000000"/>
                <w:sz w:val="20"/>
                <w:szCs w:val="20"/>
              </w:rPr>
              <w:t>7,117</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70B9F8EE" w14:textId="3B5A4C4A" w:rsidR="000C58DC" w:rsidRPr="00C869E5" w:rsidRDefault="000C58DC" w:rsidP="000C58DC">
            <w:pPr>
              <w:jc w:val="center"/>
              <w:rPr>
                <w:color w:val="000000"/>
                <w:sz w:val="20"/>
                <w:szCs w:val="20"/>
              </w:rPr>
            </w:pPr>
            <w:r>
              <w:rPr>
                <w:color w:val="000000"/>
                <w:sz w:val="20"/>
                <w:szCs w:val="20"/>
              </w:rPr>
              <w:t>7,450</w:t>
            </w:r>
          </w:p>
        </w:tc>
        <w:tc>
          <w:tcPr>
            <w:tcW w:w="1406" w:type="dxa"/>
            <w:tcBorders>
              <w:top w:val="single" w:sz="4" w:space="0" w:color="auto"/>
              <w:left w:val="single" w:sz="4" w:space="0" w:color="auto"/>
              <w:bottom w:val="single" w:sz="4" w:space="0" w:color="auto"/>
              <w:right w:val="single" w:sz="4" w:space="0" w:color="auto"/>
            </w:tcBorders>
            <w:vAlign w:val="center"/>
          </w:tcPr>
          <w:p w14:paraId="298FBBB2" w14:textId="495ACF3E" w:rsidR="000C58DC" w:rsidRPr="00F62C9B" w:rsidRDefault="000C58DC" w:rsidP="000C58DC">
            <w:pPr>
              <w:jc w:val="center"/>
              <w:rPr>
                <w:color w:val="000000"/>
                <w:sz w:val="20"/>
                <w:szCs w:val="20"/>
              </w:rPr>
            </w:pPr>
          </w:p>
        </w:tc>
      </w:tr>
      <w:tr w:rsidR="000C58DC" w:rsidRPr="00E80EE2" w14:paraId="604549CF"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B32E43" w14:textId="3B9631F8" w:rsidR="000C58DC" w:rsidRPr="00674F0C" w:rsidRDefault="000C58DC" w:rsidP="000C58DC">
            <w:pPr>
              <w:ind w:left="368"/>
              <w:rPr>
                <w:color w:val="000000"/>
                <w:sz w:val="20"/>
                <w:szCs w:val="20"/>
              </w:rPr>
            </w:pPr>
            <w:r w:rsidRPr="00674F0C">
              <w:rPr>
                <w:color w:val="000000"/>
                <w:sz w:val="20"/>
                <w:szCs w:val="20"/>
              </w:rPr>
              <w:t xml:space="preserve">Distance Education </w:t>
            </w:r>
            <w:r>
              <w:rPr>
                <w:color w:val="000000"/>
                <w:sz w:val="20"/>
                <w:szCs w:val="20"/>
              </w:rPr>
              <w:t xml:space="preserve">Annual </w:t>
            </w:r>
            <w:r w:rsidRPr="00674F0C">
              <w:rPr>
                <w:color w:val="000000"/>
                <w:sz w:val="20"/>
                <w:szCs w:val="20"/>
              </w:rPr>
              <w:t>Student Credit Hours</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0A0289D9" w14:textId="79D5575B" w:rsidR="000C58DC" w:rsidRPr="00674F0C" w:rsidRDefault="000C58DC" w:rsidP="000C58DC">
            <w:pPr>
              <w:jc w:val="center"/>
              <w:rPr>
                <w:color w:val="000000"/>
                <w:sz w:val="20"/>
                <w:szCs w:val="20"/>
              </w:rPr>
            </w:pPr>
            <w:r>
              <w:rPr>
                <w:color w:val="000000"/>
                <w:sz w:val="20"/>
                <w:szCs w:val="20"/>
              </w:rPr>
              <w:t>239,088</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1E6F0494" w14:textId="08854203" w:rsidR="000C58DC" w:rsidRPr="00674F0C" w:rsidRDefault="000C58DC" w:rsidP="000C58DC">
            <w:pPr>
              <w:jc w:val="center"/>
              <w:rPr>
                <w:color w:val="000000"/>
                <w:sz w:val="20"/>
                <w:szCs w:val="20"/>
              </w:rPr>
            </w:pPr>
            <w:r>
              <w:rPr>
                <w:color w:val="000000"/>
                <w:sz w:val="20"/>
                <w:szCs w:val="20"/>
              </w:rPr>
              <w:t>216,196</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F64D4" w14:textId="7B421B9E" w:rsidR="000C58DC" w:rsidRPr="00674F0C" w:rsidRDefault="000C58DC" w:rsidP="000C58DC">
            <w:pPr>
              <w:jc w:val="center"/>
              <w:rPr>
                <w:color w:val="000000"/>
                <w:sz w:val="20"/>
                <w:szCs w:val="20"/>
              </w:rPr>
            </w:pPr>
            <w:r w:rsidRPr="00274C45">
              <w:rPr>
                <w:color w:val="000000"/>
                <w:sz w:val="20"/>
                <w:szCs w:val="20"/>
              </w:rPr>
              <w:t>215</w:t>
            </w:r>
            <w:r>
              <w:rPr>
                <w:color w:val="000000"/>
                <w:sz w:val="20"/>
                <w:szCs w:val="20"/>
              </w:rPr>
              <w:t>,</w:t>
            </w:r>
            <w:r w:rsidRPr="00274C45">
              <w:rPr>
                <w:color w:val="000000"/>
                <w:sz w:val="20"/>
                <w:szCs w:val="20"/>
              </w:rPr>
              <w:t>616</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D9BE24B" w14:textId="1F7AE644" w:rsidR="000C58DC" w:rsidRPr="00F62C9B" w:rsidRDefault="000C58DC" w:rsidP="000C58DC">
            <w:pPr>
              <w:jc w:val="center"/>
              <w:rPr>
                <w:color w:val="000000"/>
                <w:sz w:val="20"/>
                <w:szCs w:val="20"/>
              </w:rPr>
            </w:pPr>
          </w:p>
        </w:tc>
      </w:tr>
      <w:tr w:rsidR="000C58DC" w:rsidRPr="00E80EE2" w14:paraId="44106903"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2D800F" w14:textId="374939DC" w:rsidR="000C58DC" w:rsidRPr="00674F0C" w:rsidRDefault="000C58DC" w:rsidP="000C58DC">
            <w:pPr>
              <w:ind w:left="368"/>
              <w:rPr>
                <w:color w:val="000000"/>
                <w:sz w:val="20"/>
                <w:szCs w:val="20"/>
              </w:rPr>
            </w:pPr>
            <w:r w:rsidRPr="00674F0C">
              <w:rPr>
                <w:color w:val="000000"/>
                <w:sz w:val="20"/>
                <w:szCs w:val="20"/>
              </w:rPr>
              <w:t xml:space="preserve">Distance Education </w:t>
            </w:r>
            <w:r>
              <w:rPr>
                <w:color w:val="000000"/>
                <w:sz w:val="20"/>
                <w:szCs w:val="20"/>
              </w:rPr>
              <w:t xml:space="preserve">Annual </w:t>
            </w:r>
            <w:r w:rsidRPr="00674F0C">
              <w:rPr>
                <w:color w:val="000000"/>
                <w:sz w:val="20"/>
                <w:szCs w:val="20"/>
              </w:rPr>
              <w:t>Distinct Students Enrolled</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3596B4F0" w14:textId="21D2DEF1" w:rsidR="000C58DC" w:rsidRPr="00674F0C" w:rsidRDefault="000C58DC" w:rsidP="000C58DC">
            <w:pPr>
              <w:jc w:val="center"/>
              <w:rPr>
                <w:color w:val="000000"/>
                <w:sz w:val="20"/>
                <w:szCs w:val="20"/>
              </w:rPr>
            </w:pPr>
            <w:r>
              <w:rPr>
                <w:color w:val="000000"/>
                <w:sz w:val="20"/>
                <w:szCs w:val="20"/>
              </w:rPr>
              <w:t>23,526</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1A82DD5" w14:textId="31BF790D" w:rsidR="000C58DC" w:rsidRPr="00674F0C" w:rsidRDefault="000C58DC" w:rsidP="000C58DC">
            <w:pPr>
              <w:jc w:val="center"/>
              <w:rPr>
                <w:color w:val="000000"/>
                <w:sz w:val="20"/>
                <w:szCs w:val="20"/>
              </w:rPr>
            </w:pPr>
            <w:r>
              <w:rPr>
                <w:color w:val="000000"/>
                <w:sz w:val="20"/>
                <w:szCs w:val="20"/>
              </w:rPr>
              <w:t>22,057</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32BA1" w14:textId="1993B5BA" w:rsidR="000C58DC" w:rsidRPr="00674F0C" w:rsidRDefault="000C58DC" w:rsidP="000C58DC">
            <w:pPr>
              <w:jc w:val="center"/>
              <w:rPr>
                <w:color w:val="000000"/>
                <w:sz w:val="20"/>
                <w:szCs w:val="20"/>
              </w:rPr>
            </w:pPr>
            <w:bookmarkStart w:id="3" w:name="_Hlk173413281"/>
            <w:r w:rsidRPr="00274C45">
              <w:rPr>
                <w:color w:val="000000"/>
                <w:sz w:val="20"/>
                <w:szCs w:val="20"/>
              </w:rPr>
              <w:t>21</w:t>
            </w:r>
            <w:r>
              <w:rPr>
                <w:color w:val="000000"/>
                <w:sz w:val="20"/>
                <w:szCs w:val="20"/>
              </w:rPr>
              <w:t>,</w:t>
            </w:r>
            <w:r w:rsidRPr="00274C45">
              <w:rPr>
                <w:color w:val="000000"/>
                <w:sz w:val="20"/>
                <w:szCs w:val="20"/>
              </w:rPr>
              <w:t>692</w:t>
            </w:r>
            <w:bookmarkEnd w:id="3"/>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ADDA505" w14:textId="2914F5C0" w:rsidR="000C58DC" w:rsidRPr="00F62C9B" w:rsidRDefault="000C58DC" w:rsidP="000C58DC">
            <w:pPr>
              <w:jc w:val="center"/>
              <w:rPr>
                <w:color w:val="000000"/>
                <w:sz w:val="20"/>
                <w:szCs w:val="20"/>
              </w:rPr>
            </w:pPr>
          </w:p>
        </w:tc>
      </w:tr>
      <w:tr w:rsidR="000C58DC" w:rsidRPr="00E80EE2" w14:paraId="4F07B9DF" w14:textId="77777777" w:rsidTr="000C58DC">
        <w:tblPrEx>
          <w:tblCellMar>
            <w:left w:w="115" w:type="dxa"/>
            <w:right w:w="115" w:type="dxa"/>
          </w:tblCellMar>
        </w:tblPrEx>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4997AC5" w14:textId="18C4C269" w:rsidR="000C58DC" w:rsidRPr="00F62C9B" w:rsidRDefault="000C58DC" w:rsidP="000C58DC">
            <w:pPr>
              <w:pStyle w:val="ListParagraph"/>
              <w:numPr>
                <w:ilvl w:val="0"/>
                <w:numId w:val="26"/>
              </w:numPr>
              <w:ind w:left="368"/>
              <w:rPr>
                <w:color w:val="000000"/>
                <w:sz w:val="20"/>
                <w:szCs w:val="20"/>
              </w:rPr>
            </w:pPr>
            <w:r w:rsidRPr="00F62C9B">
              <w:rPr>
                <w:color w:val="000000"/>
                <w:sz w:val="20"/>
                <w:szCs w:val="20"/>
              </w:rPr>
              <w:t xml:space="preserve">Degrees and Certificates Awarded* </w:t>
            </w:r>
            <w:r w:rsidRPr="00F62C9B">
              <w:rPr>
                <w:rStyle w:val="EndnoteReference"/>
                <w:color w:val="000000"/>
                <w:sz w:val="20"/>
                <w:szCs w:val="20"/>
              </w:rPr>
              <w:endnoteReference w:id="5"/>
            </w:r>
          </w:p>
        </w:tc>
      </w:tr>
      <w:tr w:rsidR="000C58DC" w:rsidRPr="00E80EE2" w14:paraId="09870D02"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85D6" w14:textId="77777777" w:rsidR="000C58DC" w:rsidRPr="00C73FF0" w:rsidRDefault="000C58DC" w:rsidP="000C58DC">
            <w:pPr>
              <w:ind w:left="368"/>
              <w:rPr>
                <w:color w:val="000000"/>
                <w:sz w:val="20"/>
                <w:szCs w:val="20"/>
              </w:rPr>
            </w:pPr>
            <w:r w:rsidRPr="00C73FF0">
              <w:rPr>
                <w:color w:val="000000"/>
                <w:sz w:val="20"/>
                <w:szCs w:val="20"/>
              </w:rPr>
              <w:t>Professional Technical Degrees and Certificates</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22855D2D" w14:textId="1CC23659" w:rsidR="000C58DC" w:rsidRPr="00C73FF0" w:rsidRDefault="000C58DC" w:rsidP="000C58DC">
            <w:pPr>
              <w:jc w:val="center"/>
              <w:rPr>
                <w:color w:val="000000"/>
                <w:sz w:val="20"/>
                <w:szCs w:val="20"/>
              </w:rPr>
            </w:pPr>
            <w:r>
              <w:rPr>
                <w:color w:val="000000"/>
                <w:sz w:val="20"/>
                <w:szCs w:val="20"/>
              </w:rPr>
              <w:t>N/A</w:t>
            </w:r>
          </w:p>
        </w:tc>
        <w:tc>
          <w:tcPr>
            <w:tcW w:w="1319" w:type="dxa"/>
            <w:tcBorders>
              <w:top w:val="single" w:sz="4" w:space="0" w:color="auto"/>
              <w:left w:val="single" w:sz="4" w:space="0" w:color="auto"/>
              <w:bottom w:val="single" w:sz="4" w:space="0" w:color="auto"/>
              <w:right w:val="single" w:sz="4" w:space="0" w:color="auto"/>
            </w:tcBorders>
            <w:vAlign w:val="center"/>
          </w:tcPr>
          <w:p w14:paraId="715459B1" w14:textId="61ABC15B" w:rsidR="000C58DC" w:rsidRPr="00C73FF0" w:rsidRDefault="000C58DC" w:rsidP="000C58DC">
            <w:pPr>
              <w:jc w:val="center"/>
              <w:rPr>
                <w:color w:val="000000"/>
                <w:sz w:val="20"/>
                <w:szCs w:val="20"/>
              </w:rPr>
            </w:pPr>
            <w:r>
              <w:rPr>
                <w:color w:val="000000"/>
                <w:sz w:val="20"/>
                <w:szCs w:val="20"/>
              </w:rPr>
              <w:t>N/A</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4C01CD0B" w14:textId="1525B5C6" w:rsidR="000C58DC" w:rsidRPr="00C73FF0" w:rsidRDefault="000C58DC" w:rsidP="000C58DC">
            <w:pPr>
              <w:jc w:val="center"/>
              <w:rPr>
                <w:color w:val="000000"/>
                <w:sz w:val="20"/>
                <w:szCs w:val="20"/>
              </w:rPr>
            </w:pPr>
            <w:r>
              <w:rPr>
                <w:color w:val="000000"/>
                <w:sz w:val="20"/>
                <w:szCs w:val="20"/>
              </w:rPr>
              <w:t>N/A</w:t>
            </w:r>
          </w:p>
        </w:tc>
        <w:tc>
          <w:tcPr>
            <w:tcW w:w="1406" w:type="dxa"/>
            <w:tcBorders>
              <w:top w:val="single" w:sz="4" w:space="0" w:color="auto"/>
              <w:left w:val="single" w:sz="4" w:space="0" w:color="auto"/>
              <w:bottom w:val="single" w:sz="4" w:space="0" w:color="auto"/>
              <w:right w:val="single" w:sz="4" w:space="0" w:color="auto"/>
            </w:tcBorders>
            <w:vAlign w:val="center"/>
          </w:tcPr>
          <w:p w14:paraId="7C23EEA4" w14:textId="78709BE0" w:rsidR="000C58DC" w:rsidRPr="00F62C9B" w:rsidRDefault="000C58DC" w:rsidP="000C58DC">
            <w:pPr>
              <w:jc w:val="center"/>
              <w:rPr>
                <w:color w:val="000000"/>
                <w:sz w:val="20"/>
                <w:szCs w:val="20"/>
              </w:rPr>
            </w:pPr>
          </w:p>
        </w:tc>
      </w:tr>
      <w:tr w:rsidR="000C58DC" w:rsidRPr="00E80EE2" w14:paraId="0426493C"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AA9EB" w14:textId="77777777" w:rsidR="000C58DC" w:rsidRPr="00C73FF0" w:rsidRDefault="000C58DC" w:rsidP="000C58DC">
            <w:pPr>
              <w:ind w:left="368"/>
              <w:rPr>
                <w:color w:val="000000"/>
                <w:sz w:val="20"/>
                <w:szCs w:val="20"/>
              </w:rPr>
            </w:pPr>
            <w:proofErr w:type="gramStart"/>
            <w:r w:rsidRPr="00C73FF0">
              <w:rPr>
                <w:color w:val="000000"/>
                <w:sz w:val="20"/>
                <w:szCs w:val="20"/>
              </w:rPr>
              <w:t>Associate Degrees</w:t>
            </w:r>
            <w:proofErr w:type="gramEnd"/>
            <w:r w:rsidRPr="00C73FF0">
              <w:rPr>
                <w:color w:val="000000"/>
                <w:sz w:val="20"/>
                <w:szCs w:val="20"/>
              </w:rPr>
              <w:t xml:space="preserve"> (Academic)</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3D256BF2" w14:textId="41E50FC9" w:rsidR="000C58DC" w:rsidRPr="00C73FF0" w:rsidRDefault="000C58DC" w:rsidP="000C58DC">
            <w:pPr>
              <w:jc w:val="center"/>
              <w:rPr>
                <w:color w:val="000000"/>
                <w:sz w:val="20"/>
                <w:szCs w:val="20"/>
              </w:rPr>
            </w:pPr>
            <w:r>
              <w:rPr>
                <w:color w:val="000000"/>
                <w:sz w:val="20"/>
                <w:szCs w:val="20"/>
              </w:rPr>
              <w:t>127</w:t>
            </w:r>
          </w:p>
        </w:tc>
        <w:tc>
          <w:tcPr>
            <w:tcW w:w="1319" w:type="dxa"/>
            <w:tcBorders>
              <w:top w:val="single" w:sz="4" w:space="0" w:color="auto"/>
              <w:left w:val="single" w:sz="4" w:space="0" w:color="auto"/>
              <w:bottom w:val="single" w:sz="4" w:space="0" w:color="auto"/>
              <w:right w:val="single" w:sz="4" w:space="0" w:color="auto"/>
            </w:tcBorders>
            <w:vAlign w:val="center"/>
          </w:tcPr>
          <w:p w14:paraId="5FAAF901" w14:textId="0B9B7886" w:rsidR="000C58DC" w:rsidRPr="00C73FF0" w:rsidRDefault="000C58DC" w:rsidP="000C58DC">
            <w:pPr>
              <w:jc w:val="center"/>
              <w:rPr>
                <w:color w:val="000000"/>
                <w:sz w:val="20"/>
                <w:szCs w:val="20"/>
              </w:rPr>
            </w:pPr>
            <w:r>
              <w:rPr>
                <w:color w:val="000000"/>
                <w:sz w:val="20"/>
                <w:szCs w:val="20"/>
              </w:rPr>
              <w:t>184</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3D1F9040" w14:textId="666B72BC" w:rsidR="000C58DC" w:rsidRPr="00C73FF0" w:rsidRDefault="000C58DC" w:rsidP="000C58DC">
            <w:pPr>
              <w:jc w:val="center"/>
              <w:rPr>
                <w:color w:val="000000"/>
                <w:sz w:val="20"/>
                <w:szCs w:val="20"/>
              </w:rPr>
            </w:pPr>
            <w:r>
              <w:rPr>
                <w:color w:val="000000"/>
                <w:sz w:val="20"/>
                <w:szCs w:val="20"/>
              </w:rPr>
              <w:t>316</w:t>
            </w:r>
          </w:p>
        </w:tc>
        <w:tc>
          <w:tcPr>
            <w:tcW w:w="1406" w:type="dxa"/>
            <w:tcBorders>
              <w:top w:val="single" w:sz="4" w:space="0" w:color="auto"/>
              <w:left w:val="single" w:sz="4" w:space="0" w:color="auto"/>
              <w:bottom w:val="single" w:sz="4" w:space="0" w:color="auto"/>
              <w:right w:val="single" w:sz="4" w:space="0" w:color="auto"/>
            </w:tcBorders>
            <w:vAlign w:val="center"/>
          </w:tcPr>
          <w:p w14:paraId="7EEDCEDF" w14:textId="5F779398" w:rsidR="000C58DC" w:rsidRPr="00F62C9B" w:rsidRDefault="000C58DC" w:rsidP="000C58DC">
            <w:pPr>
              <w:jc w:val="center"/>
              <w:rPr>
                <w:color w:val="000000"/>
                <w:sz w:val="20"/>
                <w:szCs w:val="20"/>
              </w:rPr>
            </w:pPr>
          </w:p>
        </w:tc>
      </w:tr>
      <w:tr w:rsidR="000C58DC" w:rsidRPr="00E80EE2" w14:paraId="6097ECF4" w14:textId="77777777" w:rsidTr="000C58DC">
        <w:tblPrEx>
          <w:tblCellMar>
            <w:left w:w="115" w:type="dxa"/>
            <w:right w:w="115" w:type="dxa"/>
          </w:tblCellMar>
        </w:tblPrEx>
        <w:trPr>
          <w:gridAfter w:val="4"/>
          <w:wAfter w:w="5740" w:type="dxa"/>
          <w:trHeight w:val="519"/>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3EF7" w14:textId="77777777" w:rsidR="000C58DC" w:rsidRPr="00C73FF0" w:rsidRDefault="000C58DC" w:rsidP="000C58DC">
            <w:pPr>
              <w:ind w:left="368"/>
              <w:rPr>
                <w:color w:val="000000"/>
                <w:sz w:val="20"/>
                <w:szCs w:val="20"/>
              </w:rPr>
            </w:pPr>
            <w:bookmarkStart w:id="4" w:name="_Hlk140500590"/>
            <w:r w:rsidRPr="00C73FF0">
              <w:rPr>
                <w:color w:val="000000"/>
                <w:sz w:val="20"/>
                <w:szCs w:val="20"/>
              </w:rPr>
              <w:t>Bachelor’s Degree (Academic, first and second majors)</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28805E1A" w14:textId="602F292A" w:rsidR="000C58DC" w:rsidRPr="00C73FF0" w:rsidRDefault="000C58DC" w:rsidP="000C58DC">
            <w:pPr>
              <w:jc w:val="center"/>
              <w:rPr>
                <w:color w:val="000000"/>
                <w:sz w:val="20"/>
                <w:szCs w:val="20"/>
              </w:rPr>
            </w:pPr>
            <w:r>
              <w:rPr>
                <w:color w:val="000000"/>
                <w:sz w:val="20"/>
                <w:szCs w:val="20"/>
              </w:rPr>
              <w:t>4,080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FA6D326" w14:textId="0C4B0EAC" w:rsidR="000C58DC" w:rsidRPr="00C73FF0" w:rsidRDefault="000C58DC" w:rsidP="000C58DC">
            <w:pPr>
              <w:jc w:val="center"/>
              <w:rPr>
                <w:color w:val="000000"/>
                <w:sz w:val="20"/>
                <w:szCs w:val="20"/>
              </w:rPr>
            </w:pPr>
            <w:r w:rsidRPr="00FC1838">
              <w:rPr>
                <w:color w:val="000000"/>
                <w:sz w:val="20"/>
                <w:szCs w:val="20"/>
              </w:rPr>
              <w:t>3,991</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F527E" w14:textId="367E8ADE" w:rsidR="000C58DC" w:rsidRPr="00C73FF0" w:rsidRDefault="000C58DC" w:rsidP="000C58DC">
            <w:pPr>
              <w:jc w:val="center"/>
              <w:rPr>
                <w:color w:val="000000"/>
                <w:sz w:val="20"/>
                <w:szCs w:val="20"/>
              </w:rPr>
            </w:pPr>
            <w:r>
              <w:rPr>
                <w:color w:val="000000"/>
                <w:sz w:val="20"/>
                <w:szCs w:val="20"/>
              </w:rPr>
              <w:t>4,098</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70C5EA6" w14:textId="3AD9FF32" w:rsidR="000C58DC" w:rsidRPr="00FC1838" w:rsidRDefault="000C58DC" w:rsidP="000C58DC">
            <w:pPr>
              <w:jc w:val="center"/>
              <w:rPr>
                <w:color w:val="000000"/>
                <w:sz w:val="20"/>
                <w:szCs w:val="20"/>
              </w:rPr>
            </w:pPr>
          </w:p>
        </w:tc>
      </w:tr>
      <w:tr w:rsidR="000C58DC" w:rsidRPr="00E80EE2" w14:paraId="1521C02A" w14:textId="77777777" w:rsidTr="000C58DC">
        <w:tblPrEx>
          <w:tblCellMar>
            <w:left w:w="115" w:type="dxa"/>
            <w:right w:w="115" w:type="dxa"/>
          </w:tblCellMar>
        </w:tblPrEx>
        <w:trPr>
          <w:gridAfter w:val="4"/>
          <w:wAfter w:w="5740" w:type="dxa"/>
          <w:trHeight w:val="321"/>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6A4700" w14:textId="77777777" w:rsidR="000C58DC" w:rsidRPr="00C73FF0" w:rsidRDefault="000C58DC" w:rsidP="000C58DC">
            <w:pPr>
              <w:ind w:left="368"/>
              <w:rPr>
                <w:color w:val="000000"/>
                <w:sz w:val="20"/>
                <w:szCs w:val="20"/>
              </w:rPr>
            </w:pPr>
            <w:r w:rsidRPr="00C73FF0">
              <w:rPr>
                <w:color w:val="000000"/>
                <w:sz w:val="20"/>
                <w:szCs w:val="20"/>
              </w:rPr>
              <w:t>Certificate – Undergraduate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6B32963A" w14:textId="7B521274" w:rsidR="000C58DC" w:rsidRPr="00C73FF0" w:rsidRDefault="000C58DC" w:rsidP="000C58DC">
            <w:pPr>
              <w:jc w:val="center"/>
              <w:rPr>
                <w:color w:val="000000"/>
                <w:sz w:val="20"/>
                <w:szCs w:val="20"/>
              </w:rPr>
            </w:pPr>
            <w:r>
              <w:rPr>
                <w:color w:val="000000"/>
                <w:sz w:val="20"/>
                <w:szCs w:val="20"/>
              </w:rPr>
              <w:t>629</w:t>
            </w:r>
          </w:p>
        </w:tc>
        <w:tc>
          <w:tcPr>
            <w:tcW w:w="1319" w:type="dxa"/>
            <w:tcBorders>
              <w:top w:val="single" w:sz="4" w:space="0" w:color="auto"/>
              <w:left w:val="single" w:sz="4" w:space="0" w:color="auto"/>
              <w:bottom w:val="single" w:sz="4" w:space="0" w:color="auto"/>
              <w:right w:val="single" w:sz="4" w:space="0" w:color="auto"/>
            </w:tcBorders>
            <w:vAlign w:val="center"/>
          </w:tcPr>
          <w:p w14:paraId="0EBA1700" w14:textId="169AED9F" w:rsidR="000C58DC" w:rsidRPr="00C73FF0" w:rsidRDefault="000C58DC" w:rsidP="000C58DC">
            <w:pPr>
              <w:jc w:val="center"/>
              <w:rPr>
                <w:color w:val="000000"/>
                <w:sz w:val="20"/>
                <w:szCs w:val="20"/>
              </w:rPr>
            </w:pPr>
            <w:r>
              <w:rPr>
                <w:color w:val="000000"/>
                <w:sz w:val="20"/>
                <w:szCs w:val="20"/>
              </w:rPr>
              <w:t>590</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14110C15" w14:textId="509A9B71" w:rsidR="000C58DC" w:rsidRPr="00C73FF0" w:rsidRDefault="000C58DC" w:rsidP="000C58DC">
            <w:pPr>
              <w:jc w:val="center"/>
              <w:rPr>
                <w:color w:val="000000"/>
                <w:sz w:val="20"/>
                <w:szCs w:val="20"/>
              </w:rPr>
            </w:pPr>
            <w:r>
              <w:rPr>
                <w:color w:val="000000"/>
                <w:sz w:val="20"/>
                <w:szCs w:val="20"/>
              </w:rPr>
              <w:t>821</w:t>
            </w:r>
          </w:p>
        </w:tc>
        <w:tc>
          <w:tcPr>
            <w:tcW w:w="1406" w:type="dxa"/>
            <w:tcBorders>
              <w:top w:val="single" w:sz="4" w:space="0" w:color="auto"/>
              <w:left w:val="single" w:sz="4" w:space="0" w:color="auto"/>
              <w:bottom w:val="single" w:sz="4" w:space="0" w:color="auto"/>
              <w:right w:val="single" w:sz="4" w:space="0" w:color="auto"/>
            </w:tcBorders>
            <w:vAlign w:val="center"/>
          </w:tcPr>
          <w:p w14:paraId="6D093421" w14:textId="6BBB2246" w:rsidR="000C58DC" w:rsidRPr="00FC1838" w:rsidRDefault="000C58DC" w:rsidP="000C58DC">
            <w:pPr>
              <w:jc w:val="center"/>
              <w:rPr>
                <w:color w:val="000000"/>
                <w:sz w:val="20"/>
                <w:szCs w:val="20"/>
              </w:rPr>
            </w:pPr>
          </w:p>
        </w:tc>
      </w:tr>
      <w:tr w:rsidR="000C58DC" w:rsidRPr="00E80EE2" w14:paraId="7C2F5886" w14:textId="77777777" w:rsidTr="000C58DC">
        <w:tblPrEx>
          <w:tblCellMar>
            <w:left w:w="115" w:type="dxa"/>
            <w:right w:w="115" w:type="dxa"/>
          </w:tblCellMar>
        </w:tblPrEx>
        <w:trPr>
          <w:gridAfter w:val="4"/>
          <w:wAfter w:w="5740" w:type="dxa"/>
          <w:trHeight w:val="321"/>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5CD92" w14:textId="77777777" w:rsidR="000C58DC" w:rsidRPr="00C73FF0" w:rsidRDefault="000C58DC" w:rsidP="000C58DC">
            <w:pPr>
              <w:ind w:left="368"/>
              <w:rPr>
                <w:color w:val="000000"/>
                <w:sz w:val="20"/>
                <w:szCs w:val="20"/>
              </w:rPr>
            </w:pPr>
            <w:r w:rsidRPr="00C73FF0">
              <w:rPr>
                <w:color w:val="000000"/>
                <w:sz w:val="20"/>
                <w:szCs w:val="20"/>
              </w:rPr>
              <w:t>Certificate – Graduate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073C2A5E" w14:textId="7471ECC3" w:rsidR="000C58DC" w:rsidRPr="00C73FF0" w:rsidRDefault="000C58DC" w:rsidP="000C58DC">
            <w:pPr>
              <w:jc w:val="center"/>
              <w:rPr>
                <w:color w:val="000000"/>
                <w:sz w:val="20"/>
                <w:szCs w:val="20"/>
              </w:rPr>
            </w:pPr>
            <w:r>
              <w:rPr>
                <w:color w:val="000000"/>
                <w:sz w:val="20"/>
                <w:szCs w:val="20"/>
              </w:rPr>
              <w:t>185</w:t>
            </w:r>
          </w:p>
        </w:tc>
        <w:tc>
          <w:tcPr>
            <w:tcW w:w="1319" w:type="dxa"/>
            <w:tcBorders>
              <w:top w:val="single" w:sz="4" w:space="0" w:color="auto"/>
              <w:left w:val="single" w:sz="4" w:space="0" w:color="auto"/>
              <w:bottom w:val="single" w:sz="4" w:space="0" w:color="auto"/>
              <w:right w:val="single" w:sz="4" w:space="0" w:color="auto"/>
            </w:tcBorders>
            <w:vAlign w:val="center"/>
          </w:tcPr>
          <w:p w14:paraId="2A3200D6" w14:textId="5194F7D0" w:rsidR="000C58DC" w:rsidRPr="00C73FF0" w:rsidRDefault="000C58DC" w:rsidP="000C58DC">
            <w:pPr>
              <w:jc w:val="center"/>
              <w:rPr>
                <w:color w:val="000000"/>
                <w:sz w:val="20"/>
                <w:szCs w:val="20"/>
              </w:rPr>
            </w:pPr>
            <w:r>
              <w:rPr>
                <w:color w:val="000000"/>
                <w:sz w:val="20"/>
                <w:szCs w:val="20"/>
              </w:rPr>
              <w:t>145</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5B56DD6B" w14:textId="5AF3D3E2" w:rsidR="000C58DC" w:rsidRPr="00C73FF0" w:rsidRDefault="000C58DC" w:rsidP="000C58DC">
            <w:pPr>
              <w:jc w:val="center"/>
              <w:rPr>
                <w:color w:val="000000"/>
                <w:sz w:val="20"/>
                <w:szCs w:val="20"/>
              </w:rPr>
            </w:pPr>
            <w:r>
              <w:rPr>
                <w:color w:val="000000"/>
                <w:sz w:val="20"/>
                <w:szCs w:val="20"/>
              </w:rPr>
              <w:t>156</w:t>
            </w:r>
          </w:p>
        </w:tc>
        <w:tc>
          <w:tcPr>
            <w:tcW w:w="1406" w:type="dxa"/>
            <w:tcBorders>
              <w:top w:val="single" w:sz="4" w:space="0" w:color="auto"/>
              <w:left w:val="single" w:sz="4" w:space="0" w:color="auto"/>
              <w:bottom w:val="single" w:sz="4" w:space="0" w:color="auto"/>
              <w:right w:val="single" w:sz="4" w:space="0" w:color="auto"/>
            </w:tcBorders>
            <w:vAlign w:val="center"/>
          </w:tcPr>
          <w:p w14:paraId="2E793D3F" w14:textId="42807EED" w:rsidR="000C58DC" w:rsidRPr="00FC1838" w:rsidRDefault="000C58DC" w:rsidP="000C58DC">
            <w:pPr>
              <w:jc w:val="center"/>
              <w:rPr>
                <w:color w:val="000000"/>
                <w:sz w:val="20"/>
                <w:szCs w:val="20"/>
              </w:rPr>
            </w:pPr>
          </w:p>
        </w:tc>
      </w:tr>
      <w:tr w:rsidR="000C58DC" w:rsidRPr="00E80EE2" w14:paraId="0EDFA87F" w14:textId="77777777" w:rsidTr="000C58DC">
        <w:tblPrEx>
          <w:tblCellMar>
            <w:left w:w="115" w:type="dxa"/>
            <w:right w:w="115" w:type="dxa"/>
          </w:tblCellMar>
        </w:tblPrEx>
        <w:trPr>
          <w:gridAfter w:val="4"/>
          <w:wAfter w:w="5740" w:type="dxa"/>
          <w:trHeight w:val="294"/>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40730" w14:textId="77777777" w:rsidR="000C58DC" w:rsidRPr="00C73FF0" w:rsidRDefault="000C58DC" w:rsidP="000C58DC">
            <w:pPr>
              <w:ind w:left="368"/>
              <w:rPr>
                <w:color w:val="000000"/>
                <w:sz w:val="20"/>
                <w:szCs w:val="20"/>
              </w:rPr>
            </w:pPr>
            <w:r w:rsidRPr="00C73FF0">
              <w:rPr>
                <w:color w:val="000000"/>
                <w:sz w:val="20"/>
                <w:szCs w:val="20"/>
              </w:rPr>
              <w:t>Master's Degree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7B7495AC" w14:textId="439F3451" w:rsidR="000C58DC" w:rsidRPr="00C73FF0" w:rsidRDefault="000C58DC" w:rsidP="000C58DC">
            <w:pPr>
              <w:jc w:val="center"/>
              <w:rPr>
                <w:color w:val="000000"/>
                <w:sz w:val="20"/>
                <w:szCs w:val="20"/>
              </w:rPr>
            </w:pPr>
            <w:r>
              <w:rPr>
                <w:color w:val="000000"/>
                <w:sz w:val="20"/>
                <w:szCs w:val="20"/>
              </w:rPr>
              <w:t>1,063</w:t>
            </w:r>
          </w:p>
        </w:tc>
        <w:tc>
          <w:tcPr>
            <w:tcW w:w="1319" w:type="dxa"/>
            <w:tcBorders>
              <w:top w:val="single" w:sz="4" w:space="0" w:color="auto"/>
              <w:left w:val="single" w:sz="4" w:space="0" w:color="auto"/>
              <w:bottom w:val="single" w:sz="4" w:space="0" w:color="auto"/>
              <w:right w:val="single" w:sz="4" w:space="0" w:color="auto"/>
            </w:tcBorders>
            <w:vAlign w:val="center"/>
          </w:tcPr>
          <w:p w14:paraId="429EF480" w14:textId="4DA6EA55" w:rsidR="000C58DC" w:rsidRPr="00C73FF0" w:rsidRDefault="000C58DC" w:rsidP="000C58DC">
            <w:pPr>
              <w:jc w:val="center"/>
              <w:rPr>
                <w:color w:val="000000"/>
                <w:sz w:val="20"/>
                <w:szCs w:val="20"/>
              </w:rPr>
            </w:pPr>
            <w:r>
              <w:rPr>
                <w:color w:val="000000"/>
                <w:sz w:val="20"/>
                <w:szCs w:val="20"/>
              </w:rPr>
              <w:t>1,028</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6716A6A4" w14:textId="17788FBB" w:rsidR="000C58DC" w:rsidRPr="00C73FF0" w:rsidRDefault="000C58DC" w:rsidP="000C58DC">
            <w:pPr>
              <w:jc w:val="center"/>
              <w:rPr>
                <w:color w:val="000000"/>
                <w:sz w:val="20"/>
                <w:szCs w:val="20"/>
              </w:rPr>
            </w:pPr>
            <w:r>
              <w:rPr>
                <w:color w:val="000000"/>
                <w:sz w:val="20"/>
                <w:szCs w:val="20"/>
              </w:rPr>
              <w:t>1,072</w:t>
            </w:r>
          </w:p>
        </w:tc>
        <w:tc>
          <w:tcPr>
            <w:tcW w:w="1406" w:type="dxa"/>
            <w:tcBorders>
              <w:top w:val="single" w:sz="4" w:space="0" w:color="auto"/>
              <w:left w:val="single" w:sz="4" w:space="0" w:color="auto"/>
              <w:bottom w:val="single" w:sz="4" w:space="0" w:color="auto"/>
              <w:right w:val="single" w:sz="4" w:space="0" w:color="auto"/>
            </w:tcBorders>
            <w:vAlign w:val="center"/>
          </w:tcPr>
          <w:p w14:paraId="6B03E11B" w14:textId="609D0946" w:rsidR="000C58DC" w:rsidRPr="00FC1838" w:rsidRDefault="000C58DC" w:rsidP="000C58DC">
            <w:pPr>
              <w:jc w:val="center"/>
              <w:rPr>
                <w:color w:val="000000"/>
                <w:sz w:val="20"/>
                <w:szCs w:val="20"/>
              </w:rPr>
            </w:pPr>
          </w:p>
        </w:tc>
      </w:tr>
      <w:tr w:rsidR="000C58DC" w:rsidRPr="00E80EE2" w14:paraId="64C7997C" w14:textId="77777777" w:rsidTr="000C58DC">
        <w:tblPrEx>
          <w:tblCellMar>
            <w:left w:w="115" w:type="dxa"/>
            <w:right w:w="115" w:type="dxa"/>
          </w:tblCellMar>
        </w:tblPrEx>
        <w:trPr>
          <w:gridAfter w:val="4"/>
          <w:wAfter w:w="5740" w:type="dxa"/>
          <w:trHeight w:val="294"/>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4FC1F7" w14:textId="77777777" w:rsidR="000C58DC" w:rsidRPr="00C73FF0" w:rsidRDefault="000C58DC" w:rsidP="000C58DC">
            <w:pPr>
              <w:ind w:left="368"/>
              <w:rPr>
                <w:color w:val="000000"/>
                <w:sz w:val="20"/>
                <w:szCs w:val="20"/>
              </w:rPr>
            </w:pPr>
            <w:r w:rsidRPr="00C73FF0">
              <w:rPr>
                <w:color w:val="000000"/>
                <w:sz w:val="20"/>
                <w:szCs w:val="20"/>
              </w:rPr>
              <w:t>Education Specialist Degree</w:t>
            </w:r>
            <w:r w:rsidRPr="00C73FF0">
              <w:rPr>
                <w:rStyle w:val="EndnoteReference"/>
                <w:color w:val="000000"/>
                <w:sz w:val="20"/>
                <w:szCs w:val="20"/>
              </w:rPr>
              <w:endnoteReference w:id="6"/>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4FD0F28D" w14:textId="248AAA77" w:rsidR="000C58DC" w:rsidRPr="00C73FF0" w:rsidRDefault="000C58DC" w:rsidP="000C58DC">
            <w:pPr>
              <w:jc w:val="center"/>
              <w:rPr>
                <w:color w:val="000000"/>
                <w:sz w:val="20"/>
                <w:szCs w:val="20"/>
              </w:rPr>
            </w:pPr>
            <w:r>
              <w:rPr>
                <w:color w:val="000000"/>
                <w:sz w:val="20"/>
                <w:szCs w:val="20"/>
              </w:rPr>
              <w:t>16</w:t>
            </w:r>
          </w:p>
        </w:tc>
        <w:tc>
          <w:tcPr>
            <w:tcW w:w="1319" w:type="dxa"/>
            <w:tcBorders>
              <w:top w:val="single" w:sz="4" w:space="0" w:color="auto"/>
              <w:left w:val="single" w:sz="4" w:space="0" w:color="auto"/>
              <w:bottom w:val="single" w:sz="4" w:space="0" w:color="auto"/>
              <w:right w:val="single" w:sz="4" w:space="0" w:color="auto"/>
            </w:tcBorders>
            <w:vAlign w:val="center"/>
          </w:tcPr>
          <w:p w14:paraId="1DF5F28D" w14:textId="76BA5EDC" w:rsidR="000C58DC" w:rsidRPr="00C73FF0" w:rsidRDefault="000C58DC" w:rsidP="000C58DC">
            <w:pPr>
              <w:jc w:val="center"/>
              <w:rPr>
                <w:color w:val="000000"/>
                <w:sz w:val="20"/>
                <w:szCs w:val="20"/>
              </w:rPr>
            </w:pPr>
            <w:r>
              <w:rPr>
                <w:color w:val="000000"/>
                <w:sz w:val="20"/>
                <w:szCs w:val="20"/>
              </w:rPr>
              <w:t>15</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7F66D134" w14:textId="66D610A3" w:rsidR="000C58DC" w:rsidRPr="00C73FF0" w:rsidRDefault="000C58DC" w:rsidP="000C58DC">
            <w:pPr>
              <w:jc w:val="center"/>
              <w:rPr>
                <w:color w:val="000000"/>
                <w:sz w:val="20"/>
                <w:szCs w:val="20"/>
              </w:rPr>
            </w:pPr>
            <w:r>
              <w:rPr>
                <w:color w:val="000000"/>
                <w:sz w:val="20"/>
                <w:szCs w:val="20"/>
              </w:rPr>
              <w:t>15</w:t>
            </w:r>
          </w:p>
        </w:tc>
        <w:tc>
          <w:tcPr>
            <w:tcW w:w="1406" w:type="dxa"/>
            <w:tcBorders>
              <w:top w:val="single" w:sz="4" w:space="0" w:color="auto"/>
              <w:left w:val="single" w:sz="4" w:space="0" w:color="auto"/>
              <w:bottom w:val="single" w:sz="4" w:space="0" w:color="auto"/>
              <w:right w:val="single" w:sz="4" w:space="0" w:color="auto"/>
            </w:tcBorders>
            <w:vAlign w:val="center"/>
          </w:tcPr>
          <w:p w14:paraId="2674AAC2" w14:textId="016A0BDE" w:rsidR="000C58DC" w:rsidRPr="00FC1838" w:rsidRDefault="000C58DC" w:rsidP="000C58DC">
            <w:pPr>
              <w:jc w:val="center"/>
              <w:rPr>
                <w:color w:val="000000"/>
                <w:sz w:val="20"/>
                <w:szCs w:val="20"/>
              </w:rPr>
            </w:pPr>
          </w:p>
        </w:tc>
      </w:tr>
      <w:tr w:rsidR="000C58DC" w:rsidRPr="00E80EE2" w14:paraId="34813338" w14:textId="77777777" w:rsidTr="000C58DC">
        <w:tblPrEx>
          <w:tblCellMar>
            <w:left w:w="115" w:type="dxa"/>
            <w:right w:w="115" w:type="dxa"/>
          </w:tblCellMar>
        </w:tblPrEx>
        <w:trPr>
          <w:gridAfter w:val="4"/>
          <w:wAfter w:w="5740" w:type="dxa"/>
          <w:trHeight w:val="276"/>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80F0D" w14:textId="77777777" w:rsidR="000C58DC" w:rsidRPr="00C73FF0" w:rsidRDefault="000C58DC" w:rsidP="000C58DC">
            <w:pPr>
              <w:ind w:left="368"/>
              <w:rPr>
                <w:color w:val="000000"/>
                <w:sz w:val="20"/>
                <w:szCs w:val="20"/>
              </w:rPr>
            </w:pPr>
            <w:r w:rsidRPr="00C73FF0">
              <w:rPr>
                <w:color w:val="000000"/>
                <w:sz w:val="20"/>
                <w:szCs w:val="20"/>
              </w:rPr>
              <w:t>Doctoral Degree</w:t>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454639DE" w14:textId="38903F8D" w:rsidR="000C58DC" w:rsidRPr="00C73FF0" w:rsidRDefault="000C58DC" w:rsidP="000C58DC">
            <w:pPr>
              <w:jc w:val="center"/>
              <w:rPr>
                <w:color w:val="000000"/>
                <w:sz w:val="20"/>
                <w:szCs w:val="20"/>
              </w:rPr>
            </w:pPr>
            <w:r>
              <w:rPr>
                <w:color w:val="000000"/>
                <w:sz w:val="20"/>
                <w:szCs w:val="20"/>
              </w:rPr>
              <w:t>58</w:t>
            </w:r>
          </w:p>
        </w:tc>
        <w:tc>
          <w:tcPr>
            <w:tcW w:w="1319" w:type="dxa"/>
            <w:tcBorders>
              <w:top w:val="single" w:sz="4" w:space="0" w:color="auto"/>
              <w:left w:val="single" w:sz="4" w:space="0" w:color="auto"/>
              <w:bottom w:val="single" w:sz="4" w:space="0" w:color="auto"/>
              <w:right w:val="single" w:sz="4" w:space="0" w:color="auto"/>
            </w:tcBorders>
            <w:vAlign w:val="center"/>
          </w:tcPr>
          <w:p w14:paraId="3226D2D0" w14:textId="10E2D79F" w:rsidR="000C58DC" w:rsidRPr="00C73FF0" w:rsidRDefault="000C58DC" w:rsidP="000C58DC">
            <w:pPr>
              <w:jc w:val="center"/>
              <w:rPr>
                <w:color w:val="000000"/>
                <w:sz w:val="20"/>
                <w:szCs w:val="20"/>
              </w:rPr>
            </w:pPr>
            <w:r>
              <w:rPr>
                <w:color w:val="000000"/>
                <w:sz w:val="20"/>
                <w:szCs w:val="20"/>
              </w:rPr>
              <w:t>60</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16725540" w14:textId="6976A89B" w:rsidR="000C58DC" w:rsidRPr="00C73FF0" w:rsidRDefault="000C58DC" w:rsidP="000C58DC">
            <w:pPr>
              <w:jc w:val="center"/>
              <w:rPr>
                <w:color w:val="000000"/>
                <w:sz w:val="20"/>
                <w:szCs w:val="20"/>
              </w:rPr>
            </w:pPr>
            <w:r>
              <w:rPr>
                <w:color w:val="000000"/>
                <w:sz w:val="20"/>
                <w:szCs w:val="20"/>
              </w:rPr>
              <w:t>72</w:t>
            </w:r>
          </w:p>
        </w:tc>
        <w:tc>
          <w:tcPr>
            <w:tcW w:w="1406" w:type="dxa"/>
            <w:tcBorders>
              <w:top w:val="single" w:sz="4" w:space="0" w:color="auto"/>
              <w:left w:val="single" w:sz="4" w:space="0" w:color="auto"/>
              <w:bottom w:val="single" w:sz="4" w:space="0" w:color="auto"/>
              <w:right w:val="single" w:sz="4" w:space="0" w:color="auto"/>
            </w:tcBorders>
            <w:vAlign w:val="center"/>
          </w:tcPr>
          <w:p w14:paraId="3B3D2A01" w14:textId="6EF44E67" w:rsidR="000C58DC" w:rsidRPr="00FC1838" w:rsidRDefault="000C58DC" w:rsidP="000C58DC">
            <w:pPr>
              <w:jc w:val="center"/>
              <w:rPr>
                <w:color w:val="000000"/>
                <w:sz w:val="20"/>
                <w:szCs w:val="20"/>
              </w:rPr>
            </w:pPr>
          </w:p>
        </w:tc>
      </w:tr>
      <w:tr w:rsidR="000C58DC" w:rsidRPr="00E80EE2" w14:paraId="7F0AA06E" w14:textId="77777777" w:rsidTr="000C58DC">
        <w:tblPrEx>
          <w:tblCellMar>
            <w:left w:w="115" w:type="dxa"/>
            <w:right w:w="115" w:type="dxa"/>
          </w:tblCellMar>
        </w:tblPrEx>
        <w:trPr>
          <w:gridAfter w:val="4"/>
          <w:wAfter w:w="5740" w:type="dxa"/>
          <w:trHeight w:val="186"/>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6B06D" w14:textId="6F0B27B7" w:rsidR="000C58DC" w:rsidRPr="00C73FF0" w:rsidRDefault="000C58DC" w:rsidP="000C58DC">
            <w:pPr>
              <w:ind w:left="368"/>
              <w:rPr>
                <w:color w:val="000000"/>
                <w:sz w:val="20"/>
                <w:szCs w:val="20"/>
              </w:rPr>
            </w:pPr>
            <w:r w:rsidRPr="00C73FF0">
              <w:rPr>
                <w:color w:val="000000"/>
                <w:sz w:val="20"/>
                <w:szCs w:val="20"/>
              </w:rPr>
              <w:t>Total awards</w:t>
            </w:r>
            <w:r>
              <w:rPr>
                <w:color w:val="000000"/>
                <w:sz w:val="20"/>
                <w:szCs w:val="20"/>
              </w:rPr>
              <w:t xml:space="preserve"> (sum)</w:t>
            </w:r>
          </w:p>
        </w:tc>
        <w:tc>
          <w:tcPr>
            <w:tcW w:w="1349" w:type="dxa"/>
            <w:gridSpan w:val="2"/>
            <w:tcBorders>
              <w:top w:val="single" w:sz="4" w:space="0" w:color="auto"/>
              <w:left w:val="single" w:sz="4" w:space="0" w:color="auto"/>
              <w:bottom w:val="single" w:sz="4" w:space="0" w:color="auto"/>
              <w:right w:val="single" w:sz="4" w:space="0" w:color="auto"/>
            </w:tcBorders>
            <w:noWrap/>
          </w:tcPr>
          <w:p w14:paraId="3EFB3192" w14:textId="13A5207A" w:rsidR="000C58DC" w:rsidRPr="00C73FF0" w:rsidRDefault="000C58DC" w:rsidP="000C58DC">
            <w:pPr>
              <w:jc w:val="center"/>
              <w:rPr>
                <w:color w:val="000000"/>
                <w:sz w:val="20"/>
                <w:szCs w:val="20"/>
              </w:rPr>
            </w:pPr>
            <w:r>
              <w:rPr>
                <w:color w:val="000000"/>
                <w:sz w:val="20"/>
                <w:szCs w:val="20"/>
              </w:rPr>
              <w:t>6,158</w:t>
            </w:r>
          </w:p>
        </w:tc>
        <w:tc>
          <w:tcPr>
            <w:tcW w:w="1319" w:type="dxa"/>
            <w:tcBorders>
              <w:top w:val="single" w:sz="4" w:space="0" w:color="auto"/>
              <w:left w:val="single" w:sz="4" w:space="0" w:color="auto"/>
              <w:bottom w:val="single" w:sz="4" w:space="0" w:color="auto"/>
              <w:right w:val="single" w:sz="4" w:space="0" w:color="auto"/>
            </w:tcBorders>
          </w:tcPr>
          <w:p w14:paraId="45A97E10" w14:textId="40DBB007" w:rsidR="000C58DC" w:rsidRPr="00C73FF0" w:rsidRDefault="000C58DC" w:rsidP="000C58DC">
            <w:pPr>
              <w:jc w:val="center"/>
              <w:rPr>
                <w:color w:val="000000"/>
                <w:sz w:val="20"/>
                <w:szCs w:val="20"/>
              </w:rPr>
            </w:pPr>
            <w:r>
              <w:rPr>
                <w:color w:val="000000"/>
                <w:sz w:val="20"/>
                <w:szCs w:val="20"/>
              </w:rPr>
              <w:t>6,013</w:t>
            </w:r>
          </w:p>
        </w:tc>
        <w:tc>
          <w:tcPr>
            <w:tcW w:w="1379" w:type="dxa"/>
            <w:gridSpan w:val="2"/>
            <w:tcBorders>
              <w:top w:val="single" w:sz="4" w:space="0" w:color="auto"/>
              <w:left w:val="single" w:sz="4" w:space="0" w:color="auto"/>
              <w:bottom w:val="single" w:sz="4" w:space="0" w:color="auto"/>
              <w:right w:val="single" w:sz="4" w:space="0" w:color="auto"/>
            </w:tcBorders>
          </w:tcPr>
          <w:p w14:paraId="1256055B" w14:textId="46FCCFDD" w:rsidR="000C58DC" w:rsidRPr="00C73FF0" w:rsidRDefault="000C58DC" w:rsidP="000C58DC">
            <w:pPr>
              <w:jc w:val="center"/>
              <w:rPr>
                <w:color w:val="000000"/>
                <w:sz w:val="20"/>
                <w:szCs w:val="20"/>
              </w:rPr>
            </w:pPr>
            <w:r>
              <w:rPr>
                <w:color w:val="000000"/>
                <w:sz w:val="20"/>
                <w:szCs w:val="20"/>
              </w:rPr>
              <w:t>6,550</w:t>
            </w:r>
          </w:p>
        </w:tc>
        <w:tc>
          <w:tcPr>
            <w:tcW w:w="1406" w:type="dxa"/>
            <w:tcBorders>
              <w:top w:val="single" w:sz="4" w:space="0" w:color="auto"/>
              <w:left w:val="single" w:sz="4" w:space="0" w:color="auto"/>
              <w:bottom w:val="single" w:sz="4" w:space="0" w:color="auto"/>
              <w:right w:val="single" w:sz="4" w:space="0" w:color="auto"/>
            </w:tcBorders>
          </w:tcPr>
          <w:p w14:paraId="091829DC" w14:textId="0F8C17EB" w:rsidR="000C58DC" w:rsidRPr="00FC1838" w:rsidRDefault="000C58DC" w:rsidP="000C58DC">
            <w:pPr>
              <w:jc w:val="center"/>
              <w:rPr>
                <w:color w:val="000000"/>
                <w:sz w:val="20"/>
                <w:szCs w:val="20"/>
              </w:rPr>
            </w:pPr>
          </w:p>
        </w:tc>
      </w:tr>
      <w:bookmarkEnd w:id="4"/>
      <w:tr w:rsidR="000C58DC" w:rsidRPr="00E80EE2" w14:paraId="6A9F2CD9" w14:textId="77777777" w:rsidTr="000C58DC">
        <w:tblPrEx>
          <w:tblCellMar>
            <w:left w:w="115" w:type="dxa"/>
            <w:right w:w="115" w:type="dxa"/>
          </w:tblCellMar>
        </w:tblPrEx>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9DE924A" w14:textId="1FB10C36" w:rsidR="000C58DC" w:rsidRPr="00FC1838" w:rsidRDefault="000C58DC" w:rsidP="000C58DC">
            <w:pPr>
              <w:pStyle w:val="ListParagraph"/>
              <w:numPr>
                <w:ilvl w:val="0"/>
                <w:numId w:val="26"/>
              </w:numPr>
              <w:ind w:left="368"/>
              <w:rPr>
                <w:sz w:val="20"/>
                <w:szCs w:val="20"/>
              </w:rPr>
            </w:pPr>
            <w:r w:rsidRPr="00FC1838">
              <w:rPr>
                <w:sz w:val="20"/>
                <w:szCs w:val="20"/>
              </w:rPr>
              <w:t>Count of Distinct Graduates</w:t>
            </w:r>
            <w:r>
              <w:rPr>
                <w:sz w:val="20"/>
                <w:szCs w:val="20"/>
              </w:rPr>
              <w:t>*</w:t>
            </w:r>
            <w:r w:rsidRPr="00A253D9">
              <w:rPr>
                <w:rStyle w:val="EndnoteReference"/>
                <w:rFonts w:eastAsia="Arial Unicode MS"/>
                <w:sz w:val="20"/>
                <w:szCs w:val="20"/>
              </w:rPr>
              <w:endnoteReference w:id="7"/>
            </w:r>
          </w:p>
        </w:tc>
      </w:tr>
      <w:tr w:rsidR="000C58DC" w:rsidRPr="00E80EE2" w14:paraId="4E7C7D1E" w14:textId="77777777" w:rsidTr="000C58DC">
        <w:tblPrEx>
          <w:tblCellMar>
            <w:left w:w="115" w:type="dxa"/>
            <w:right w:w="115" w:type="dxa"/>
          </w:tblCellMar>
        </w:tblPrEx>
        <w:trPr>
          <w:gridAfter w:val="4"/>
          <w:wAfter w:w="5740" w:type="dxa"/>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73705" w14:textId="38E8B082" w:rsidR="000C58DC" w:rsidRPr="00FC1838" w:rsidRDefault="000C58DC" w:rsidP="000C58DC">
            <w:pPr>
              <w:ind w:left="374"/>
              <w:rPr>
                <w:sz w:val="20"/>
                <w:szCs w:val="20"/>
              </w:rPr>
            </w:pPr>
            <w:proofErr w:type="gramStart"/>
            <w:r w:rsidRPr="00FC1838">
              <w:rPr>
                <w:sz w:val="20"/>
                <w:szCs w:val="20"/>
              </w:rPr>
              <w:t>Associate Degree</w:t>
            </w:r>
            <w:proofErr w:type="gramEnd"/>
            <w:r w:rsidRPr="00FC1838">
              <w:rPr>
                <w:sz w:val="20"/>
                <w:szCs w:val="20"/>
              </w:rPr>
              <w:t xml:space="preserve"> (Academic)</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68E36" w14:textId="302D01D7" w:rsidR="000C58DC" w:rsidRPr="00FC1838" w:rsidRDefault="000C58DC" w:rsidP="000C58DC">
            <w:pPr>
              <w:jc w:val="center"/>
              <w:rPr>
                <w:sz w:val="20"/>
                <w:szCs w:val="20"/>
              </w:rPr>
            </w:pPr>
            <w:r w:rsidRPr="00FC1838">
              <w:rPr>
                <w:sz w:val="20"/>
                <w:szCs w:val="20"/>
              </w:rPr>
              <w:t>127</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A8DD4" w14:textId="49AC6953" w:rsidR="000C58DC" w:rsidRPr="00FC1838" w:rsidRDefault="000C58DC" w:rsidP="000C58DC">
            <w:pPr>
              <w:jc w:val="center"/>
              <w:rPr>
                <w:sz w:val="20"/>
                <w:szCs w:val="20"/>
              </w:rPr>
            </w:pPr>
            <w:r w:rsidRPr="00FC1838">
              <w:rPr>
                <w:sz w:val="20"/>
                <w:szCs w:val="20"/>
              </w:rPr>
              <w:t>184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AFBA2E" w14:textId="76517548" w:rsidR="000C58DC" w:rsidRPr="00FC1838" w:rsidRDefault="000C58DC" w:rsidP="000C58DC">
            <w:pPr>
              <w:jc w:val="center"/>
              <w:rPr>
                <w:sz w:val="20"/>
                <w:szCs w:val="20"/>
              </w:rPr>
            </w:pPr>
            <w:r>
              <w:rPr>
                <w:sz w:val="20"/>
                <w:szCs w:val="20"/>
              </w:rPr>
              <w:t>316</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16F6C" w14:textId="5481A0BA" w:rsidR="000C58DC" w:rsidRPr="00FC1838" w:rsidRDefault="000C58DC" w:rsidP="000C58DC">
            <w:pPr>
              <w:jc w:val="center"/>
              <w:rPr>
                <w:sz w:val="20"/>
                <w:szCs w:val="20"/>
              </w:rPr>
            </w:pPr>
          </w:p>
        </w:tc>
      </w:tr>
      <w:tr w:rsidR="000C58DC" w:rsidRPr="00E80EE2" w14:paraId="5A110367" w14:textId="556D5108" w:rsidTr="000C58DC">
        <w:tblPrEx>
          <w:tblCellMar>
            <w:left w:w="115" w:type="dxa"/>
            <w:right w:w="115" w:type="dxa"/>
          </w:tblCellMar>
        </w:tblPrEx>
        <w:trPr>
          <w:trHeight w:val="4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C6C87" w14:textId="6060ECC6" w:rsidR="000C58DC" w:rsidRPr="00FC1838" w:rsidRDefault="000C58DC" w:rsidP="000C58DC">
            <w:pPr>
              <w:ind w:left="374"/>
              <w:rPr>
                <w:sz w:val="20"/>
                <w:szCs w:val="20"/>
              </w:rPr>
            </w:pPr>
            <w:r w:rsidRPr="00FC1838">
              <w:rPr>
                <w:sz w:val="20"/>
                <w:szCs w:val="20"/>
              </w:rPr>
              <w:t>Bachelor’s Degree (Academic)</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C5DFF" w14:textId="4F52F745" w:rsidR="000C58DC" w:rsidRPr="00FC1838" w:rsidRDefault="000C58DC" w:rsidP="000C58DC">
            <w:pPr>
              <w:jc w:val="center"/>
              <w:rPr>
                <w:sz w:val="20"/>
                <w:szCs w:val="20"/>
              </w:rPr>
            </w:pPr>
            <w:r w:rsidRPr="00FC1838">
              <w:rPr>
                <w:sz w:val="20"/>
                <w:szCs w:val="20"/>
              </w:rPr>
              <w:t>3,947</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EC924" w14:textId="3CE4E756" w:rsidR="000C58DC" w:rsidRPr="00FC1838" w:rsidRDefault="000C58DC" w:rsidP="000C58DC">
            <w:pPr>
              <w:jc w:val="center"/>
              <w:rPr>
                <w:sz w:val="20"/>
                <w:szCs w:val="20"/>
              </w:rPr>
            </w:pPr>
            <w:r w:rsidRPr="00FC1838">
              <w:rPr>
                <w:sz w:val="20"/>
                <w:szCs w:val="20"/>
              </w:rPr>
              <w:t>3,856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4E74B2F" w14:textId="348B9CD8" w:rsidR="000C58DC" w:rsidRPr="00FC1838" w:rsidRDefault="000C58DC" w:rsidP="000C58DC">
            <w:pPr>
              <w:jc w:val="center"/>
              <w:rPr>
                <w:sz w:val="20"/>
                <w:szCs w:val="20"/>
              </w:rPr>
            </w:pPr>
            <w:r>
              <w:rPr>
                <w:sz w:val="20"/>
                <w:szCs w:val="20"/>
              </w:rPr>
              <w:t>3,963</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98DC9" w14:textId="615EA4B2" w:rsidR="000C58DC" w:rsidRPr="00FC1838" w:rsidRDefault="000C58DC" w:rsidP="000C58DC">
            <w:pPr>
              <w:jc w:val="center"/>
              <w:rPr>
                <w:sz w:val="20"/>
                <w:szCs w:val="20"/>
              </w:rPr>
            </w:pPr>
          </w:p>
        </w:tc>
        <w:tc>
          <w:tcPr>
            <w:tcW w:w="1435" w:type="dxa"/>
            <w:vMerge w:val="restart"/>
            <w:vAlign w:val="center"/>
          </w:tcPr>
          <w:p w14:paraId="5DCA76BF" w14:textId="77777777" w:rsidR="000C58DC" w:rsidRPr="00E80EE2" w:rsidRDefault="000C58DC" w:rsidP="000C58DC"/>
        </w:tc>
        <w:tc>
          <w:tcPr>
            <w:tcW w:w="1435" w:type="dxa"/>
            <w:vMerge w:val="restart"/>
            <w:vAlign w:val="center"/>
          </w:tcPr>
          <w:p w14:paraId="3B3A6B3B" w14:textId="77777777" w:rsidR="000C58DC" w:rsidRPr="00E80EE2" w:rsidRDefault="000C58DC" w:rsidP="000C58DC"/>
        </w:tc>
        <w:tc>
          <w:tcPr>
            <w:tcW w:w="1435" w:type="dxa"/>
            <w:vMerge w:val="restart"/>
            <w:vAlign w:val="center"/>
          </w:tcPr>
          <w:p w14:paraId="4B309B36" w14:textId="77777777" w:rsidR="000C58DC" w:rsidRPr="00E80EE2" w:rsidRDefault="000C58DC" w:rsidP="000C58DC"/>
        </w:tc>
        <w:tc>
          <w:tcPr>
            <w:tcW w:w="1435" w:type="dxa"/>
            <w:vMerge w:val="restart"/>
            <w:vAlign w:val="center"/>
          </w:tcPr>
          <w:p w14:paraId="22BF4C39" w14:textId="77777777" w:rsidR="000C58DC" w:rsidRPr="00E80EE2" w:rsidRDefault="000C58DC" w:rsidP="000C58DC"/>
        </w:tc>
      </w:tr>
      <w:tr w:rsidR="000C58DC" w:rsidRPr="00E80EE2" w14:paraId="21F5FF88"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676D4" w14:textId="1E38A7B2" w:rsidR="000C58DC" w:rsidRPr="00FC1838" w:rsidRDefault="000C58DC" w:rsidP="000C58DC">
            <w:pPr>
              <w:ind w:left="374"/>
              <w:rPr>
                <w:sz w:val="20"/>
                <w:szCs w:val="20"/>
              </w:rPr>
            </w:pPr>
            <w:r w:rsidRPr="00FC1838">
              <w:rPr>
                <w:sz w:val="20"/>
                <w:szCs w:val="20"/>
              </w:rPr>
              <w:t>Certificate – Undergraduate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960AA" w14:textId="65FBFAC3" w:rsidR="000C58DC" w:rsidRPr="00FC1838" w:rsidRDefault="000C58DC" w:rsidP="000C58DC">
            <w:pPr>
              <w:jc w:val="center"/>
              <w:rPr>
                <w:sz w:val="20"/>
                <w:szCs w:val="20"/>
              </w:rPr>
            </w:pPr>
            <w:r w:rsidRPr="00FC1838">
              <w:rPr>
                <w:sz w:val="20"/>
                <w:szCs w:val="20"/>
              </w:rPr>
              <w:t>629</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E27E3" w14:textId="0ECFEDAC" w:rsidR="000C58DC" w:rsidRPr="00FC1838" w:rsidRDefault="000C58DC" w:rsidP="000C58DC">
            <w:pPr>
              <w:jc w:val="center"/>
              <w:rPr>
                <w:sz w:val="20"/>
                <w:szCs w:val="20"/>
              </w:rPr>
            </w:pPr>
            <w:r w:rsidRPr="00FC1838">
              <w:rPr>
                <w:sz w:val="20"/>
                <w:szCs w:val="20"/>
              </w:rPr>
              <w:t>590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C1D227A" w14:textId="59DDA95D" w:rsidR="000C58DC" w:rsidRPr="00FC1838" w:rsidRDefault="000C58DC" w:rsidP="000C58DC">
            <w:pPr>
              <w:jc w:val="center"/>
              <w:rPr>
                <w:sz w:val="20"/>
                <w:szCs w:val="20"/>
              </w:rPr>
            </w:pPr>
            <w:r>
              <w:rPr>
                <w:sz w:val="20"/>
                <w:szCs w:val="20"/>
              </w:rPr>
              <w:t>666</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9F014" w14:textId="363D7AE2" w:rsidR="000C58DC" w:rsidRPr="00FC1838" w:rsidRDefault="000C58DC" w:rsidP="000C58DC">
            <w:pPr>
              <w:jc w:val="center"/>
              <w:rPr>
                <w:sz w:val="20"/>
                <w:szCs w:val="20"/>
              </w:rPr>
            </w:pPr>
          </w:p>
        </w:tc>
        <w:tc>
          <w:tcPr>
            <w:tcW w:w="1435" w:type="dxa"/>
            <w:vMerge/>
            <w:vAlign w:val="center"/>
          </w:tcPr>
          <w:p w14:paraId="0F6BF866" w14:textId="77777777" w:rsidR="000C58DC" w:rsidRPr="00E80EE2" w:rsidRDefault="000C58DC" w:rsidP="000C58DC"/>
        </w:tc>
        <w:tc>
          <w:tcPr>
            <w:tcW w:w="1435" w:type="dxa"/>
            <w:vMerge/>
            <w:vAlign w:val="center"/>
          </w:tcPr>
          <w:p w14:paraId="3C251F52" w14:textId="77777777" w:rsidR="000C58DC" w:rsidRPr="00E80EE2" w:rsidRDefault="000C58DC" w:rsidP="000C58DC"/>
        </w:tc>
        <w:tc>
          <w:tcPr>
            <w:tcW w:w="1435" w:type="dxa"/>
            <w:vMerge/>
            <w:vAlign w:val="center"/>
          </w:tcPr>
          <w:p w14:paraId="772F6474" w14:textId="77777777" w:rsidR="000C58DC" w:rsidRPr="00E80EE2" w:rsidRDefault="000C58DC" w:rsidP="000C58DC"/>
        </w:tc>
        <w:tc>
          <w:tcPr>
            <w:tcW w:w="1435" w:type="dxa"/>
            <w:vMerge/>
            <w:vAlign w:val="center"/>
          </w:tcPr>
          <w:p w14:paraId="702DA3E8" w14:textId="77777777" w:rsidR="000C58DC" w:rsidRPr="00E80EE2" w:rsidRDefault="000C58DC" w:rsidP="000C58DC"/>
        </w:tc>
      </w:tr>
      <w:tr w:rsidR="000C58DC" w:rsidRPr="00E80EE2" w14:paraId="7DA68C7D"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77144" w14:textId="2E5E7056" w:rsidR="000C58DC" w:rsidRPr="00FC1838" w:rsidRDefault="000C58DC" w:rsidP="000C58DC">
            <w:pPr>
              <w:ind w:left="374"/>
              <w:rPr>
                <w:sz w:val="20"/>
                <w:szCs w:val="20"/>
              </w:rPr>
            </w:pPr>
            <w:r w:rsidRPr="00FC1838">
              <w:rPr>
                <w:sz w:val="20"/>
                <w:szCs w:val="20"/>
              </w:rPr>
              <w:t>Certificate – Graduate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12088" w14:textId="3A143B55" w:rsidR="000C58DC" w:rsidRPr="00FC1838" w:rsidRDefault="000C58DC" w:rsidP="000C58DC">
            <w:pPr>
              <w:jc w:val="center"/>
              <w:rPr>
                <w:sz w:val="20"/>
                <w:szCs w:val="20"/>
              </w:rPr>
            </w:pPr>
            <w:r w:rsidRPr="00FC1838">
              <w:rPr>
                <w:sz w:val="20"/>
                <w:szCs w:val="20"/>
              </w:rPr>
              <w:t>174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9F1A7" w14:textId="3534F708" w:rsidR="000C58DC" w:rsidRPr="00FC1838" w:rsidRDefault="000C58DC" w:rsidP="000C58DC">
            <w:pPr>
              <w:jc w:val="center"/>
              <w:rPr>
                <w:sz w:val="20"/>
                <w:szCs w:val="20"/>
              </w:rPr>
            </w:pPr>
            <w:r w:rsidRPr="00FC1838">
              <w:rPr>
                <w:sz w:val="20"/>
                <w:szCs w:val="20"/>
              </w:rPr>
              <w:t>130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984AE5" w14:textId="4BF5CEDD" w:rsidR="000C58DC" w:rsidRPr="00FC1838" w:rsidRDefault="000C58DC" w:rsidP="000C58DC">
            <w:pPr>
              <w:jc w:val="center"/>
              <w:rPr>
                <w:sz w:val="20"/>
                <w:szCs w:val="20"/>
              </w:rPr>
            </w:pPr>
            <w:r>
              <w:rPr>
                <w:sz w:val="20"/>
                <w:szCs w:val="20"/>
              </w:rPr>
              <w:t>141</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8CECF" w14:textId="6572CBB5" w:rsidR="000C58DC" w:rsidRPr="00FC1838" w:rsidRDefault="000C58DC" w:rsidP="000C58DC">
            <w:pPr>
              <w:jc w:val="center"/>
              <w:rPr>
                <w:sz w:val="20"/>
                <w:szCs w:val="20"/>
              </w:rPr>
            </w:pPr>
          </w:p>
        </w:tc>
        <w:tc>
          <w:tcPr>
            <w:tcW w:w="1435" w:type="dxa"/>
            <w:vMerge/>
            <w:vAlign w:val="center"/>
          </w:tcPr>
          <w:p w14:paraId="6B02C333" w14:textId="77777777" w:rsidR="000C58DC" w:rsidRPr="00E80EE2" w:rsidRDefault="000C58DC" w:rsidP="000C58DC"/>
        </w:tc>
        <w:tc>
          <w:tcPr>
            <w:tcW w:w="1435" w:type="dxa"/>
            <w:vMerge/>
            <w:vAlign w:val="center"/>
          </w:tcPr>
          <w:p w14:paraId="640759DC" w14:textId="77777777" w:rsidR="000C58DC" w:rsidRPr="00E80EE2" w:rsidRDefault="000C58DC" w:rsidP="000C58DC"/>
        </w:tc>
        <w:tc>
          <w:tcPr>
            <w:tcW w:w="1435" w:type="dxa"/>
            <w:vMerge/>
            <w:vAlign w:val="center"/>
          </w:tcPr>
          <w:p w14:paraId="090F4124" w14:textId="77777777" w:rsidR="000C58DC" w:rsidRPr="00E80EE2" w:rsidRDefault="000C58DC" w:rsidP="000C58DC"/>
        </w:tc>
        <w:tc>
          <w:tcPr>
            <w:tcW w:w="1435" w:type="dxa"/>
            <w:vMerge/>
            <w:vAlign w:val="center"/>
          </w:tcPr>
          <w:p w14:paraId="2942AAFE" w14:textId="77777777" w:rsidR="000C58DC" w:rsidRPr="00E80EE2" w:rsidRDefault="000C58DC" w:rsidP="000C58DC"/>
        </w:tc>
      </w:tr>
      <w:tr w:rsidR="000C58DC" w:rsidRPr="00E80EE2" w14:paraId="0319F61A"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D78FB" w14:textId="2E33174B" w:rsidR="000C58DC" w:rsidRPr="00FC1838" w:rsidRDefault="000C58DC" w:rsidP="000C58DC">
            <w:pPr>
              <w:ind w:left="374"/>
              <w:rPr>
                <w:sz w:val="20"/>
                <w:szCs w:val="20"/>
              </w:rPr>
            </w:pPr>
            <w:r w:rsidRPr="00FC1838">
              <w:rPr>
                <w:sz w:val="20"/>
                <w:szCs w:val="20"/>
              </w:rPr>
              <w:t>Master’s Degrees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6F89F" w14:textId="1CE8B074" w:rsidR="000C58DC" w:rsidRPr="00FC1838" w:rsidRDefault="000C58DC" w:rsidP="000C58DC">
            <w:pPr>
              <w:jc w:val="center"/>
              <w:rPr>
                <w:sz w:val="20"/>
                <w:szCs w:val="20"/>
              </w:rPr>
            </w:pPr>
            <w:r w:rsidRPr="00FC1838">
              <w:rPr>
                <w:sz w:val="20"/>
                <w:szCs w:val="20"/>
              </w:rPr>
              <w:t>1,063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CB185" w14:textId="25C61D98" w:rsidR="000C58DC" w:rsidRPr="00FC1838" w:rsidRDefault="000C58DC" w:rsidP="000C58DC">
            <w:pPr>
              <w:jc w:val="center"/>
              <w:rPr>
                <w:sz w:val="20"/>
                <w:szCs w:val="20"/>
              </w:rPr>
            </w:pPr>
            <w:r w:rsidRPr="00FC1838">
              <w:rPr>
                <w:sz w:val="20"/>
                <w:szCs w:val="20"/>
              </w:rPr>
              <w:t>1,028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F731947" w14:textId="3C6A26B0" w:rsidR="000C58DC" w:rsidRPr="00FC1838" w:rsidRDefault="000C58DC" w:rsidP="000C58DC">
            <w:pPr>
              <w:jc w:val="center"/>
              <w:rPr>
                <w:sz w:val="20"/>
                <w:szCs w:val="20"/>
              </w:rPr>
            </w:pPr>
            <w:r>
              <w:rPr>
                <w:sz w:val="20"/>
                <w:szCs w:val="20"/>
              </w:rPr>
              <w:t>1,072</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89CC8" w14:textId="7B3AF8D3" w:rsidR="000C58DC" w:rsidRPr="00FC1838" w:rsidRDefault="000C58DC" w:rsidP="000C58DC">
            <w:pPr>
              <w:jc w:val="center"/>
              <w:rPr>
                <w:sz w:val="20"/>
                <w:szCs w:val="20"/>
              </w:rPr>
            </w:pPr>
          </w:p>
        </w:tc>
        <w:tc>
          <w:tcPr>
            <w:tcW w:w="1435" w:type="dxa"/>
            <w:vMerge/>
            <w:vAlign w:val="center"/>
          </w:tcPr>
          <w:p w14:paraId="3D538AC9" w14:textId="77777777" w:rsidR="000C58DC" w:rsidRPr="00E80EE2" w:rsidRDefault="000C58DC" w:rsidP="000C58DC"/>
        </w:tc>
        <w:tc>
          <w:tcPr>
            <w:tcW w:w="1435" w:type="dxa"/>
            <w:vMerge/>
            <w:vAlign w:val="center"/>
          </w:tcPr>
          <w:p w14:paraId="49000AAC" w14:textId="77777777" w:rsidR="000C58DC" w:rsidRPr="00E80EE2" w:rsidRDefault="000C58DC" w:rsidP="000C58DC"/>
        </w:tc>
        <w:tc>
          <w:tcPr>
            <w:tcW w:w="1435" w:type="dxa"/>
            <w:vMerge/>
            <w:vAlign w:val="center"/>
          </w:tcPr>
          <w:p w14:paraId="21A65788" w14:textId="77777777" w:rsidR="000C58DC" w:rsidRPr="00E80EE2" w:rsidRDefault="000C58DC" w:rsidP="000C58DC"/>
        </w:tc>
        <w:tc>
          <w:tcPr>
            <w:tcW w:w="1435" w:type="dxa"/>
            <w:vMerge/>
            <w:vAlign w:val="center"/>
          </w:tcPr>
          <w:p w14:paraId="0578B73B" w14:textId="77777777" w:rsidR="000C58DC" w:rsidRPr="00E80EE2" w:rsidRDefault="000C58DC" w:rsidP="000C58DC"/>
        </w:tc>
      </w:tr>
      <w:tr w:rsidR="000C58DC" w:rsidRPr="00E80EE2" w14:paraId="5EA1B9A8"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1CF71" w14:textId="6E2ED22D" w:rsidR="000C58DC" w:rsidRPr="00FC1838" w:rsidRDefault="000C58DC" w:rsidP="000C58DC">
            <w:pPr>
              <w:ind w:left="374"/>
              <w:rPr>
                <w:sz w:val="20"/>
                <w:szCs w:val="20"/>
              </w:rPr>
            </w:pPr>
            <w:r w:rsidRPr="00FC1838">
              <w:rPr>
                <w:sz w:val="20"/>
                <w:szCs w:val="20"/>
              </w:rPr>
              <w:lastRenderedPageBreak/>
              <w:t>Educational Specialist’s Degree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022B3" w14:textId="0151D81C" w:rsidR="000C58DC" w:rsidRPr="00FC1838" w:rsidRDefault="000C58DC" w:rsidP="000C58DC">
            <w:pPr>
              <w:jc w:val="center"/>
              <w:rPr>
                <w:sz w:val="20"/>
                <w:szCs w:val="20"/>
              </w:rPr>
            </w:pPr>
            <w:r w:rsidRPr="00FC1838">
              <w:rPr>
                <w:sz w:val="20"/>
                <w:szCs w:val="20"/>
              </w:rPr>
              <w:t>16</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02883" w14:textId="3BDC52C9" w:rsidR="000C58DC" w:rsidRPr="00FC1838" w:rsidRDefault="000C58DC" w:rsidP="000C58DC">
            <w:pPr>
              <w:jc w:val="center"/>
              <w:rPr>
                <w:sz w:val="20"/>
                <w:szCs w:val="20"/>
              </w:rPr>
            </w:pPr>
            <w:r w:rsidRPr="00FC1838">
              <w:rPr>
                <w:sz w:val="20"/>
                <w:szCs w:val="20"/>
              </w:rPr>
              <w:t>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1AEEA41" w14:textId="0E60ADBC" w:rsidR="000C58DC" w:rsidRPr="00FC1838" w:rsidRDefault="000C58DC" w:rsidP="000C58DC">
            <w:pPr>
              <w:jc w:val="center"/>
              <w:rPr>
                <w:sz w:val="20"/>
                <w:szCs w:val="20"/>
              </w:rPr>
            </w:pPr>
            <w:r>
              <w:rPr>
                <w:sz w:val="20"/>
                <w:szCs w:val="20"/>
              </w:rPr>
              <w:t>15</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3089B" w14:textId="10BD57DA" w:rsidR="000C58DC" w:rsidRPr="00FC1838" w:rsidRDefault="000C58DC" w:rsidP="000C58DC">
            <w:pPr>
              <w:jc w:val="center"/>
              <w:rPr>
                <w:sz w:val="20"/>
                <w:szCs w:val="20"/>
              </w:rPr>
            </w:pPr>
          </w:p>
        </w:tc>
        <w:tc>
          <w:tcPr>
            <w:tcW w:w="1435" w:type="dxa"/>
            <w:vMerge/>
            <w:vAlign w:val="center"/>
          </w:tcPr>
          <w:p w14:paraId="0D6DEEE4" w14:textId="77777777" w:rsidR="000C58DC" w:rsidRPr="00E80EE2" w:rsidRDefault="000C58DC" w:rsidP="000C58DC"/>
        </w:tc>
        <w:tc>
          <w:tcPr>
            <w:tcW w:w="1435" w:type="dxa"/>
            <w:vMerge/>
            <w:vAlign w:val="center"/>
          </w:tcPr>
          <w:p w14:paraId="4D725D5F" w14:textId="77777777" w:rsidR="000C58DC" w:rsidRPr="00E80EE2" w:rsidRDefault="000C58DC" w:rsidP="000C58DC"/>
        </w:tc>
        <w:tc>
          <w:tcPr>
            <w:tcW w:w="1435" w:type="dxa"/>
            <w:vMerge/>
            <w:vAlign w:val="center"/>
          </w:tcPr>
          <w:p w14:paraId="3774D65C" w14:textId="77777777" w:rsidR="000C58DC" w:rsidRPr="00E80EE2" w:rsidRDefault="000C58DC" w:rsidP="000C58DC"/>
        </w:tc>
        <w:tc>
          <w:tcPr>
            <w:tcW w:w="1435" w:type="dxa"/>
            <w:vMerge/>
            <w:vAlign w:val="center"/>
          </w:tcPr>
          <w:p w14:paraId="185060E4" w14:textId="77777777" w:rsidR="000C58DC" w:rsidRPr="00E80EE2" w:rsidRDefault="000C58DC" w:rsidP="000C58DC"/>
        </w:tc>
      </w:tr>
      <w:tr w:rsidR="000C58DC" w:rsidRPr="00E80EE2" w14:paraId="0F09C47E"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2CAEE" w14:textId="0E729ED4" w:rsidR="000C58DC" w:rsidRPr="00FC1838" w:rsidRDefault="000C58DC" w:rsidP="000C58DC">
            <w:pPr>
              <w:ind w:left="374"/>
              <w:rPr>
                <w:sz w:val="20"/>
                <w:szCs w:val="20"/>
              </w:rPr>
            </w:pPr>
            <w:r w:rsidRPr="00FC1838">
              <w:rPr>
                <w:sz w:val="20"/>
                <w:szCs w:val="20"/>
              </w:rPr>
              <w:t>Doctoral Degree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FD058" w14:textId="45F51EA8" w:rsidR="000C58DC" w:rsidRPr="00FC1838" w:rsidRDefault="000C58DC" w:rsidP="000C58DC">
            <w:pPr>
              <w:jc w:val="center"/>
              <w:rPr>
                <w:sz w:val="20"/>
                <w:szCs w:val="20"/>
              </w:rPr>
            </w:pPr>
            <w:r w:rsidRPr="00FC1838">
              <w:rPr>
                <w:sz w:val="20"/>
                <w:szCs w:val="20"/>
              </w:rPr>
              <w:t>58</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8AF89" w14:textId="67A5D9FC" w:rsidR="000C58DC" w:rsidRPr="00FC1838" w:rsidRDefault="000C58DC" w:rsidP="000C58DC">
            <w:pPr>
              <w:jc w:val="center"/>
              <w:rPr>
                <w:sz w:val="20"/>
                <w:szCs w:val="20"/>
              </w:rPr>
            </w:pPr>
            <w:r w:rsidRPr="00FC1838">
              <w:rPr>
                <w:sz w:val="20"/>
                <w:szCs w:val="20"/>
              </w:rPr>
              <w:t>60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E43065D" w14:textId="60A89946" w:rsidR="000C58DC" w:rsidRPr="00FC1838" w:rsidRDefault="000C58DC" w:rsidP="000C58DC">
            <w:pPr>
              <w:jc w:val="center"/>
              <w:rPr>
                <w:sz w:val="20"/>
                <w:szCs w:val="20"/>
              </w:rPr>
            </w:pPr>
            <w:r>
              <w:rPr>
                <w:sz w:val="20"/>
                <w:szCs w:val="20"/>
              </w:rPr>
              <w:t>72</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C5006" w14:textId="338197D7" w:rsidR="000C58DC" w:rsidRPr="00FC1838" w:rsidRDefault="000C58DC" w:rsidP="000C58DC">
            <w:pPr>
              <w:jc w:val="center"/>
              <w:rPr>
                <w:sz w:val="20"/>
                <w:szCs w:val="20"/>
              </w:rPr>
            </w:pPr>
          </w:p>
        </w:tc>
        <w:tc>
          <w:tcPr>
            <w:tcW w:w="1435" w:type="dxa"/>
            <w:vMerge/>
            <w:vAlign w:val="center"/>
          </w:tcPr>
          <w:p w14:paraId="5976E8E5" w14:textId="77777777" w:rsidR="000C58DC" w:rsidRPr="00E80EE2" w:rsidRDefault="000C58DC" w:rsidP="000C58DC"/>
        </w:tc>
        <w:tc>
          <w:tcPr>
            <w:tcW w:w="1435" w:type="dxa"/>
            <w:vMerge/>
            <w:vAlign w:val="center"/>
          </w:tcPr>
          <w:p w14:paraId="41D176A1" w14:textId="77777777" w:rsidR="000C58DC" w:rsidRPr="00E80EE2" w:rsidRDefault="000C58DC" w:rsidP="000C58DC"/>
        </w:tc>
        <w:tc>
          <w:tcPr>
            <w:tcW w:w="1435" w:type="dxa"/>
            <w:vMerge/>
            <w:vAlign w:val="center"/>
          </w:tcPr>
          <w:p w14:paraId="1BC0C55F" w14:textId="77777777" w:rsidR="000C58DC" w:rsidRPr="00E80EE2" w:rsidRDefault="000C58DC" w:rsidP="000C58DC"/>
        </w:tc>
        <w:tc>
          <w:tcPr>
            <w:tcW w:w="1435" w:type="dxa"/>
            <w:vMerge/>
            <w:vAlign w:val="center"/>
          </w:tcPr>
          <w:p w14:paraId="4D60A0E8" w14:textId="77777777" w:rsidR="000C58DC" w:rsidRPr="00E80EE2" w:rsidRDefault="000C58DC" w:rsidP="000C58DC"/>
        </w:tc>
      </w:tr>
      <w:tr w:rsidR="000C58DC" w:rsidRPr="00E80EE2" w14:paraId="663E9666"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01CD4" w14:textId="4FC48D43" w:rsidR="000C58DC" w:rsidRPr="00FC1838" w:rsidRDefault="000C58DC" w:rsidP="000C58DC">
            <w:pPr>
              <w:ind w:left="374"/>
              <w:rPr>
                <w:sz w:val="20"/>
                <w:szCs w:val="20"/>
              </w:rPr>
            </w:pPr>
            <w:r w:rsidRPr="00FC1838">
              <w:rPr>
                <w:sz w:val="20"/>
                <w:szCs w:val="20"/>
              </w:rPr>
              <w:t>Total distinct graduates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EBF2A" w14:textId="6E2720DB" w:rsidR="000C58DC" w:rsidRPr="00FC1838" w:rsidRDefault="000C58DC" w:rsidP="000C58DC">
            <w:pPr>
              <w:jc w:val="center"/>
              <w:rPr>
                <w:sz w:val="20"/>
                <w:szCs w:val="20"/>
              </w:rPr>
            </w:pPr>
            <w:r w:rsidRPr="00FC1838">
              <w:rPr>
                <w:sz w:val="20"/>
                <w:szCs w:val="20"/>
              </w:rPr>
              <w:t>5,313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89968" w14:textId="6E2468C4" w:rsidR="000C58DC" w:rsidRPr="00FC1838" w:rsidRDefault="000C58DC" w:rsidP="000C58DC">
            <w:pPr>
              <w:jc w:val="center"/>
              <w:rPr>
                <w:sz w:val="20"/>
                <w:szCs w:val="20"/>
              </w:rPr>
            </w:pPr>
            <w:r w:rsidRPr="00FC1838">
              <w:rPr>
                <w:sz w:val="20"/>
                <w:szCs w:val="20"/>
              </w:rPr>
              <w:t>5,231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681FAE1" w14:textId="05D4271C" w:rsidR="000C58DC" w:rsidRPr="00FC1838" w:rsidRDefault="000C58DC" w:rsidP="000C58DC">
            <w:pPr>
              <w:jc w:val="center"/>
              <w:rPr>
                <w:sz w:val="20"/>
                <w:szCs w:val="20"/>
              </w:rPr>
            </w:pPr>
            <w:r>
              <w:rPr>
                <w:sz w:val="20"/>
                <w:szCs w:val="20"/>
              </w:rPr>
              <w:t>5,463</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3D1F2" w14:textId="4339EE5A" w:rsidR="000C58DC" w:rsidRPr="00FC1838" w:rsidRDefault="000C58DC" w:rsidP="000C58DC">
            <w:pPr>
              <w:jc w:val="center"/>
              <w:rPr>
                <w:sz w:val="20"/>
                <w:szCs w:val="20"/>
              </w:rPr>
            </w:pPr>
          </w:p>
        </w:tc>
        <w:tc>
          <w:tcPr>
            <w:tcW w:w="1435" w:type="dxa"/>
            <w:vMerge/>
            <w:vAlign w:val="center"/>
          </w:tcPr>
          <w:p w14:paraId="6759DEEB" w14:textId="77777777" w:rsidR="000C58DC" w:rsidRPr="00E80EE2" w:rsidRDefault="000C58DC" w:rsidP="000C58DC"/>
        </w:tc>
        <w:tc>
          <w:tcPr>
            <w:tcW w:w="1435" w:type="dxa"/>
            <w:vMerge/>
            <w:vAlign w:val="center"/>
          </w:tcPr>
          <w:p w14:paraId="7DC9CB70" w14:textId="77777777" w:rsidR="000C58DC" w:rsidRPr="00E80EE2" w:rsidRDefault="000C58DC" w:rsidP="000C58DC"/>
        </w:tc>
        <w:tc>
          <w:tcPr>
            <w:tcW w:w="1435" w:type="dxa"/>
            <w:vMerge/>
            <w:vAlign w:val="center"/>
          </w:tcPr>
          <w:p w14:paraId="418E815F" w14:textId="77777777" w:rsidR="000C58DC" w:rsidRPr="00E80EE2" w:rsidRDefault="000C58DC" w:rsidP="000C58DC"/>
        </w:tc>
        <w:tc>
          <w:tcPr>
            <w:tcW w:w="1435" w:type="dxa"/>
            <w:vMerge/>
            <w:vAlign w:val="center"/>
          </w:tcPr>
          <w:p w14:paraId="1305F2C1" w14:textId="77777777" w:rsidR="000C58DC" w:rsidRPr="00E80EE2" w:rsidRDefault="000C58DC" w:rsidP="000C58DC"/>
        </w:tc>
      </w:tr>
      <w:tr w:rsidR="000C58DC" w:rsidRPr="00E80EE2" w14:paraId="0F6DE902" w14:textId="77777777" w:rsidTr="000C58DC">
        <w:tblPrEx>
          <w:tblCellMar>
            <w:left w:w="115" w:type="dxa"/>
            <w:right w:w="115" w:type="dxa"/>
          </w:tblCellMar>
        </w:tblPrEx>
        <w:trPr>
          <w:trHeight w:val="3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5DAD3AE" w14:textId="0A5F2872" w:rsidR="000C58DC" w:rsidRPr="004F3FF5" w:rsidRDefault="000C58DC" w:rsidP="000C58DC">
            <w:pPr>
              <w:pStyle w:val="ListParagraph"/>
              <w:numPr>
                <w:ilvl w:val="0"/>
                <w:numId w:val="26"/>
              </w:numPr>
              <w:ind w:left="325"/>
              <w:rPr>
                <w:sz w:val="20"/>
                <w:szCs w:val="20"/>
              </w:rPr>
            </w:pPr>
            <w:r w:rsidRPr="004F3FF5">
              <w:rPr>
                <w:color w:val="000000"/>
                <w:sz w:val="20"/>
                <w:szCs w:val="20"/>
              </w:rPr>
              <w:t>First to Second Year Retention Rate</w:t>
            </w:r>
          </w:p>
        </w:tc>
        <w:tc>
          <w:tcPr>
            <w:tcW w:w="1435" w:type="dxa"/>
            <w:vAlign w:val="center"/>
          </w:tcPr>
          <w:p w14:paraId="26F794CD" w14:textId="77777777" w:rsidR="000C58DC" w:rsidRPr="00E80EE2" w:rsidRDefault="000C58DC" w:rsidP="000C58DC"/>
        </w:tc>
        <w:tc>
          <w:tcPr>
            <w:tcW w:w="1435" w:type="dxa"/>
            <w:vAlign w:val="center"/>
          </w:tcPr>
          <w:p w14:paraId="0314471B" w14:textId="77777777" w:rsidR="000C58DC" w:rsidRPr="00E80EE2" w:rsidRDefault="000C58DC" w:rsidP="000C58DC"/>
        </w:tc>
        <w:tc>
          <w:tcPr>
            <w:tcW w:w="1435" w:type="dxa"/>
            <w:vAlign w:val="center"/>
          </w:tcPr>
          <w:p w14:paraId="3BF886FD" w14:textId="77777777" w:rsidR="000C58DC" w:rsidRPr="00E80EE2" w:rsidRDefault="000C58DC" w:rsidP="000C58DC"/>
        </w:tc>
        <w:tc>
          <w:tcPr>
            <w:tcW w:w="1435" w:type="dxa"/>
            <w:vAlign w:val="center"/>
          </w:tcPr>
          <w:p w14:paraId="485F69E2" w14:textId="77777777" w:rsidR="000C58DC" w:rsidRPr="00E80EE2" w:rsidRDefault="000C58DC" w:rsidP="000C58DC"/>
        </w:tc>
      </w:tr>
      <w:tr w:rsidR="000C58DC" w:rsidRPr="00E80EE2" w14:paraId="05B23D07"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A9BC" w14:textId="6FF6A06E" w:rsidR="000C58DC" w:rsidRPr="00CC3677" w:rsidRDefault="000C58DC" w:rsidP="000C58DC">
            <w:pPr>
              <w:ind w:left="374"/>
              <w:rPr>
                <w:sz w:val="20"/>
                <w:szCs w:val="20"/>
              </w:rPr>
            </w:pPr>
            <w:r w:rsidRPr="00CC3677">
              <w:rPr>
                <w:sz w:val="20"/>
                <w:szCs w:val="20"/>
              </w:rPr>
              <w:t>% of first-time, full-time freshmen retained</w:t>
            </w:r>
            <w:r w:rsidRPr="00CC3677">
              <w:rPr>
                <w:rStyle w:val="EndnoteReference"/>
                <w:sz w:val="20"/>
                <w:szCs w:val="20"/>
              </w:rPr>
              <w:endnoteReference w:id="8"/>
            </w:r>
            <w:r w:rsidRPr="00CC3677">
              <w:rPr>
                <w:sz w:val="20"/>
                <w:szCs w:val="20"/>
              </w:rPr>
              <w: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2F555" w14:textId="77777777" w:rsidR="000C58DC" w:rsidRPr="00CC3677" w:rsidRDefault="000C58DC" w:rsidP="000C58DC">
            <w:pPr>
              <w:pStyle w:val="NormalWeb"/>
              <w:spacing w:before="0" w:beforeAutospacing="0" w:after="0" w:afterAutospacing="0"/>
              <w:jc w:val="center"/>
            </w:pPr>
            <w:r w:rsidRPr="00CC3677">
              <w:rPr>
                <w:rFonts w:ascii="Arial" w:hAnsi="Arial" w:cs="Arial"/>
                <w:color w:val="000000"/>
                <w:sz w:val="16"/>
                <w:szCs w:val="16"/>
              </w:rPr>
              <w:t>F2021 cohort</w:t>
            </w:r>
          </w:p>
          <w:p w14:paraId="57016657" w14:textId="698A5C5F" w:rsidR="000C58DC" w:rsidRPr="00CC3677" w:rsidRDefault="000C58DC" w:rsidP="000C58DC">
            <w:pPr>
              <w:jc w:val="center"/>
              <w:rPr>
                <w:sz w:val="20"/>
                <w:szCs w:val="20"/>
              </w:rPr>
            </w:pPr>
            <w:r w:rsidRPr="00CC3677">
              <w:rPr>
                <w:color w:val="000000"/>
                <w:sz w:val="20"/>
                <w:szCs w:val="20"/>
              </w:rPr>
              <w:t>79.2%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6A5F1" w14:textId="77777777" w:rsidR="000C58DC" w:rsidRPr="00CC3677" w:rsidRDefault="000C58DC" w:rsidP="000C58DC">
            <w:pPr>
              <w:pStyle w:val="NormalWeb"/>
              <w:spacing w:before="0" w:beforeAutospacing="0" w:after="0" w:afterAutospacing="0"/>
              <w:jc w:val="center"/>
              <w:rPr>
                <w:rFonts w:ascii="Arial" w:hAnsi="Arial" w:cs="Arial"/>
                <w:color w:val="000000"/>
                <w:sz w:val="16"/>
                <w:szCs w:val="16"/>
              </w:rPr>
            </w:pPr>
            <w:r w:rsidRPr="00CC3677">
              <w:rPr>
                <w:rFonts w:ascii="Arial" w:hAnsi="Arial" w:cs="Arial"/>
                <w:color w:val="000000"/>
                <w:sz w:val="16"/>
                <w:szCs w:val="16"/>
              </w:rPr>
              <w:t>F202</w:t>
            </w:r>
            <w:r>
              <w:rPr>
                <w:rFonts w:ascii="Arial" w:hAnsi="Arial" w:cs="Arial"/>
                <w:color w:val="000000"/>
                <w:sz w:val="16"/>
                <w:szCs w:val="16"/>
              </w:rPr>
              <w:t>2</w:t>
            </w:r>
            <w:r w:rsidRPr="00CC3677">
              <w:rPr>
                <w:rFonts w:ascii="Arial" w:hAnsi="Arial" w:cs="Arial"/>
                <w:color w:val="000000"/>
                <w:sz w:val="16"/>
                <w:szCs w:val="16"/>
              </w:rPr>
              <w:t xml:space="preserve"> cohort</w:t>
            </w:r>
          </w:p>
          <w:p w14:paraId="6BBFF7A9" w14:textId="2618F667" w:rsidR="000C58DC" w:rsidRPr="00CC3677" w:rsidRDefault="000C58DC" w:rsidP="000C58DC">
            <w:pPr>
              <w:jc w:val="center"/>
              <w:rPr>
                <w:sz w:val="20"/>
                <w:szCs w:val="20"/>
              </w:rPr>
            </w:pPr>
            <w:r w:rsidRPr="00CC3677">
              <w:rPr>
                <w:color w:val="000000"/>
                <w:sz w:val="20"/>
                <w:szCs w:val="20"/>
              </w:rPr>
              <w:t>7</w:t>
            </w:r>
            <w:r>
              <w:rPr>
                <w:color w:val="000000"/>
                <w:sz w:val="20"/>
                <w:szCs w:val="20"/>
              </w:rPr>
              <w:t>7.8</w:t>
            </w:r>
            <w:r w:rsidRPr="00CC3677">
              <w:rPr>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6B19DF8" w14:textId="77777777" w:rsidR="000C58DC" w:rsidRPr="00CC3677" w:rsidRDefault="000C58DC" w:rsidP="000C58DC">
            <w:pPr>
              <w:pStyle w:val="NormalWeb"/>
              <w:spacing w:before="0" w:beforeAutospacing="0" w:after="0" w:afterAutospacing="0"/>
              <w:jc w:val="center"/>
              <w:rPr>
                <w:rFonts w:ascii="Arial" w:hAnsi="Arial" w:cs="Arial"/>
                <w:color w:val="000000"/>
                <w:sz w:val="16"/>
                <w:szCs w:val="16"/>
              </w:rPr>
            </w:pPr>
            <w:r w:rsidRPr="00CC3677">
              <w:rPr>
                <w:rFonts w:ascii="Arial" w:hAnsi="Arial" w:cs="Arial"/>
                <w:color w:val="000000"/>
                <w:sz w:val="16"/>
                <w:szCs w:val="16"/>
              </w:rPr>
              <w:t>F202</w:t>
            </w:r>
            <w:r>
              <w:rPr>
                <w:rFonts w:ascii="Arial" w:hAnsi="Arial" w:cs="Arial"/>
                <w:color w:val="000000"/>
                <w:sz w:val="16"/>
                <w:szCs w:val="16"/>
              </w:rPr>
              <w:t>3</w:t>
            </w:r>
            <w:r w:rsidRPr="00CC3677">
              <w:rPr>
                <w:rFonts w:ascii="Arial" w:hAnsi="Arial" w:cs="Arial"/>
                <w:color w:val="000000"/>
                <w:sz w:val="16"/>
                <w:szCs w:val="16"/>
              </w:rPr>
              <w:t xml:space="preserve"> cohort</w:t>
            </w:r>
          </w:p>
          <w:p w14:paraId="3E8D095A" w14:textId="0705F0B0" w:rsidR="000C58DC" w:rsidRPr="00CC3677" w:rsidRDefault="000C58DC" w:rsidP="000C58DC">
            <w:pPr>
              <w:jc w:val="center"/>
              <w:rPr>
                <w:sz w:val="20"/>
                <w:szCs w:val="20"/>
              </w:rPr>
            </w:pPr>
            <w:r w:rsidRPr="00CC3677">
              <w:rPr>
                <w:i/>
                <w:color w:val="000000"/>
                <w:sz w:val="16"/>
                <w:szCs w:val="16"/>
              </w:rPr>
              <w:t xml:space="preserve">Not available </w:t>
            </w:r>
            <w:proofErr w:type="gramStart"/>
            <w:r w:rsidRPr="00CC3677">
              <w:rPr>
                <w:i/>
                <w:color w:val="000000"/>
                <w:sz w:val="16"/>
                <w:szCs w:val="16"/>
              </w:rPr>
              <w:t>at this time</w:t>
            </w:r>
            <w:proofErr w:type="gramEnd"/>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C9E62" w14:textId="00ED919B" w:rsidR="000C58DC" w:rsidRPr="00CC3677" w:rsidRDefault="000C58DC" w:rsidP="000C58DC">
            <w:pPr>
              <w:jc w:val="center"/>
              <w:rPr>
                <w:sz w:val="20"/>
                <w:szCs w:val="20"/>
              </w:rPr>
            </w:pPr>
          </w:p>
        </w:tc>
        <w:tc>
          <w:tcPr>
            <w:tcW w:w="1435" w:type="dxa"/>
            <w:vAlign w:val="center"/>
          </w:tcPr>
          <w:p w14:paraId="5044E387" w14:textId="77777777" w:rsidR="000C58DC" w:rsidRPr="00E80EE2" w:rsidRDefault="000C58DC" w:rsidP="000C58DC"/>
        </w:tc>
        <w:tc>
          <w:tcPr>
            <w:tcW w:w="1435" w:type="dxa"/>
            <w:vAlign w:val="center"/>
          </w:tcPr>
          <w:p w14:paraId="7DD98848" w14:textId="77777777" w:rsidR="000C58DC" w:rsidRPr="00E80EE2" w:rsidRDefault="000C58DC" w:rsidP="000C58DC"/>
        </w:tc>
        <w:tc>
          <w:tcPr>
            <w:tcW w:w="1435" w:type="dxa"/>
            <w:vAlign w:val="center"/>
          </w:tcPr>
          <w:p w14:paraId="1D4E34FC" w14:textId="77777777" w:rsidR="000C58DC" w:rsidRPr="00E80EE2" w:rsidRDefault="000C58DC" w:rsidP="000C58DC"/>
        </w:tc>
        <w:tc>
          <w:tcPr>
            <w:tcW w:w="1435" w:type="dxa"/>
            <w:vAlign w:val="center"/>
          </w:tcPr>
          <w:p w14:paraId="5C5360B7" w14:textId="77777777" w:rsidR="000C58DC" w:rsidRPr="00E80EE2" w:rsidRDefault="000C58DC" w:rsidP="000C58DC"/>
        </w:tc>
      </w:tr>
      <w:tr w:rsidR="000C58DC" w:rsidRPr="00E80EE2" w14:paraId="0C7DE97D"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88E84" w14:textId="4F44716A" w:rsidR="000C58DC" w:rsidRPr="00CC3677" w:rsidRDefault="000C58DC" w:rsidP="000C58DC">
            <w:pPr>
              <w:ind w:left="374"/>
              <w:rPr>
                <w:sz w:val="20"/>
                <w:szCs w:val="20"/>
              </w:rPr>
            </w:pPr>
            <w:r w:rsidRPr="00CC3677">
              <w:rPr>
                <w:sz w:val="20"/>
                <w:szCs w:val="20"/>
              </w:rPr>
              <w:t>% of full-time transfers retained or graduated*</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0158C" w14:textId="3CC036BF" w:rsidR="000C58DC" w:rsidRPr="00CC3677" w:rsidRDefault="000C58DC" w:rsidP="000C58DC">
            <w:pPr>
              <w:jc w:val="center"/>
              <w:rPr>
                <w:sz w:val="20"/>
                <w:szCs w:val="20"/>
              </w:rPr>
            </w:pPr>
            <w:r w:rsidRPr="00CC3677">
              <w:rPr>
                <w:color w:val="000000"/>
                <w:sz w:val="20"/>
                <w:szCs w:val="20"/>
              </w:rPr>
              <w:t>78.4%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79385" w14:textId="350117D3" w:rsidR="000C58DC" w:rsidRPr="00CC3677" w:rsidRDefault="000C58DC" w:rsidP="000C58DC">
            <w:pPr>
              <w:jc w:val="center"/>
              <w:rPr>
                <w:sz w:val="20"/>
                <w:szCs w:val="20"/>
              </w:rPr>
            </w:pPr>
            <w:r w:rsidRPr="00CC3677">
              <w:rPr>
                <w:color w:val="000000"/>
                <w:sz w:val="20"/>
                <w:szCs w:val="20"/>
              </w:rPr>
              <w:t>7</w:t>
            </w:r>
            <w:r>
              <w:rPr>
                <w:color w:val="000000"/>
                <w:sz w:val="20"/>
                <w:szCs w:val="20"/>
              </w:rPr>
              <w:t>8</w:t>
            </w:r>
            <w:r w:rsidRPr="00CC3677">
              <w:rPr>
                <w:color w:val="000000"/>
                <w:sz w:val="20"/>
                <w:szCs w:val="20"/>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173323B" w14:textId="05FBDCB6" w:rsidR="000C58DC" w:rsidRPr="00CC3677" w:rsidRDefault="000C58DC" w:rsidP="000C58DC">
            <w:pPr>
              <w:jc w:val="center"/>
              <w:rPr>
                <w:sz w:val="20"/>
                <w:szCs w:val="20"/>
              </w:rPr>
            </w:pPr>
            <w:r w:rsidRPr="00CC3677">
              <w:rPr>
                <w:i/>
                <w:color w:val="000000"/>
                <w:sz w:val="16"/>
                <w:szCs w:val="16"/>
              </w:rPr>
              <w:t xml:space="preserve">Not available </w:t>
            </w:r>
            <w:proofErr w:type="gramStart"/>
            <w:r w:rsidRPr="00CC3677">
              <w:rPr>
                <w:i/>
                <w:color w:val="000000"/>
                <w:sz w:val="16"/>
                <w:szCs w:val="16"/>
              </w:rPr>
              <w:t>at this time</w:t>
            </w:r>
            <w:proofErr w:type="gramEnd"/>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ABDE7" w14:textId="302818F6" w:rsidR="000C58DC" w:rsidRPr="00CC3677" w:rsidRDefault="000C58DC" w:rsidP="000C58DC">
            <w:pPr>
              <w:jc w:val="center"/>
              <w:rPr>
                <w:sz w:val="20"/>
                <w:szCs w:val="20"/>
              </w:rPr>
            </w:pPr>
          </w:p>
        </w:tc>
        <w:tc>
          <w:tcPr>
            <w:tcW w:w="1435" w:type="dxa"/>
            <w:vAlign w:val="center"/>
          </w:tcPr>
          <w:p w14:paraId="333410CC" w14:textId="77777777" w:rsidR="000C58DC" w:rsidRPr="00E80EE2" w:rsidRDefault="000C58DC" w:rsidP="000C58DC"/>
        </w:tc>
        <w:tc>
          <w:tcPr>
            <w:tcW w:w="1435" w:type="dxa"/>
            <w:vAlign w:val="center"/>
          </w:tcPr>
          <w:p w14:paraId="6F753FB1" w14:textId="77777777" w:rsidR="000C58DC" w:rsidRPr="00E80EE2" w:rsidRDefault="000C58DC" w:rsidP="000C58DC"/>
        </w:tc>
        <w:tc>
          <w:tcPr>
            <w:tcW w:w="1435" w:type="dxa"/>
            <w:vAlign w:val="center"/>
          </w:tcPr>
          <w:p w14:paraId="0019647D" w14:textId="77777777" w:rsidR="000C58DC" w:rsidRPr="00E80EE2" w:rsidRDefault="000C58DC" w:rsidP="000C58DC"/>
        </w:tc>
        <w:tc>
          <w:tcPr>
            <w:tcW w:w="1435" w:type="dxa"/>
            <w:vAlign w:val="center"/>
          </w:tcPr>
          <w:p w14:paraId="6930B433" w14:textId="77777777" w:rsidR="000C58DC" w:rsidRPr="00E80EE2" w:rsidRDefault="000C58DC" w:rsidP="000C58DC"/>
        </w:tc>
      </w:tr>
      <w:tr w:rsidR="000C58DC" w:rsidRPr="00E80EE2" w14:paraId="1CCBFA8E" w14:textId="77777777" w:rsidTr="000C58DC">
        <w:tblPrEx>
          <w:tblCellMar>
            <w:left w:w="115" w:type="dxa"/>
            <w:right w:w="115" w:type="dxa"/>
          </w:tblCellMar>
        </w:tblPrEx>
        <w:trPr>
          <w:trHeight w:val="3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8A196E9" w14:textId="4549EEB0" w:rsidR="000C58DC" w:rsidRPr="00CC3677" w:rsidRDefault="000C58DC" w:rsidP="000C58DC">
            <w:pPr>
              <w:pStyle w:val="ListParagraph"/>
              <w:numPr>
                <w:ilvl w:val="0"/>
                <w:numId w:val="26"/>
              </w:numPr>
              <w:ind w:left="325"/>
              <w:rPr>
                <w:sz w:val="20"/>
                <w:szCs w:val="20"/>
              </w:rPr>
            </w:pPr>
            <w:r w:rsidRPr="00CC3677">
              <w:rPr>
                <w:color w:val="000000"/>
                <w:sz w:val="20"/>
                <w:szCs w:val="20"/>
              </w:rPr>
              <w:t>Transfer Student Graduation Rates</w:t>
            </w:r>
          </w:p>
        </w:tc>
        <w:tc>
          <w:tcPr>
            <w:tcW w:w="1435" w:type="dxa"/>
            <w:vAlign w:val="center"/>
          </w:tcPr>
          <w:p w14:paraId="6A275643" w14:textId="77777777" w:rsidR="000C58DC" w:rsidRPr="00E80EE2" w:rsidRDefault="000C58DC" w:rsidP="000C58DC"/>
        </w:tc>
        <w:tc>
          <w:tcPr>
            <w:tcW w:w="1435" w:type="dxa"/>
            <w:vAlign w:val="center"/>
          </w:tcPr>
          <w:p w14:paraId="02253EA8" w14:textId="77777777" w:rsidR="000C58DC" w:rsidRPr="00E80EE2" w:rsidRDefault="000C58DC" w:rsidP="000C58DC"/>
        </w:tc>
        <w:tc>
          <w:tcPr>
            <w:tcW w:w="1435" w:type="dxa"/>
            <w:vAlign w:val="center"/>
          </w:tcPr>
          <w:p w14:paraId="69E15F3D" w14:textId="77777777" w:rsidR="000C58DC" w:rsidRPr="00E80EE2" w:rsidRDefault="000C58DC" w:rsidP="000C58DC"/>
        </w:tc>
        <w:tc>
          <w:tcPr>
            <w:tcW w:w="1435" w:type="dxa"/>
            <w:vAlign w:val="center"/>
          </w:tcPr>
          <w:p w14:paraId="060F8773" w14:textId="77777777" w:rsidR="000C58DC" w:rsidRPr="00E80EE2" w:rsidRDefault="000C58DC" w:rsidP="000C58DC"/>
        </w:tc>
      </w:tr>
      <w:tr w:rsidR="000C58DC" w:rsidRPr="00E80EE2" w14:paraId="52F14C17"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E0685" w14:textId="0B9F83D8" w:rsidR="000C58DC" w:rsidRPr="00CC3677" w:rsidRDefault="000C58DC" w:rsidP="000C58DC">
            <w:pPr>
              <w:ind w:left="374"/>
              <w:rPr>
                <w:sz w:val="20"/>
                <w:szCs w:val="20"/>
              </w:rPr>
            </w:pPr>
            <w:r w:rsidRPr="00CC3677">
              <w:rPr>
                <w:bCs/>
                <w:sz w:val="20"/>
                <w:szCs w:val="20"/>
              </w:rPr>
              <w:t>6-yr: % of full-time transfers who graduated in six years or less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F56FF" w14:textId="77777777" w:rsidR="000C58DC" w:rsidRPr="00CC3677" w:rsidRDefault="000C58DC" w:rsidP="000C58DC">
            <w:pPr>
              <w:jc w:val="center"/>
              <w:rPr>
                <w:rFonts w:eastAsia="Arial Unicode MS"/>
                <w:color w:val="000000"/>
                <w:sz w:val="16"/>
                <w:szCs w:val="16"/>
              </w:rPr>
            </w:pPr>
            <w:r w:rsidRPr="00CC3677">
              <w:rPr>
                <w:rFonts w:eastAsia="Arial Unicode MS"/>
                <w:color w:val="000000"/>
                <w:sz w:val="16"/>
                <w:szCs w:val="16"/>
              </w:rPr>
              <w:t>F2016 cohort</w:t>
            </w:r>
          </w:p>
          <w:p w14:paraId="678D0703" w14:textId="0F691D07" w:rsidR="000C58DC" w:rsidRPr="00CC3677" w:rsidRDefault="000C58DC" w:rsidP="000C58DC">
            <w:pPr>
              <w:jc w:val="center"/>
              <w:rPr>
                <w:sz w:val="20"/>
                <w:szCs w:val="20"/>
              </w:rPr>
            </w:pPr>
            <w:r w:rsidRPr="00CC3677">
              <w:rPr>
                <w:color w:val="000000"/>
                <w:sz w:val="20"/>
                <w:szCs w:val="20"/>
              </w:rPr>
              <w:t>60.4%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B4559" w14:textId="77777777" w:rsidR="000C58DC" w:rsidRPr="00CC3677" w:rsidRDefault="000C58DC" w:rsidP="000C58DC">
            <w:pPr>
              <w:jc w:val="center"/>
              <w:rPr>
                <w:rFonts w:eastAsia="Arial Unicode MS"/>
                <w:color w:val="000000"/>
                <w:sz w:val="16"/>
                <w:szCs w:val="16"/>
              </w:rPr>
            </w:pPr>
            <w:r w:rsidRPr="00CC3677">
              <w:rPr>
                <w:rFonts w:eastAsia="Arial Unicode MS"/>
                <w:color w:val="000000"/>
                <w:sz w:val="16"/>
                <w:szCs w:val="16"/>
              </w:rPr>
              <w:t>F201</w:t>
            </w:r>
            <w:r>
              <w:rPr>
                <w:rFonts w:eastAsia="Arial Unicode MS"/>
                <w:color w:val="000000"/>
                <w:sz w:val="16"/>
                <w:szCs w:val="16"/>
              </w:rPr>
              <w:t>7</w:t>
            </w:r>
            <w:r w:rsidRPr="00CC3677">
              <w:rPr>
                <w:rFonts w:eastAsia="Arial Unicode MS"/>
                <w:color w:val="000000"/>
                <w:sz w:val="16"/>
                <w:szCs w:val="16"/>
              </w:rPr>
              <w:t xml:space="preserve"> cohort</w:t>
            </w:r>
          </w:p>
          <w:p w14:paraId="2852F11B" w14:textId="4FF03CD3" w:rsidR="000C58DC" w:rsidRPr="00CC3677" w:rsidRDefault="000C58DC" w:rsidP="000C58DC">
            <w:pPr>
              <w:jc w:val="center"/>
              <w:rPr>
                <w:sz w:val="20"/>
                <w:szCs w:val="20"/>
              </w:rPr>
            </w:pPr>
            <w:r w:rsidRPr="00CC3677">
              <w:rPr>
                <w:color w:val="000000"/>
                <w:sz w:val="20"/>
                <w:szCs w:val="20"/>
              </w:rPr>
              <w:t>6</w:t>
            </w:r>
            <w:r>
              <w:rPr>
                <w:color w:val="000000"/>
                <w:sz w:val="20"/>
                <w:szCs w:val="20"/>
              </w:rPr>
              <w:t>3</w:t>
            </w:r>
            <w:r w:rsidRPr="00CC3677">
              <w:rPr>
                <w:color w:val="000000"/>
                <w:sz w:val="20"/>
                <w:szCs w:val="20"/>
              </w:rPr>
              <w:t>.</w:t>
            </w:r>
            <w:r>
              <w:rPr>
                <w:color w:val="000000"/>
                <w:sz w:val="20"/>
                <w:szCs w:val="20"/>
              </w:rPr>
              <w:t>2</w:t>
            </w:r>
            <w:r w:rsidRPr="00CC3677">
              <w:rPr>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0F86BAF" w14:textId="4E5A4E28" w:rsidR="000C58DC" w:rsidRPr="00CC3677" w:rsidRDefault="000C58DC" w:rsidP="000C58DC">
            <w:pPr>
              <w:jc w:val="center"/>
              <w:rPr>
                <w:sz w:val="20"/>
                <w:szCs w:val="20"/>
              </w:rPr>
            </w:pPr>
            <w:r w:rsidRPr="00CC3677">
              <w:rPr>
                <w:i/>
                <w:color w:val="000000"/>
                <w:sz w:val="16"/>
                <w:szCs w:val="16"/>
              </w:rPr>
              <w:t xml:space="preserve">Not available </w:t>
            </w:r>
            <w:proofErr w:type="gramStart"/>
            <w:r w:rsidRPr="00CC3677">
              <w:rPr>
                <w:i/>
                <w:color w:val="000000"/>
                <w:sz w:val="16"/>
                <w:szCs w:val="16"/>
              </w:rPr>
              <w:t>at this time</w:t>
            </w:r>
            <w:proofErr w:type="gramEnd"/>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7C801" w14:textId="707557CB" w:rsidR="000C58DC" w:rsidRPr="00CC3677" w:rsidRDefault="000C58DC" w:rsidP="000C58DC">
            <w:pPr>
              <w:jc w:val="center"/>
              <w:rPr>
                <w:sz w:val="20"/>
                <w:szCs w:val="20"/>
              </w:rPr>
            </w:pPr>
          </w:p>
        </w:tc>
        <w:tc>
          <w:tcPr>
            <w:tcW w:w="1435" w:type="dxa"/>
            <w:vAlign w:val="center"/>
          </w:tcPr>
          <w:p w14:paraId="4DD0A761" w14:textId="77777777" w:rsidR="000C58DC" w:rsidRPr="00E80EE2" w:rsidRDefault="000C58DC" w:rsidP="000C58DC"/>
        </w:tc>
        <w:tc>
          <w:tcPr>
            <w:tcW w:w="1435" w:type="dxa"/>
            <w:vAlign w:val="center"/>
          </w:tcPr>
          <w:p w14:paraId="58B205FC" w14:textId="77777777" w:rsidR="000C58DC" w:rsidRPr="00E80EE2" w:rsidRDefault="000C58DC" w:rsidP="000C58DC"/>
        </w:tc>
        <w:tc>
          <w:tcPr>
            <w:tcW w:w="1435" w:type="dxa"/>
            <w:vAlign w:val="center"/>
          </w:tcPr>
          <w:p w14:paraId="409C74E8" w14:textId="77777777" w:rsidR="000C58DC" w:rsidRPr="00E80EE2" w:rsidRDefault="000C58DC" w:rsidP="000C58DC"/>
        </w:tc>
        <w:tc>
          <w:tcPr>
            <w:tcW w:w="1435" w:type="dxa"/>
            <w:vAlign w:val="center"/>
          </w:tcPr>
          <w:p w14:paraId="4D3DB263" w14:textId="77777777" w:rsidR="000C58DC" w:rsidRPr="00E80EE2" w:rsidRDefault="000C58DC" w:rsidP="000C58DC"/>
        </w:tc>
      </w:tr>
      <w:tr w:rsidR="000C58DC" w:rsidRPr="00E80EE2" w14:paraId="1BA675D0" w14:textId="77777777" w:rsidTr="000C58DC">
        <w:tblPrEx>
          <w:tblCellMar>
            <w:left w:w="115" w:type="dxa"/>
            <w:right w:w="115" w:type="dxa"/>
          </w:tblCellMar>
        </w:tblPrEx>
        <w:trPr>
          <w:trHeight w:val="3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19D3E36" w14:textId="187C11C8" w:rsidR="000C58DC" w:rsidRPr="00CC3677" w:rsidRDefault="000C58DC" w:rsidP="000C58DC">
            <w:pPr>
              <w:pStyle w:val="ListParagraph"/>
              <w:numPr>
                <w:ilvl w:val="0"/>
                <w:numId w:val="26"/>
              </w:numPr>
              <w:ind w:left="325" w:hanging="325"/>
              <w:rPr>
                <w:sz w:val="20"/>
                <w:szCs w:val="20"/>
              </w:rPr>
            </w:pPr>
            <w:r w:rsidRPr="00CC3677">
              <w:rPr>
                <w:color w:val="000000"/>
                <w:sz w:val="20"/>
                <w:szCs w:val="20"/>
              </w:rPr>
              <w:t>Graduates per FTE</w:t>
            </w:r>
          </w:p>
        </w:tc>
        <w:tc>
          <w:tcPr>
            <w:tcW w:w="1435" w:type="dxa"/>
            <w:vAlign w:val="center"/>
          </w:tcPr>
          <w:p w14:paraId="28686B65" w14:textId="77777777" w:rsidR="000C58DC" w:rsidRPr="00E80EE2" w:rsidRDefault="000C58DC" w:rsidP="000C58DC"/>
        </w:tc>
        <w:tc>
          <w:tcPr>
            <w:tcW w:w="1435" w:type="dxa"/>
            <w:vAlign w:val="center"/>
          </w:tcPr>
          <w:p w14:paraId="48ECC9FF" w14:textId="77777777" w:rsidR="000C58DC" w:rsidRPr="00E80EE2" w:rsidRDefault="000C58DC" w:rsidP="000C58DC"/>
        </w:tc>
        <w:tc>
          <w:tcPr>
            <w:tcW w:w="1435" w:type="dxa"/>
            <w:vAlign w:val="center"/>
          </w:tcPr>
          <w:p w14:paraId="3F0E2057" w14:textId="77777777" w:rsidR="000C58DC" w:rsidRPr="00E80EE2" w:rsidRDefault="000C58DC" w:rsidP="000C58DC"/>
        </w:tc>
        <w:tc>
          <w:tcPr>
            <w:tcW w:w="1435" w:type="dxa"/>
            <w:vAlign w:val="center"/>
          </w:tcPr>
          <w:p w14:paraId="1BFB883E" w14:textId="77777777" w:rsidR="000C58DC" w:rsidRPr="00E80EE2" w:rsidRDefault="000C58DC" w:rsidP="000C58DC"/>
        </w:tc>
      </w:tr>
      <w:tr w:rsidR="000C58DC" w:rsidRPr="00E80EE2" w14:paraId="65A86B6F"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9F56F" w14:textId="068D63EB" w:rsidR="000C58DC" w:rsidRPr="00CC3677" w:rsidRDefault="000C58DC" w:rsidP="000C58DC">
            <w:pPr>
              <w:ind w:left="374"/>
              <w:rPr>
                <w:sz w:val="20"/>
                <w:szCs w:val="20"/>
              </w:rPr>
            </w:pPr>
            <w:r w:rsidRPr="00CC3677">
              <w:rPr>
                <w:rFonts w:eastAsia="Arial Unicode MS"/>
                <w:sz w:val="20"/>
                <w:szCs w:val="20"/>
              </w:rPr>
              <w:t>Baccalaureate graduates per undergraduate FTE</w:t>
            </w:r>
            <w:r w:rsidRPr="00CC3677">
              <w:rPr>
                <w:rStyle w:val="EndnoteReference"/>
                <w:rFonts w:eastAsia="Arial Unicode MS"/>
                <w:sz w:val="20"/>
                <w:szCs w:val="20"/>
              </w:rPr>
              <w:endnoteReference w:id="9"/>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953CE" w14:textId="72C3F791" w:rsidR="000C58DC" w:rsidRPr="00CC3677" w:rsidRDefault="000C58DC" w:rsidP="000C58DC">
            <w:pPr>
              <w:jc w:val="center"/>
              <w:rPr>
                <w:sz w:val="20"/>
                <w:szCs w:val="20"/>
              </w:rPr>
            </w:pPr>
            <w:r w:rsidRPr="00CC3677">
              <w:rPr>
                <w:color w:val="000000"/>
                <w:sz w:val="20"/>
                <w:szCs w:val="20"/>
              </w:rPr>
              <w:t>24.7</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0CD52" w14:textId="62FD6877" w:rsidR="000C58DC" w:rsidRPr="00CC3677" w:rsidRDefault="000C58DC" w:rsidP="000C58DC">
            <w:pPr>
              <w:jc w:val="center"/>
              <w:rPr>
                <w:sz w:val="20"/>
                <w:szCs w:val="20"/>
              </w:rPr>
            </w:pPr>
            <w:r w:rsidRPr="00CC3677">
              <w:rPr>
                <w:color w:val="000000"/>
                <w:sz w:val="20"/>
                <w:szCs w:val="20"/>
              </w:rPr>
              <w:t>23.9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7F18134" w14:textId="2E9D8190" w:rsidR="000C58DC" w:rsidRPr="00CC3677" w:rsidRDefault="000C58DC" w:rsidP="000C58DC">
            <w:pPr>
              <w:jc w:val="center"/>
              <w:rPr>
                <w:sz w:val="20"/>
                <w:szCs w:val="20"/>
              </w:rPr>
            </w:pPr>
            <w:r>
              <w:rPr>
                <w:sz w:val="20"/>
                <w:szCs w:val="20"/>
              </w:rPr>
              <w:t>24.0</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68D7F" w14:textId="702C4049" w:rsidR="000C58DC" w:rsidRPr="00CC3677" w:rsidRDefault="000C58DC" w:rsidP="000C58DC">
            <w:pPr>
              <w:jc w:val="center"/>
              <w:rPr>
                <w:sz w:val="20"/>
                <w:szCs w:val="20"/>
              </w:rPr>
            </w:pPr>
          </w:p>
        </w:tc>
        <w:tc>
          <w:tcPr>
            <w:tcW w:w="1435" w:type="dxa"/>
            <w:vAlign w:val="center"/>
          </w:tcPr>
          <w:p w14:paraId="3B9F004D" w14:textId="77777777" w:rsidR="000C58DC" w:rsidRPr="00E80EE2" w:rsidRDefault="000C58DC" w:rsidP="000C58DC"/>
        </w:tc>
        <w:tc>
          <w:tcPr>
            <w:tcW w:w="1435" w:type="dxa"/>
            <w:vAlign w:val="center"/>
          </w:tcPr>
          <w:p w14:paraId="5DDB6888" w14:textId="77777777" w:rsidR="000C58DC" w:rsidRPr="00E80EE2" w:rsidRDefault="000C58DC" w:rsidP="000C58DC"/>
        </w:tc>
        <w:tc>
          <w:tcPr>
            <w:tcW w:w="1435" w:type="dxa"/>
            <w:vAlign w:val="center"/>
          </w:tcPr>
          <w:p w14:paraId="45460C16" w14:textId="77777777" w:rsidR="000C58DC" w:rsidRPr="00E80EE2" w:rsidRDefault="000C58DC" w:rsidP="000C58DC"/>
        </w:tc>
        <w:tc>
          <w:tcPr>
            <w:tcW w:w="1435" w:type="dxa"/>
            <w:vAlign w:val="center"/>
          </w:tcPr>
          <w:p w14:paraId="2B4A8A4D" w14:textId="77777777" w:rsidR="000C58DC" w:rsidRPr="00E80EE2" w:rsidRDefault="000C58DC" w:rsidP="000C58DC"/>
        </w:tc>
      </w:tr>
      <w:tr w:rsidR="000C58DC" w:rsidRPr="00E80EE2" w14:paraId="4914FA33"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FA578" w14:textId="6A701E3B" w:rsidR="000C58DC" w:rsidRPr="00CC3677" w:rsidRDefault="000C58DC" w:rsidP="000C58DC">
            <w:pPr>
              <w:ind w:left="374"/>
              <w:rPr>
                <w:sz w:val="20"/>
                <w:szCs w:val="20"/>
              </w:rPr>
            </w:pPr>
            <w:r w:rsidRPr="00CC3677">
              <w:rPr>
                <w:rFonts w:eastAsia="Arial Unicode MS"/>
                <w:sz w:val="20"/>
                <w:szCs w:val="20"/>
              </w:rPr>
              <w:t>Baccalaureate graduates per junior/senior FTE</w:t>
            </w:r>
            <w:r w:rsidRPr="00CC3677">
              <w:rPr>
                <w:rStyle w:val="EndnoteReference"/>
                <w:rFonts w:eastAsia="Arial Unicode MS"/>
                <w:sz w:val="20"/>
                <w:szCs w:val="20"/>
              </w:rPr>
              <w:endnoteReference w:id="10"/>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BA52A" w14:textId="2F4F3CB3" w:rsidR="000C58DC" w:rsidRPr="00CC3677" w:rsidRDefault="000C58DC" w:rsidP="000C58DC">
            <w:pPr>
              <w:jc w:val="center"/>
              <w:rPr>
                <w:sz w:val="20"/>
                <w:szCs w:val="20"/>
              </w:rPr>
            </w:pPr>
            <w:r>
              <w:rPr>
                <w:color w:val="000000"/>
                <w:sz w:val="20"/>
                <w:szCs w:val="20"/>
              </w:rPr>
              <w:t>50.3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C1B6A" w14:textId="0DD87B6B" w:rsidR="000C58DC" w:rsidRPr="00CC3677" w:rsidRDefault="000C58DC" w:rsidP="000C58DC">
            <w:pPr>
              <w:jc w:val="center"/>
              <w:rPr>
                <w:sz w:val="20"/>
                <w:szCs w:val="20"/>
              </w:rPr>
            </w:pPr>
            <w:r w:rsidRPr="00CC3677">
              <w:rPr>
                <w:color w:val="000000"/>
                <w:sz w:val="20"/>
                <w:szCs w:val="20"/>
              </w:rPr>
              <w:t>4</w:t>
            </w:r>
            <w:r>
              <w:rPr>
                <w:color w:val="000000"/>
                <w:sz w:val="20"/>
                <w:szCs w:val="20"/>
              </w:rPr>
              <w:t>9.4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C34A593" w14:textId="450369EC" w:rsidR="000C58DC" w:rsidRPr="00CC3677" w:rsidRDefault="000C58DC" w:rsidP="000C58DC">
            <w:pPr>
              <w:jc w:val="center"/>
              <w:rPr>
                <w:sz w:val="20"/>
                <w:szCs w:val="20"/>
              </w:rPr>
            </w:pPr>
            <w:r>
              <w:rPr>
                <w:sz w:val="20"/>
                <w:szCs w:val="20"/>
              </w:rPr>
              <w:t>48.9</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0B9BD" w14:textId="3BD65F10" w:rsidR="000C58DC" w:rsidRPr="00CC3677" w:rsidRDefault="000C58DC" w:rsidP="000C58DC">
            <w:pPr>
              <w:jc w:val="center"/>
              <w:rPr>
                <w:sz w:val="20"/>
                <w:szCs w:val="20"/>
              </w:rPr>
            </w:pPr>
          </w:p>
        </w:tc>
        <w:tc>
          <w:tcPr>
            <w:tcW w:w="1435" w:type="dxa"/>
            <w:vAlign w:val="center"/>
          </w:tcPr>
          <w:p w14:paraId="4EA2707C" w14:textId="77777777" w:rsidR="000C58DC" w:rsidRPr="00E80EE2" w:rsidRDefault="000C58DC" w:rsidP="000C58DC"/>
        </w:tc>
        <w:tc>
          <w:tcPr>
            <w:tcW w:w="1435" w:type="dxa"/>
            <w:vAlign w:val="center"/>
          </w:tcPr>
          <w:p w14:paraId="48C22362" w14:textId="77777777" w:rsidR="000C58DC" w:rsidRPr="00E80EE2" w:rsidRDefault="000C58DC" w:rsidP="000C58DC"/>
        </w:tc>
        <w:tc>
          <w:tcPr>
            <w:tcW w:w="1435" w:type="dxa"/>
            <w:vAlign w:val="center"/>
          </w:tcPr>
          <w:p w14:paraId="5AD43460" w14:textId="77777777" w:rsidR="000C58DC" w:rsidRPr="00E80EE2" w:rsidRDefault="000C58DC" w:rsidP="000C58DC"/>
        </w:tc>
        <w:tc>
          <w:tcPr>
            <w:tcW w:w="1435" w:type="dxa"/>
            <w:vAlign w:val="center"/>
          </w:tcPr>
          <w:p w14:paraId="19EA358C" w14:textId="77777777" w:rsidR="000C58DC" w:rsidRPr="00E80EE2" w:rsidRDefault="000C58DC" w:rsidP="000C58DC"/>
        </w:tc>
      </w:tr>
      <w:tr w:rsidR="000C58DC" w:rsidRPr="00E80EE2" w14:paraId="1890F883"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D8112" w14:textId="0A0C6841" w:rsidR="000C58DC" w:rsidRPr="00CC3677" w:rsidRDefault="000C58DC" w:rsidP="000C58DC">
            <w:pPr>
              <w:ind w:left="374"/>
              <w:rPr>
                <w:sz w:val="20"/>
                <w:szCs w:val="20"/>
              </w:rPr>
            </w:pPr>
            <w:r w:rsidRPr="00CC3677">
              <w:rPr>
                <w:rFonts w:eastAsia="Arial Unicode MS"/>
                <w:sz w:val="20"/>
                <w:szCs w:val="20"/>
              </w:rPr>
              <w:t>Graduate degree graduates per graduate FTE</w:t>
            </w:r>
            <w:r w:rsidRPr="00CC3677">
              <w:rPr>
                <w:rStyle w:val="EndnoteReference"/>
                <w:rFonts w:eastAsia="Arial Unicode MS"/>
                <w:sz w:val="20"/>
                <w:szCs w:val="20"/>
              </w:rPr>
              <w:endnoteReference w:id="11"/>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D9BA8" w14:textId="30F1AED5" w:rsidR="000C58DC" w:rsidRPr="00CC3677" w:rsidRDefault="000C58DC" w:rsidP="000C58DC">
            <w:pPr>
              <w:jc w:val="center"/>
              <w:rPr>
                <w:sz w:val="20"/>
                <w:szCs w:val="20"/>
              </w:rPr>
            </w:pPr>
            <w:r w:rsidRPr="00CC3677">
              <w:rPr>
                <w:color w:val="000000"/>
                <w:sz w:val="20"/>
                <w:szCs w:val="20"/>
              </w:rPr>
              <w:t>47.9</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94948" w14:textId="42CCE87C" w:rsidR="000C58DC" w:rsidRPr="00CC3677" w:rsidRDefault="000C58DC" w:rsidP="000C58DC">
            <w:pPr>
              <w:jc w:val="center"/>
              <w:rPr>
                <w:sz w:val="20"/>
                <w:szCs w:val="20"/>
              </w:rPr>
            </w:pPr>
            <w:r>
              <w:rPr>
                <w:color w:val="000000"/>
                <w:sz w:val="20"/>
                <w:szCs w:val="20"/>
              </w:rPr>
              <w:t>48.4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42D336A" w14:textId="49FFC559" w:rsidR="000C58DC" w:rsidRPr="00CC3677" w:rsidRDefault="000C58DC" w:rsidP="000C58DC">
            <w:pPr>
              <w:jc w:val="center"/>
              <w:rPr>
                <w:sz w:val="20"/>
                <w:szCs w:val="20"/>
              </w:rPr>
            </w:pPr>
            <w:r>
              <w:rPr>
                <w:sz w:val="20"/>
                <w:szCs w:val="20"/>
              </w:rPr>
              <w:t>49.8</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A1E56" w14:textId="584E95B0" w:rsidR="000C58DC" w:rsidRPr="00CC3677" w:rsidRDefault="000C58DC" w:rsidP="000C58DC">
            <w:pPr>
              <w:jc w:val="center"/>
              <w:rPr>
                <w:sz w:val="20"/>
                <w:szCs w:val="20"/>
              </w:rPr>
            </w:pPr>
          </w:p>
        </w:tc>
        <w:tc>
          <w:tcPr>
            <w:tcW w:w="1435" w:type="dxa"/>
            <w:vAlign w:val="center"/>
          </w:tcPr>
          <w:p w14:paraId="760A7EE3" w14:textId="77777777" w:rsidR="000C58DC" w:rsidRPr="00E80EE2" w:rsidRDefault="000C58DC" w:rsidP="000C58DC"/>
        </w:tc>
        <w:tc>
          <w:tcPr>
            <w:tcW w:w="1435" w:type="dxa"/>
            <w:vAlign w:val="center"/>
          </w:tcPr>
          <w:p w14:paraId="0BB2CCC5" w14:textId="77777777" w:rsidR="000C58DC" w:rsidRPr="00E80EE2" w:rsidRDefault="000C58DC" w:rsidP="000C58DC"/>
        </w:tc>
        <w:tc>
          <w:tcPr>
            <w:tcW w:w="1435" w:type="dxa"/>
            <w:vAlign w:val="center"/>
          </w:tcPr>
          <w:p w14:paraId="6566503F" w14:textId="77777777" w:rsidR="000C58DC" w:rsidRPr="00E80EE2" w:rsidRDefault="000C58DC" w:rsidP="000C58DC"/>
        </w:tc>
        <w:tc>
          <w:tcPr>
            <w:tcW w:w="1435" w:type="dxa"/>
            <w:vAlign w:val="center"/>
          </w:tcPr>
          <w:p w14:paraId="212160F2" w14:textId="77777777" w:rsidR="000C58DC" w:rsidRPr="00E80EE2" w:rsidRDefault="000C58DC" w:rsidP="000C58DC"/>
        </w:tc>
      </w:tr>
      <w:tr w:rsidR="000C58DC" w:rsidRPr="00E80EE2" w14:paraId="47DBBC27" w14:textId="77777777" w:rsidTr="000C58DC">
        <w:tblPrEx>
          <w:tblCellMar>
            <w:left w:w="115" w:type="dxa"/>
            <w:right w:w="115" w:type="dxa"/>
          </w:tblCellMar>
        </w:tblPrEx>
        <w:trPr>
          <w:trHeight w:val="3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360FA7D" w14:textId="30926197" w:rsidR="000C58DC" w:rsidRPr="00CC3677" w:rsidRDefault="000C58DC" w:rsidP="000C58DC">
            <w:pPr>
              <w:pStyle w:val="ListParagraph"/>
              <w:numPr>
                <w:ilvl w:val="0"/>
                <w:numId w:val="26"/>
              </w:numPr>
              <w:ind w:left="325" w:hanging="270"/>
              <w:rPr>
                <w:sz w:val="20"/>
                <w:szCs w:val="20"/>
              </w:rPr>
            </w:pPr>
            <w:r w:rsidRPr="00CC3677">
              <w:rPr>
                <w:sz w:val="20"/>
                <w:szCs w:val="22"/>
              </w:rPr>
              <w:t>Cost of Education (resident undergraduate with 15 credit load per semester; tuition &amp; fees per year)</w:t>
            </w:r>
          </w:p>
        </w:tc>
        <w:tc>
          <w:tcPr>
            <w:tcW w:w="1435" w:type="dxa"/>
            <w:vAlign w:val="center"/>
          </w:tcPr>
          <w:p w14:paraId="7A767449" w14:textId="77777777" w:rsidR="000C58DC" w:rsidRPr="00E80EE2" w:rsidRDefault="000C58DC" w:rsidP="000C58DC"/>
        </w:tc>
        <w:tc>
          <w:tcPr>
            <w:tcW w:w="1435" w:type="dxa"/>
            <w:vAlign w:val="center"/>
          </w:tcPr>
          <w:p w14:paraId="2D57FD6C" w14:textId="77777777" w:rsidR="000C58DC" w:rsidRPr="00E80EE2" w:rsidRDefault="000C58DC" w:rsidP="000C58DC"/>
        </w:tc>
        <w:tc>
          <w:tcPr>
            <w:tcW w:w="1435" w:type="dxa"/>
            <w:vAlign w:val="center"/>
          </w:tcPr>
          <w:p w14:paraId="23A1D71A" w14:textId="77777777" w:rsidR="000C58DC" w:rsidRPr="00E80EE2" w:rsidRDefault="000C58DC" w:rsidP="000C58DC"/>
        </w:tc>
        <w:tc>
          <w:tcPr>
            <w:tcW w:w="1435" w:type="dxa"/>
            <w:vAlign w:val="center"/>
          </w:tcPr>
          <w:p w14:paraId="12C5C322" w14:textId="77777777" w:rsidR="000C58DC" w:rsidRPr="00E80EE2" w:rsidRDefault="000C58DC" w:rsidP="000C58DC"/>
        </w:tc>
      </w:tr>
      <w:tr w:rsidR="000C58DC" w:rsidRPr="00E80EE2" w14:paraId="5604FEEA"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6B3BC" w14:textId="08B2B2E0" w:rsidR="000C58DC" w:rsidRPr="00CC3677" w:rsidRDefault="000C58DC" w:rsidP="000C58DC">
            <w:pPr>
              <w:ind w:left="374"/>
              <w:rPr>
                <w:sz w:val="20"/>
                <w:szCs w:val="20"/>
              </w:rPr>
            </w:pPr>
            <w:r w:rsidRPr="00CC3677">
              <w:rPr>
                <w:color w:val="000000"/>
                <w:sz w:val="20"/>
                <w:szCs w:val="20"/>
              </w:rPr>
              <w:t>Boise State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A1F1F" w14:textId="0094CDF3" w:rsidR="000C58DC" w:rsidRPr="00CC3677" w:rsidRDefault="000C58DC" w:rsidP="000C58DC">
            <w:pPr>
              <w:jc w:val="center"/>
              <w:rPr>
                <w:sz w:val="20"/>
                <w:szCs w:val="20"/>
              </w:rPr>
            </w:pPr>
            <w:r w:rsidRPr="00CC3677">
              <w:rPr>
                <w:color w:val="000000"/>
                <w:sz w:val="20"/>
                <w:szCs w:val="20"/>
              </w:rPr>
              <w:t>$8,060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8AA5A" w14:textId="67AD8A63" w:rsidR="000C58DC" w:rsidRPr="00CC3677" w:rsidRDefault="000C58DC" w:rsidP="000C58DC">
            <w:pPr>
              <w:jc w:val="center"/>
              <w:rPr>
                <w:sz w:val="20"/>
                <w:szCs w:val="20"/>
              </w:rPr>
            </w:pPr>
            <w:r w:rsidRPr="00CC3677">
              <w:rPr>
                <w:color w:val="000000"/>
                <w:sz w:val="20"/>
                <w:szCs w:val="20"/>
              </w:rPr>
              <w:t>$8,364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D5BFA1D" w14:textId="07A2F121" w:rsidR="000C58DC" w:rsidRPr="00CC3677" w:rsidRDefault="000C58DC" w:rsidP="000C58DC">
            <w:pPr>
              <w:jc w:val="center"/>
              <w:rPr>
                <w:sz w:val="20"/>
                <w:szCs w:val="20"/>
              </w:rPr>
            </w:pPr>
            <w:r>
              <w:rPr>
                <w:sz w:val="20"/>
                <w:szCs w:val="20"/>
              </w:rPr>
              <w:t>$8,782</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705F3" w14:textId="78382A60" w:rsidR="000C58DC" w:rsidRPr="00CC3677" w:rsidRDefault="000C58DC" w:rsidP="000C58DC">
            <w:pPr>
              <w:jc w:val="center"/>
              <w:rPr>
                <w:sz w:val="20"/>
                <w:szCs w:val="20"/>
              </w:rPr>
            </w:pPr>
          </w:p>
        </w:tc>
        <w:tc>
          <w:tcPr>
            <w:tcW w:w="1435" w:type="dxa"/>
            <w:vAlign w:val="center"/>
          </w:tcPr>
          <w:p w14:paraId="38CC05D5" w14:textId="77777777" w:rsidR="000C58DC" w:rsidRPr="00E80EE2" w:rsidRDefault="000C58DC" w:rsidP="000C58DC"/>
        </w:tc>
        <w:tc>
          <w:tcPr>
            <w:tcW w:w="1435" w:type="dxa"/>
            <w:vAlign w:val="center"/>
          </w:tcPr>
          <w:p w14:paraId="06088BF5" w14:textId="77777777" w:rsidR="000C58DC" w:rsidRPr="00E80EE2" w:rsidRDefault="000C58DC" w:rsidP="000C58DC"/>
        </w:tc>
        <w:tc>
          <w:tcPr>
            <w:tcW w:w="1435" w:type="dxa"/>
            <w:vAlign w:val="center"/>
          </w:tcPr>
          <w:p w14:paraId="10EDE5BD" w14:textId="77777777" w:rsidR="000C58DC" w:rsidRPr="00E80EE2" w:rsidRDefault="000C58DC" w:rsidP="000C58DC"/>
        </w:tc>
        <w:tc>
          <w:tcPr>
            <w:tcW w:w="1435" w:type="dxa"/>
            <w:vAlign w:val="center"/>
          </w:tcPr>
          <w:p w14:paraId="11932BD3" w14:textId="77777777" w:rsidR="000C58DC" w:rsidRPr="00E80EE2" w:rsidRDefault="000C58DC" w:rsidP="000C58DC"/>
        </w:tc>
      </w:tr>
      <w:tr w:rsidR="000C58DC" w:rsidRPr="00E80EE2" w14:paraId="2C376B58" w14:textId="77777777" w:rsidTr="000C58DC">
        <w:tblPrEx>
          <w:tblCellMar>
            <w:left w:w="115" w:type="dxa"/>
            <w:right w:w="115" w:type="dxa"/>
          </w:tblCellMar>
        </w:tblPrEx>
        <w:trPr>
          <w:trHeight w:val="3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8CDB4" w14:textId="0A819B3C" w:rsidR="000C58DC" w:rsidRPr="00CC3677" w:rsidRDefault="000C58DC" w:rsidP="000C58DC">
            <w:pPr>
              <w:ind w:left="374"/>
              <w:rPr>
                <w:sz w:val="20"/>
                <w:szCs w:val="20"/>
              </w:rPr>
            </w:pPr>
            <w:r w:rsidRPr="00CC3677">
              <w:rPr>
                <w:color w:val="000000"/>
                <w:sz w:val="20"/>
                <w:szCs w:val="20"/>
              </w:rPr>
              <w:t>Boise State as a % of WICHE</w:t>
            </w:r>
            <w:r w:rsidRPr="00CC3677">
              <w:rPr>
                <w:rStyle w:val="EndnoteReference"/>
                <w:bCs/>
                <w:sz w:val="20"/>
              </w:rPr>
              <w:endnoteReference w:id="12"/>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859DF" w14:textId="28F31021" w:rsidR="000C58DC" w:rsidRPr="00CC3677" w:rsidRDefault="000C58DC" w:rsidP="000C58DC">
            <w:pPr>
              <w:jc w:val="center"/>
              <w:rPr>
                <w:sz w:val="20"/>
                <w:szCs w:val="20"/>
              </w:rPr>
            </w:pPr>
            <w:r w:rsidRPr="00CC3677">
              <w:rPr>
                <w:color w:val="000000"/>
                <w:sz w:val="20"/>
                <w:szCs w:val="20"/>
              </w:rPr>
              <w:t>86.6%</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C6D92" w14:textId="0FBE82A8" w:rsidR="000C58DC" w:rsidRPr="00CC3677" w:rsidRDefault="000C58DC" w:rsidP="000C58DC">
            <w:pPr>
              <w:jc w:val="center"/>
              <w:rPr>
                <w:sz w:val="20"/>
                <w:szCs w:val="20"/>
              </w:rPr>
            </w:pPr>
            <w:r w:rsidRPr="00CC3677">
              <w:rPr>
                <w:color w:val="000000"/>
                <w:sz w:val="20"/>
                <w:szCs w:val="20"/>
              </w:rPr>
              <w:t>87.2%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6043E4C" w14:textId="1AA71125" w:rsidR="000C58DC" w:rsidRPr="00CC3677" w:rsidRDefault="000C58DC" w:rsidP="000C58DC">
            <w:pPr>
              <w:jc w:val="center"/>
              <w:rPr>
                <w:sz w:val="20"/>
                <w:szCs w:val="20"/>
              </w:rPr>
            </w:pPr>
            <w:r>
              <w:rPr>
                <w:sz w:val="20"/>
                <w:szCs w:val="20"/>
              </w:rPr>
              <w:t>89.2%</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6D5A9" w14:textId="0A9311B6" w:rsidR="000C58DC" w:rsidRPr="00CC3677" w:rsidRDefault="000C58DC" w:rsidP="000C58DC">
            <w:pPr>
              <w:jc w:val="center"/>
              <w:rPr>
                <w:sz w:val="20"/>
                <w:szCs w:val="20"/>
              </w:rPr>
            </w:pPr>
          </w:p>
        </w:tc>
        <w:tc>
          <w:tcPr>
            <w:tcW w:w="1435" w:type="dxa"/>
            <w:vAlign w:val="center"/>
          </w:tcPr>
          <w:p w14:paraId="1BCF652D" w14:textId="77777777" w:rsidR="000C58DC" w:rsidRPr="00E80EE2" w:rsidRDefault="000C58DC" w:rsidP="000C58DC"/>
        </w:tc>
        <w:tc>
          <w:tcPr>
            <w:tcW w:w="1435" w:type="dxa"/>
            <w:vAlign w:val="center"/>
          </w:tcPr>
          <w:p w14:paraId="7E692C56" w14:textId="77777777" w:rsidR="000C58DC" w:rsidRPr="00E80EE2" w:rsidRDefault="000C58DC" w:rsidP="000C58DC"/>
        </w:tc>
        <w:tc>
          <w:tcPr>
            <w:tcW w:w="1435" w:type="dxa"/>
            <w:vAlign w:val="center"/>
          </w:tcPr>
          <w:p w14:paraId="23D6D9E7" w14:textId="77777777" w:rsidR="000C58DC" w:rsidRPr="00E80EE2" w:rsidRDefault="000C58DC" w:rsidP="000C58DC"/>
        </w:tc>
        <w:tc>
          <w:tcPr>
            <w:tcW w:w="1435" w:type="dxa"/>
            <w:vAlign w:val="center"/>
          </w:tcPr>
          <w:p w14:paraId="047233BC" w14:textId="77777777" w:rsidR="000C58DC" w:rsidRPr="00E80EE2" w:rsidRDefault="000C58DC" w:rsidP="000C58DC"/>
        </w:tc>
      </w:tr>
      <w:tr w:rsidR="000C58DC" w:rsidRPr="00E80EE2" w14:paraId="4AB1BF90" w14:textId="77777777" w:rsidTr="000C58DC">
        <w:tblPrEx>
          <w:tblCellMar>
            <w:left w:w="115" w:type="dxa"/>
            <w:right w:w="115" w:type="dxa"/>
          </w:tblCellMar>
        </w:tblPrEx>
        <w:trPr>
          <w:gridAfter w:val="4"/>
          <w:wAfter w:w="5740" w:type="dxa"/>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5B98F0D" w14:textId="48AEB654" w:rsidR="000C58DC" w:rsidRPr="00C73FF0" w:rsidRDefault="000C58DC" w:rsidP="000C58DC">
            <w:pPr>
              <w:pStyle w:val="ListParagraph"/>
              <w:numPr>
                <w:ilvl w:val="0"/>
                <w:numId w:val="26"/>
              </w:numPr>
              <w:ind w:left="368"/>
              <w:rPr>
                <w:color w:val="000000"/>
                <w:sz w:val="20"/>
                <w:szCs w:val="20"/>
              </w:rPr>
            </w:pPr>
            <w:r w:rsidRPr="00C73FF0">
              <w:rPr>
                <w:sz w:val="20"/>
                <w:szCs w:val="20"/>
              </w:rPr>
              <w:t>Sponsored Projects Proposals and Awards</w:t>
            </w:r>
            <w:r w:rsidRPr="00C73FF0">
              <w:rPr>
                <w:rStyle w:val="EndnoteReference"/>
                <w:sz w:val="20"/>
                <w:szCs w:val="20"/>
              </w:rPr>
              <w:endnoteReference w:id="13"/>
            </w:r>
            <w:r w:rsidRPr="00C73FF0">
              <w:rPr>
                <w:sz w:val="20"/>
                <w:szCs w:val="20"/>
              </w:rPr>
              <w:t xml:space="preserve"> (see Part II for Externally Funded Research Expenditures)</w:t>
            </w:r>
          </w:p>
        </w:tc>
      </w:tr>
      <w:tr w:rsidR="000C58DC" w:rsidRPr="00E80EE2" w14:paraId="28A3BD4F"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EC8FD" w14:textId="77777777" w:rsidR="000C58DC" w:rsidRPr="00C73FF0" w:rsidRDefault="000C58DC" w:rsidP="000C58DC">
            <w:pPr>
              <w:ind w:left="368"/>
              <w:rPr>
                <w:sz w:val="20"/>
                <w:szCs w:val="20"/>
              </w:rPr>
            </w:pPr>
            <w:r w:rsidRPr="00C73FF0">
              <w:rPr>
                <w:sz w:val="20"/>
                <w:szCs w:val="20"/>
              </w:rPr>
              <w:t>Total # of Proposals Submitted</w:t>
            </w:r>
          </w:p>
        </w:tc>
        <w:tc>
          <w:tcPr>
            <w:tcW w:w="134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4144EF" w14:textId="751AF1A9" w:rsidR="000C58DC" w:rsidRPr="00C73FF0" w:rsidRDefault="000C58DC" w:rsidP="000C58DC">
            <w:pPr>
              <w:jc w:val="center"/>
              <w:rPr>
                <w:sz w:val="20"/>
                <w:szCs w:val="20"/>
              </w:rPr>
            </w:pPr>
            <w:r>
              <w:rPr>
                <w:sz w:val="20"/>
                <w:szCs w:val="20"/>
              </w:rPr>
              <w:t>606</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796A" w14:textId="25B5D2AA" w:rsidR="000C58DC" w:rsidRPr="00C73FF0" w:rsidRDefault="000C58DC" w:rsidP="000C58DC">
            <w:pPr>
              <w:jc w:val="center"/>
              <w:rPr>
                <w:sz w:val="20"/>
                <w:szCs w:val="20"/>
              </w:rPr>
            </w:pPr>
            <w:r>
              <w:rPr>
                <w:sz w:val="20"/>
                <w:szCs w:val="20"/>
              </w:rPr>
              <w:t>569</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4A342" w14:textId="4B5F7762" w:rsidR="000C58DC" w:rsidRPr="00CF215F" w:rsidRDefault="000C58DC" w:rsidP="000C58DC">
            <w:pPr>
              <w:jc w:val="center"/>
              <w:rPr>
                <w:sz w:val="20"/>
                <w:szCs w:val="20"/>
              </w:rPr>
            </w:pPr>
            <w:r>
              <w:rPr>
                <w:sz w:val="20"/>
                <w:szCs w:val="20"/>
              </w:rPr>
              <w:t>576</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80D51" w14:textId="5DCA3379" w:rsidR="000C58DC" w:rsidRPr="00DC7306" w:rsidRDefault="000C58DC" w:rsidP="000C58DC">
            <w:pPr>
              <w:jc w:val="center"/>
              <w:rPr>
                <w:sz w:val="20"/>
                <w:szCs w:val="20"/>
              </w:rPr>
            </w:pPr>
          </w:p>
        </w:tc>
      </w:tr>
      <w:tr w:rsidR="000C58DC" w:rsidRPr="00E80EE2" w14:paraId="3AD9A368"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5438" w14:textId="77777777" w:rsidR="000C58DC" w:rsidRPr="00C73FF0" w:rsidRDefault="000C58DC" w:rsidP="000C58DC">
            <w:pPr>
              <w:ind w:left="368"/>
              <w:rPr>
                <w:sz w:val="20"/>
                <w:szCs w:val="20"/>
              </w:rPr>
            </w:pPr>
            <w:r w:rsidRPr="00C73FF0">
              <w:rPr>
                <w:sz w:val="20"/>
                <w:szCs w:val="20"/>
              </w:rPr>
              <w:t>Total # of Awards</w:t>
            </w:r>
          </w:p>
        </w:tc>
        <w:tc>
          <w:tcPr>
            <w:tcW w:w="134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85BDFC" w14:textId="7D214AC3" w:rsidR="000C58DC" w:rsidRPr="00C73FF0" w:rsidRDefault="000C58DC" w:rsidP="000C58DC">
            <w:pPr>
              <w:jc w:val="center"/>
              <w:rPr>
                <w:sz w:val="20"/>
                <w:szCs w:val="20"/>
              </w:rPr>
            </w:pPr>
            <w:r>
              <w:rPr>
                <w:sz w:val="20"/>
                <w:szCs w:val="20"/>
              </w:rPr>
              <w:t>422</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65DFD" w14:textId="013E102F" w:rsidR="000C58DC" w:rsidRPr="00C73FF0" w:rsidRDefault="000C58DC" w:rsidP="000C58DC">
            <w:pPr>
              <w:jc w:val="center"/>
              <w:rPr>
                <w:sz w:val="20"/>
                <w:szCs w:val="20"/>
              </w:rPr>
            </w:pPr>
            <w:r>
              <w:rPr>
                <w:sz w:val="20"/>
                <w:szCs w:val="20"/>
              </w:rPr>
              <w:t>416</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08CE6" w14:textId="44FF7992" w:rsidR="000C58DC" w:rsidRPr="00CF215F" w:rsidRDefault="000C58DC" w:rsidP="000C58DC">
            <w:pPr>
              <w:jc w:val="center"/>
              <w:rPr>
                <w:sz w:val="20"/>
                <w:szCs w:val="20"/>
              </w:rPr>
            </w:pPr>
            <w:r>
              <w:rPr>
                <w:sz w:val="20"/>
                <w:szCs w:val="20"/>
              </w:rPr>
              <w:t>392</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A3329" w14:textId="374B13FB" w:rsidR="000C58DC" w:rsidRPr="00DC7306" w:rsidRDefault="000C58DC" w:rsidP="000C58DC">
            <w:pPr>
              <w:jc w:val="center"/>
              <w:rPr>
                <w:sz w:val="20"/>
                <w:szCs w:val="20"/>
              </w:rPr>
            </w:pPr>
          </w:p>
        </w:tc>
      </w:tr>
      <w:tr w:rsidR="000C58DC" w:rsidRPr="00E80EE2" w14:paraId="1EE557AE"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5E9BD5" w14:textId="77777777" w:rsidR="000C58DC" w:rsidRPr="00C73FF0" w:rsidRDefault="000C58DC" w:rsidP="000C58DC">
            <w:pPr>
              <w:ind w:left="368"/>
              <w:rPr>
                <w:sz w:val="20"/>
                <w:szCs w:val="20"/>
              </w:rPr>
            </w:pPr>
            <w:r w:rsidRPr="00C73FF0">
              <w:rPr>
                <w:sz w:val="20"/>
                <w:szCs w:val="20"/>
              </w:rPr>
              <w:t>Total Sponsored Projects Funding</w:t>
            </w:r>
            <w:r>
              <w:rPr>
                <w:sz w:val="20"/>
                <w:szCs w:val="20"/>
              </w:rPr>
              <w:t xml:space="preserve"> (dollars awarded)</w:t>
            </w:r>
          </w:p>
        </w:tc>
        <w:tc>
          <w:tcPr>
            <w:tcW w:w="134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8D060F" w14:textId="2DE8CCA9" w:rsidR="000C58DC" w:rsidRPr="00C73FF0" w:rsidRDefault="000C58DC" w:rsidP="000C58DC">
            <w:pPr>
              <w:jc w:val="center"/>
              <w:rPr>
                <w:color w:val="000000"/>
                <w:sz w:val="20"/>
                <w:szCs w:val="20"/>
              </w:rPr>
            </w:pPr>
            <w:r>
              <w:rPr>
                <w:color w:val="000000"/>
                <w:sz w:val="20"/>
                <w:szCs w:val="20"/>
              </w:rPr>
              <w:t>$68.0M</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E3274" w14:textId="57003FCB" w:rsidR="000C58DC" w:rsidRPr="00C73FF0" w:rsidRDefault="000C58DC" w:rsidP="000C58DC">
            <w:pPr>
              <w:jc w:val="center"/>
              <w:rPr>
                <w:color w:val="000000"/>
                <w:sz w:val="20"/>
                <w:szCs w:val="20"/>
              </w:rPr>
            </w:pPr>
            <w:r>
              <w:rPr>
                <w:color w:val="000000"/>
                <w:sz w:val="20"/>
                <w:szCs w:val="20"/>
              </w:rPr>
              <w:t>$91.0M</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29782" w14:textId="3F9C24C4" w:rsidR="000C58DC" w:rsidRPr="00CF215F" w:rsidRDefault="000C58DC" w:rsidP="000C58DC">
            <w:pPr>
              <w:jc w:val="center"/>
              <w:rPr>
                <w:color w:val="000000"/>
                <w:sz w:val="20"/>
                <w:szCs w:val="20"/>
              </w:rPr>
            </w:pPr>
            <w:r>
              <w:rPr>
                <w:color w:val="000000"/>
                <w:sz w:val="20"/>
                <w:szCs w:val="20"/>
              </w:rPr>
              <w:t>$83.4M</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B2A5F" w14:textId="7B367525" w:rsidR="000C58DC" w:rsidRPr="00D145C1" w:rsidRDefault="000C58DC" w:rsidP="000C58DC">
            <w:pPr>
              <w:jc w:val="center"/>
              <w:rPr>
                <w:color w:val="000000"/>
                <w:sz w:val="20"/>
                <w:szCs w:val="20"/>
              </w:rPr>
            </w:pPr>
          </w:p>
        </w:tc>
      </w:tr>
      <w:tr w:rsidR="000C58DC" w:rsidRPr="00E80EE2" w14:paraId="530907A5"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616788" w14:textId="0B8F1919" w:rsidR="000C58DC" w:rsidRPr="00C73FF0" w:rsidRDefault="000C58DC" w:rsidP="000C58DC">
            <w:pPr>
              <w:ind w:left="368"/>
              <w:rPr>
                <w:sz w:val="20"/>
                <w:szCs w:val="20"/>
              </w:rPr>
            </w:pPr>
            <w:r>
              <w:rPr>
                <w:sz w:val="20"/>
                <w:szCs w:val="20"/>
              </w:rPr>
              <w:t xml:space="preserve">Total Sponsored Project </w:t>
            </w:r>
            <w:r w:rsidRPr="00C73FF0">
              <w:rPr>
                <w:sz w:val="20"/>
                <w:szCs w:val="20"/>
              </w:rPr>
              <w:t>Expenditures</w:t>
            </w:r>
          </w:p>
        </w:tc>
        <w:tc>
          <w:tcPr>
            <w:tcW w:w="134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CDA486" w14:textId="4F4A1039" w:rsidR="000C58DC" w:rsidRPr="00C73FF0" w:rsidRDefault="000C58DC" w:rsidP="000C58DC">
            <w:pPr>
              <w:jc w:val="center"/>
              <w:rPr>
                <w:color w:val="000000"/>
                <w:sz w:val="20"/>
                <w:szCs w:val="20"/>
              </w:rPr>
            </w:pPr>
            <w:r>
              <w:rPr>
                <w:color w:val="000000"/>
                <w:sz w:val="20"/>
                <w:szCs w:val="20"/>
              </w:rPr>
              <w:t>$61.3M</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D7389" w14:textId="675D3C30" w:rsidR="000C58DC" w:rsidRPr="00C73FF0" w:rsidRDefault="000C58DC" w:rsidP="000C58DC">
            <w:pPr>
              <w:jc w:val="center"/>
              <w:rPr>
                <w:color w:val="000000"/>
                <w:sz w:val="20"/>
                <w:szCs w:val="20"/>
              </w:rPr>
            </w:pPr>
            <w:r>
              <w:rPr>
                <w:color w:val="000000"/>
                <w:sz w:val="20"/>
                <w:szCs w:val="20"/>
              </w:rPr>
              <w:t>$63.9M</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613DB" w14:textId="7EDAE356" w:rsidR="000C58DC" w:rsidRPr="00CF215F" w:rsidRDefault="000C58DC" w:rsidP="000C58DC">
            <w:pPr>
              <w:jc w:val="center"/>
              <w:rPr>
                <w:color w:val="000000"/>
                <w:sz w:val="20"/>
                <w:szCs w:val="20"/>
              </w:rPr>
            </w:pPr>
            <w:r>
              <w:rPr>
                <w:color w:val="000000"/>
                <w:sz w:val="20"/>
                <w:szCs w:val="20"/>
              </w:rPr>
              <w:t>$70.3M</w:t>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7E2B" w14:textId="5B37BE05" w:rsidR="000C58DC" w:rsidRPr="00D145C1" w:rsidRDefault="000C58DC" w:rsidP="000C58DC">
            <w:pPr>
              <w:jc w:val="center"/>
              <w:rPr>
                <w:color w:val="000000"/>
                <w:sz w:val="20"/>
                <w:szCs w:val="20"/>
              </w:rPr>
            </w:pPr>
          </w:p>
        </w:tc>
      </w:tr>
      <w:tr w:rsidR="000C58DC" w:rsidRPr="00E80EE2" w14:paraId="44954889"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771E7C" w14:textId="44CCDFB9" w:rsidR="000C58DC" w:rsidRPr="008B27B4" w:rsidRDefault="000C58DC" w:rsidP="000C58DC">
            <w:pPr>
              <w:ind w:left="368"/>
              <w:rPr>
                <w:sz w:val="20"/>
                <w:szCs w:val="20"/>
              </w:rPr>
            </w:pPr>
            <w:r w:rsidRPr="008B27B4">
              <w:rPr>
                <w:sz w:val="20"/>
                <w:szCs w:val="20"/>
              </w:rPr>
              <w:t>% of research grant awards that have PIs and Co-PIs in two or more academic departments (i.e., interdisciplinary)</w:t>
            </w:r>
            <w:r w:rsidRPr="008B27B4">
              <w:rPr>
                <w:rStyle w:val="EndnoteReference"/>
                <w:color w:val="000000"/>
                <w:sz w:val="20"/>
                <w:szCs w:val="20"/>
              </w:rPr>
              <w:t xml:space="preserve"> </w:t>
            </w:r>
            <w:r w:rsidRPr="008B27B4">
              <w:rPr>
                <w:rStyle w:val="EndnoteReference"/>
                <w:color w:val="000000"/>
                <w:sz w:val="20"/>
                <w:szCs w:val="20"/>
              </w:rPr>
              <w:endnoteReference w:id="14"/>
            </w:r>
          </w:p>
        </w:tc>
        <w:tc>
          <w:tcPr>
            <w:tcW w:w="1349" w:type="dxa"/>
            <w:gridSpan w:val="2"/>
            <w:tcBorders>
              <w:top w:val="single" w:sz="4" w:space="0" w:color="auto"/>
              <w:left w:val="single" w:sz="4" w:space="0" w:color="auto"/>
              <w:bottom w:val="single" w:sz="4" w:space="0" w:color="auto"/>
              <w:right w:val="single" w:sz="4" w:space="0" w:color="auto"/>
            </w:tcBorders>
            <w:noWrap/>
            <w:vAlign w:val="center"/>
          </w:tcPr>
          <w:p w14:paraId="20D930D9" w14:textId="5BD89717" w:rsidR="000C58DC" w:rsidRPr="008B27B4" w:rsidRDefault="000C58DC" w:rsidP="000C58DC">
            <w:pPr>
              <w:jc w:val="center"/>
              <w:rPr>
                <w:color w:val="000000"/>
                <w:sz w:val="20"/>
                <w:szCs w:val="20"/>
              </w:rPr>
            </w:pPr>
            <w:r w:rsidRPr="008B27B4">
              <w:rPr>
                <w:color w:val="000000"/>
                <w:sz w:val="20"/>
                <w:szCs w:val="20"/>
              </w:rPr>
              <w:t>24.2%</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733B858" w14:textId="1F293881" w:rsidR="000C58DC" w:rsidRPr="008B27B4" w:rsidRDefault="000C58DC" w:rsidP="000C58DC">
            <w:pPr>
              <w:jc w:val="center"/>
              <w:rPr>
                <w:color w:val="000000"/>
                <w:sz w:val="20"/>
                <w:szCs w:val="20"/>
              </w:rPr>
            </w:pPr>
            <w:r w:rsidRPr="008B27B4">
              <w:rPr>
                <w:color w:val="000000"/>
                <w:sz w:val="20"/>
                <w:szCs w:val="20"/>
              </w:rPr>
              <w:t>2</w:t>
            </w:r>
            <w:r>
              <w:rPr>
                <w:color w:val="000000"/>
                <w:sz w:val="20"/>
                <w:szCs w:val="20"/>
              </w:rPr>
              <w:t>1.</w:t>
            </w:r>
            <w:r w:rsidRPr="008B27B4">
              <w:rPr>
                <w:color w:val="000000"/>
                <w:sz w:val="20"/>
                <w:szCs w:val="20"/>
              </w:rPr>
              <w:t>4%</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3D4B2" w14:textId="0B697CF7" w:rsidR="000C58DC" w:rsidRPr="008B27B4" w:rsidRDefault="000C58DC" w:rsidP="000C58DC">
            <w:pPr>
              <w:jc w:val="center"/>
              <w:rPr>
                <w:color w:val="000000"/>
                <w:sz w:val="20"/>
                <w:szCs w:val="20"/>
              </w:rPr>
            </w:pPr>
            <w:r w:rsidRPr="008B27B4">
              <w:rPr>
                <w:color w:val="000000"/>
                <w:sz w:val="20"/>
                <w:szCs w:val="20"/>
              </w:rPr>
              <w:t>2</w:t>
            </w:r>
            <w:r>
              <w:rPr>
                <w:color w:val="000000"/>
                <w:sz w:val="20"/>
                <w:szCs w:val="20"/>
              </w:rPr>
              <w:t>2.1</w:t>
            </w:r>
            <w:r w:rsidRPr="008B27B4">
              <w:rPr>
                <w:color w:val="000000"/>
                <w:sz w:val="20"/>
                <w:szCs w:val="20"/>
              </w:rPr>
              <w:t>%</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D738A81" w14:textId="7E4861C1" w:rsidR="000C58DC" w:rsidRPr="00E2757F" w:rsidRDefault="000C58DC" w:rsidP="000C58DC">
            <w:pPr>
              <w:jc w:val="center"/>
              <w:rPr>
                <w:sz w:val="16"/>
                <w:szCs w:val="16"/>
                <w:highlight w:val="red"/>
              </w:rPr>
            </w:pPr>
          </w:p>
        </w:tc>
      </w:tr>
      <w:tr w:rsidR="000C58DC" w:rsidRPr="00E80EE2" w14:paraId="27C3F230" w14:textId="77777777" w:rsidTr="000C58DC">
        <w:tblPrEx>
          <w:tblCellMar>
            <w:left w:w="115" w:type="dxa"/>
            <w:right w:w="115" w:type="dxa"/>
          </w:tblCellMar>
        </w:tblPrEx>
        <w:trPr>
          <w:gridAfter w:val="4"/>
          <w:wAfter w:w="5740" w:type="dxa"/>
        </w:trPr>
        <w:tc>
          <w:tcPr>
            <w:tcW w:w="4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4A3338" w14:textId="3050A29A" w:rsidR="000C58DC" w:rsidRPr="00CC3677" w:rsidRDefault="000C58DC" w:rsidP="000C58DC">
            <w:pPr>
              <w:ind w:left="368"/>
              <w:rPr>
                <w:sz w:val="20"/>
                <w:szCs w:val="20"/>
              </w:rPr>
            </w:pPr>
            <w:r w:rsidRPr="00CC3677">
              <w:rPr>
                <w:bCs/>
                <w:sz w:val="20"/>
              </w:rPr>
              <w:t>Expenditures as reported to the National Science Foundation</w:t>
            </w:r>
            <w:r w:rsidRPr="00CC3677">
              <w:rPr>
                <w:rStyle w:val="EndnoteReference"/>
                <w:rFonts w:eastAsia="Arial Unicode MS"/>
                <w:sz w:val="20"/>
                <w:szCs w:val="22"/>
              </w:rPr>
              <w:endnoteReference w:id="15"/>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BDC1D" w14:textId="38AC6E6B" w:rsidR="000C58DC" w:rsidRPr="00CC3677" w:rsidRDefault="000C58DC" w:rsidP="000C58DC">
            <w:pPr>
              <w:jc w:val="center"/>
              <w:rPr>
                <w:color w:val="000000"/>
                <w:sz w:val="20"/>
                <w:szCs w:val="20"/>
              </w:rPr>
            </w:pPr>
            <w:r w:rsidRPr="00CC3677">
              <w:rPr>
                <w:color w:val="000000"/>
                <w:sz w:val="20"/>
                <w:szCs w:val="20"/>
              </w:rPr>
              <w:t>$47.6M</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158063F" w14:textId="4A14C2C1" w:rsidR="000C58DC" w:rsidRPr="00CC3677" w:rsidRDefault="000C58DC" w:rsidP="000C58DC">
            <w:pPr>
              <w:jc w:val="center"/>
              <w:rPr>
                <w:color w:val="000000"/>
                <w:sz w:val="20"/>
                <w:szCs w:val="20"/>
              </w:rPr>
            </w:pPr>
            <w:r>
              <w:rPr>
                <w:color w:val="000000"/>
                <w:sz w:val="20"/>
                <w:szCs w:val="20"/>
              </w:rPr>
              <w:t>$53.0M</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48431" w14:textId="198055AF" w:rsidR="000C58DC" w:rsidRPr="00CC3677" w:rsidRDefault="000C58DC" w:rsidP="000C58DC">
            <w:pPr>
              <w:jc w:val="center"/>
              <w:rPr>
                <w:color w:val="000000"/>
                <w:sz w:val="20"/>
                <w:szCs w:val="20"/>
              </w:rPr>
            </w:pPr>
            <w:r w:rsidRPr="00CC3677">
              <w:rPr>
                <w:i/>
                <w:iCs/>
                <w:sz w:val="16"/>
              </w:rPr>
              <w:t xml:space="preserve">Not available </w:t>
            </w:r>
            <w:proofErr w:type="gramStart"/>
            <w:r w:rsidRPr="00CC3677">
              <w:rPr>
                <w:i/>
                <w:iCs/>
                <w:sz w:val="16"/>
              </w:rPr>
              <w:t>at this time</w:t>
            </w:r>
            <w:proofErr w:type="gramEnd"/>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7801575" w14:textId="2427A108" w:rsidR="000C58DC" w:rsidRPr="00CC3677" w:rsidRDefault="000C58DC" w:rsidP="000C58DC">
            <w:pPr>
              <w:jc w:val="center"/>
              <w:rPr>
                <w:color w:val="FF0000"/>
                <w:sz w:val="16"/>
                <w:szCs w:val="16"/>
              </w:rPr>
            </w:pPr>
          </w:p>
        </w:tc>
      </w:tr>
    </w:tbl>
    <w:p w14:paraId="798EFF20" w14:textId="59324A43" w:rsidR="00C73FF0" w:rsidRDefault="000C58DC" w:rsidP="008B576A">
      <w:r>
        <w:br w:type="textWrapping" w:clear="all"/>
      </w:r>
    </w:p>
    <w:p w14:paraId="5F9CB849" w14:textId="77AFDD4F" w:rsidR="00F26D4A" w:rsidRDefault="00004539" w:rsidP="0062679A">
      <w:pPr>
        <w:rPr>
          <w:b/>
          <w:szCs w:val="20"/>
        </w:rPr>
      </w:pPr>
      <w:r>
        <w:rPr>
          <w:b/>
          <w:bCs/>
        </w:rPr>
        <w:t>FY</w:t>
      </w:r>
      <w:r w:rsidR="009B6C65">
        <w:rPr>
          <w:b/>
          <w:bCs/>
        </w:rPr>
        <w:t xml:space="preserve"> </w:t>
      </w:r>
      <w:r>
        <w:rPr>
          <w:b/>
          <w:bCs/>
        </w:rPr>
        <w:t>20</w:t>
      </w:r>
      <w:r w:rsidR="00B85F45">
        <w:rPr>
          <w:b/>
          <w:bCs/>
        </w:rPr>
        <w:t>2</w:t>
      </w:r>
      <w:r w:rsidR="004531FD">
        <w:rPr>
          <w:b/>
          <w:bCs/>
        </w:rPr>
        <w:t>4</w:t>
      </w:r>
      <w:r>
        <w:rPr>
          <w:b/>
          <w:bCs/>
        </w:rPr>
        <w:t xml:space="preserve"> Performance Highlights</w:t>
      </w:r>
    </w:p>
    <w:p w14:paraId="3C5E3951" w14:textId="0ABFCF02" w:rsidR="00190EEC" w:rsidRPr="000B6544" w:rsidRDefault="00190EEC" w:rsidP="00190EEC">
      <w:pPr>
        <w:numPr>
          <w:ilvl w:val="0"/>
          <w:numId w:val="25"/>
        </w:numPr>
        <w:jc w:val="both"/>
        <w:textAlignment w:val="baseline"/>
        <w:rPr>
          <w:sz w:val="20"/>
          <w:szCs w:val="20"/>
        </w:rPr>
      </w:pPr>
      <w:r w:rsidRPr="00190EEC">
        <w:rPr>
          <w:color w:val="000000"/>
          <w:sz w:val="20"/>
          <w:szCs w:val="20"/>
        </w:rPr>
        <w:t xml:space="preserve">Boise State University continues to be highly successful in helping students graduate and succeed, which contributes to the educational attainment rate of Idahoans. </w:t>
      </w:r>
      <w:r w:rsidRPr="00190EEC">
        <w:rPr>
          <w:b/>
          <w:bCs/>
          <w:color w:val="000000"/>
          <w:sz w:val="20"/>
          <w:szCs w:val="20"/>
        </w:rPr>
        <w:t>In FY2</w:t>
      </w:r>
      <w:r w:rsidR="00BD4BB5">
        <w:rPr>
          <w:b/>
          <w:bCs/>
          <w:color w:val="000000"/>
          <w:sz w:val="20"/>
          <w:szCs w:val="20"/>
        </w:rPr>
        <w:t>4</w:t>
      </w:r>
      <w:r w:rsidRPr="00190EEC">
        <w:rPr>
          <w:b/>
          <w:bCs/>
          <w:color w:val="000000"/>
          <w:sz w:val="20"/>
          <w:szCs w:val="20"/>
        </w:rPr>
        <w:t xml:space="preserve">, </w:t>
      </w:r>
      <w:r w:rsidR="00D91A73">
        <w:rPr>
          <w:b/>
          <w:bCs/>
          <w:color w:val="000000"/>
          <w:sz w:val="20"/>
          <w:szCs w:val="20"/>
        </w:rPr>
        <w:t>3,</w:t>
      </w:r>
      <w:r w:rsidR="00BD4BB5">
        <w:rPr>
          <w:b/>
          <w:bCs/>
          <w:color w:val="000000"/>
          <w:sz w:val="20"/>
          <w:szCs w:val="20"/>
        </w:rPr>
        <w:t>963</w:t>
      </w:r>
      <w:r w:rsidRPr="00190EEC">
        <w:rPr>
          <w:b/>
          <w:bCs/>
          <w:color w:val="000000"/>
          <w:sz w:val="20"/>
          <w:szCs w:val="20"/>
        </w:rPr>
        <w:t xml:space="preserve"> students graduated from Boise State with baccalaureate degrees</w:t>
      </w:r>
      <w:r w:rsidRPr="000B6544">
        <w:rPr>
          <w:b/>
          <w:bCs/>
          <w:sz w:val="20"/>
          <w:szCs w:val="20"/>
        </w:rPr>
        <w:t>,</w:t>
      </w:r>
      <w:r w:rsidR="00BD4BB5" w:rsidRPr="000B6544">
        <w:rPr>
          <w:b/>
          <w:bCs/>
          <w:sz w:val="20"/>
          <w:szCs w:val="20"/>
        </w:rPr>
        <w:t xml:space="preserve"> which is a 2.7% increase over FY23 and a </w:t>
      </w:r>
      <w:r w:rsidR="00896750" w:rsidRPr="000B6544">
        <w:rPr>
          <w:b/>
          <w:bCs/>
          <w:sz w:val="20"/>
          <w:szCs w:val="20"/>
        </w:rPr>
        <w:t>5.6%</w:t>
      </w:r>
      <w:r w:rsidR="00BD4BB5" w:rsidRPr="000B6544">
        <w:rPr>
          <w:b/>
          <w:bCs/>
          <w:sz w:val="20"/>
          <w:szCs w:val="20"/>
        </w:rPr>
        <w:t xml:space="preserve"> increase over FY2</w:t>
      </w:r>
      <w:r w:rsidR="00896750" w:rsidRPr="000B6544">
        <w:rPr>
          <w:b/>
          <w:bCs/>
          <w:sz w:val="20"/>
          <w:szCs w:val="20"/>
        </w:rPr>
        <w:t>1</w:t>
      </w:r>
      <w:r w:rsidRPr="000B6544">
        <w:rPr>
          <w:sz w:val="20"/>
          <w:szCs w:val="20"/>
        </w:rPr>
        <w:t>. </w:t>
      </w:r>
    </w:p>
    <w:p w14:paraId="25F98A2E" w14:textId="23F8A40B" w:rsidR="00190EEC" w:rsidRPr="000B6544" w:rsidRDefault="00190EEC" w:rsidP="00190EEC">
      <w:pPr>
        <w:numPr>
          <w:ilvl w:val="0"/>
          <w:numId w:val="25"/>
        </w:numPr>
        <w:jc w:val="both"/>
        <w:textAlignment w:val="baseline"/>
        <w:rPr>
          <w:sz w:val="20"/>
          <w:szCs w:val="20"/>
        </w:rPr>
      </w:pPr>
      <w:r w:rsidRPr="00190EEC">
        <w:rPr>
          <w:color w:val="000000"/>
          <w:sz w:val="20"/>
          <w:szCs w:val="20"/>
        </w:rPr>
        <w:t xml:space="preserve">The number of </w:t>
      </w:r>
      <w:r w:rsidRPr="00190EEC">
        <w:rPr>
          <w:b/>
          <w:bCs/>
          <w:color w:val="000000"/>
          <w:sz w:val="20"/>
          <w:szCs w:val="20"/>
        </w:rPr>
        <w:t>doctoral degree graduates</w:t>
      </w:r>
      <w:r w:rsidRPr="00190EEC">
        <w:rPr>
          <w:color w:val="000000"/>
          <w:sz w:val="20"/>
          <w:szCs w:val="20"/>
        </w:rPr>
        <w:t xml:space="preserve"> reached a record high in FY2</w:t>
      </w:r>
      <w:r w:rsidR="00BD4BB5">
        <w:rPr>
          <w:color w:val="000000"/>
          <w:sz w:val="20"/>
          <w:szCs w:val="20"/>
        </w:rPr>
        <w:t>4</w:t>
      </w:r>
      <w:r w:rsidRPr="00190EEC">
        <w:rPr>
          <w:color w:val="000000"/>
          <w:sz w:val="20"/>
          <w:szCs w:val="20"/>
        </w:rPr>
        <w:t xml:space="preserve"> with </w:t>
      </w:r>
      <w:proofErr w:type="gramStart"/>
      <w:r w:rsidR="00BD4BB5">
        <w:rPr>
          <w:color w:val="000000"/>
          <w:sz w:val="20"/>
          <w:szCs w:val="20"/>
        </w:rPr>
        <w:t>72</w:t>
      </w:r>
      <w:r w:rsidRPr="00190EEC">
        <w:rPr>
          <w:color w:val="000000"/>
          <w:sz w:val="20"/>
          <w:szCs w:val="20"/>
        </w:rPr>
        <w:t xml:space="preserve"> degree</w:t>
      </w:r>
      <w:proofErr w:type="gramEnd"/>
      <w:r w:rsidRPr="00190EEC">
        <w:rPr>
          <w:color w:val="000000"/>
          <w:sz w:val="20"/>
          <w:szCs w:val="20"/>
        </w:rPr>
        <w:t xml:space="preserve"> completers, </w:t>
      </w:r>
      <w:r w:rsidRPr="000B6544">
        <w:rPr>
          <w:sz w:val="20"/>
          <w:szCs w:val="20"/>
        </w:rPr>
        <w:t xml:space="preserve">which represents a </w:t>
      </w:r>
      <w:r w:rsidR="00896750" w:rsidRPr="000B6544">
        <w:rPr>
          <w:b/>
          <w:bCs/>
          <w:sz w:val="20"/>
          <w:szCs w:val="20"/>
        </w:rPr>
        <w:t>44</w:t>
      </w:r>
      <w:r w:rsidRPr="000B6544">
        <w:rPr>
          <w:b/>
          <w:bCs/>
          <w:sz w:val="20"/>
          <w:szCs w:val="20"/>
        </w:rPr>
        <w:t>% increase</w:t>
      </w:r>
      <w:r w:rsidRPr="000B6544">
        <w:rPr>
          <w:sz w:val="20"/>
          <w:szCs w:val="20"/>
        </w:rPr>
        <w:t xml:space="preserve"> </w:t>
      </w:r>
      <w:r w:rsidR="00DD673E" w:rsidRPr="000B6544">
        <w:rPr>
          <w:sz w:val="20"/>
          <w:szCs w:val="20"/>
        </w:rPr>
        <w:t>from FY</w:t>
      </w:r>
      <w:r w:rsidR="00896750" w:rsidRPr="000B6544">
        <w:rPr>
          <w:sz w:val="20"/>
          <w:szCs w:val="20"/>
        </w:rPr>
        <w:t>21</w:t>
      </w:r>
      <w:r w:rsidRPr="000B6544">
        <w:rPr>
          <w:sz w:val="20"/>
          <w:szCs w:val="20"/>
        </w:rPr>
        <w:t>. This growth significantly contributes to our impact in the state and region, driving Idaho’s knowledge economy.  </w:t>
      </w:r>
    </w:p>
    <w:p w14:paraId="7136C067" w14:textId="6795396E" w:rsidR="00190EEC" w:rsidRPr="000B6544" w:rsidRDefault="00190EEC" w:rsidP="00190EEC">
      <w:pPr>
        <w:numPr>
          <w:ilvl w:val="0"/>
          <w:numId w:val="25"/>
        </w:numPr>
        <w:jc w:val="both"/>
        <w:textAlignment w:val="baseline"/>
        <w:rPr>
          <w:sz w:val="20"/>
          <w:szCs w:val="20"/>
        </w:rPr>
      </w:pPr>
      <w:r w:rsidRPr="000B6544">
        <w:rPr>
          <w:sz w:val="20"/>
          <w:szCs w:val="20"/>
        </w:rPr>
        <w:t xml:space="preserve">The </w:t>
      </w:r>
      <w:r w:rsidRPr="000B6544">
        <w:rPr>
          <w:b/>
          <w:bCs/>
          <w:sz w:val="20"/>
          <w:szCs w:val="20"/>
        </w:rPr>
        <w:t>retention rate for first-year students</w:t>
      </w:r>
      <w:r w:rsidRPr="000B6544">
        <w:rPr>
          <w:sz w:val="20"/>
          <w:szCs w:val="20"/>
        </w:rPr>
        <w:t xml:space="preserve"> maintained its positive trajectory after a substantial increase over the last decade</w:t>
      </w:r>
      <w:r w:rsidR="00DD673E" w:rsidRPr="000B6544">
        <w:rPr>
          <w:sz w:val="20"/>
          <w:szCs w:val="20"/>
        </w:rPr>
        <w:t xml:space="preserve"> at 77.8%</w:t>
      </w:r>
      <w:r w:rsidR="00BE77CD" w:rsidRPr="000B6544">
        <w:rPr>
          <w:sz w:val="20"/>
          <w:szCs w:val="20"/>
        </w:rPr>
        <w:t>.</w:t>
      </w:r>
    </w:p>
    <w:p w14:paraId="5C802A60" w14:textId="741A8E34" w:rsidR="00190EEC" w:rsidRPr="000B6544" w:rsidRDefault="00190EEC" w:rsidP="00190EEC">
      <w:pPr>
        <w:numPr>
          <w:ilvl w:val="0"/>
          <w:numId w:val="25"/>
        </w:numPr>
        <w:jc w:val="both"/>
        <w:textAlignment w:val="baseline"/>
        <w:rPr>
          <w:sz w:val="20"/>
          <w:szCs w:val="20"/>
        </w:rPr>
      </w:pPr>
      <w:r w:rsidRPr="000B6544">
        <w:rPr>
          <w:sz w:val="20"/>
          <w:szCs w:val="20"/>
        </w:rPr>
        <w:t xml:space="preserve">The </w:t>
      </w:r>
      <w:r w:rsidRPr="000B6544">
        <w:rPr>
          <w:b/>
          <w:bCs/>
          <w:sz w:val="20"/>
          <w:szCs w:val="20"/>
        </w:rPr>
        <w:t xml:space="preserve">six-year graduation rate </w:t>
      </w:r>
      <w:r w:rsidR="00BE77CD" w:rsidRPr="000B6544">
        <w:rPr>
          <w:b/>
          <w:bCs/>
          <w:sz w:val="20"/>
          <w:szCs w:val="20"/>
        </w:rPr>
        <w:t>reached its highest ever level</w:t>
      </w:r>
      <w:r w:rsidR="00CA763A" w:rsidRPr="000B6544">
        <w:rPr>
          <w:b/>
          <w:bCs/>
          <w:sz w:val="20"/>
          <w:szCs w:val="20"/>
        </w:rPr>
        <w:t xml:space="preserve"> at</w:t>
      </w:r>
      <w:r w:rsidR="00BE77CD" w:rsidRPr="000B6544">
        <w:rPr>
          <w:b/>
          <w:bCs/>
          <w:sz w:val="20"/>
          <w:szCs w:val="20"/>
        </w:rPr>
        <w:t xml:space="preserve"> over </w:t>
      </w:r>
      <w:r w:rsidR="00DD673E" w:rsidRPr="000B6544">
        <w:rPr>
          <w:b/>
          <w:bCs/>
          <w:sz w:val="20"/>
          <w:szCs w:val="20"/>
        </w:rPr>
        <w:t>61</w:t>
      </w:r>
      <w:r w:rsidR="00BE77CD" w:rsidRPr="000B6544">
        <w:rPr>
          <w:b/>
          <w:bCs/>
          <w:sz w:val="20"/>
          <w:szCs w:val="20"/>
        </w:rPr>
        <w:t>%</w:t>
      </w:r>
      <w:r w:rsidRPr="000B6544">
        <w:rPr>
          <w:sz w:val="20"/>
          <w:szCs w:val="20"/>
        </w:rPr>
        <w:t xml:space="preserve"> for the Fall 201</w:t>
      </w:r>
      <w:r w:rsidR="00DD673E" w:rsidRPr="000B6544">
        <w:rPr>
          <w:sz w:val="20"/>
          <w:szCs w:val="20"/>
        </w:rPr>
        <w:t>7</w:t>
      </w:r>
      <w:r w:rsidRPr="000B6544">
        <w:rPr>
          <w:sz w:val="20"/>
          <w:szCs w:val="20"/>
        </w:rPr>
        <w:t xml:space="preserve"> cohort of first-time, full-time (FTFT) freshmen. The graduation rate of the Fall 201</w:t>
      </w:r>
      <w:r w:rsidR="00DD673E" w:rsidRPr="000B6544">
        <w:rPr>
          <w:sz w:val="20"/>
          <w:szCs w:val="20"/>
        </w:rPr>
        <w:t>7</w:t>
      </w:r>
      <w:r w:rsidRPr="000B6544">
        <w:rPr>
          <w:sz w:val="20"/>
          <w:szCs w:val="20"/>
        </w:rPr>
        <w:t xml:space="preserve"> transfer cohort </w:t>
      </w:r>
      <w:r w:rsidR="00DD673E" w:rsidRPr="000B6544">
        <w:rPr>
          <w:sz w:val="20"/>
          <w:szCs w:val="20"/>
        </w:rPr>
        <w:t>continued to increase with a rate of 63%</w:t>
      </w:r>
      <w:r w:rsidRPr="000B6544">
        <w:rPr>
          <w:sz w:val="20"/>
          <w:szCs w:val="20"/>
        </w:rPr>
        <w:t xml:space="preserve">. The positive momentum and trajectory of increases in graduation rates demonstrate </w:t>
      </w:r>
      <w:r w:rsidRPr="000B6544">
        <w:rPr>
          <w:sz w:val="20"/>
          <w:szCs w:val="20"/>
        </w:rPr>
        <w:lastRenderedPageBreak/>
        <w:t>Boise State’s ongoing commitment and support for student success. This has been achieved through significant innovation, including a</w:t>
      </w:r>
      <w:r w:rsidR="00DD673E" w:rsidRPr="000B6544">
        <w:rPr>
          <w:sz w:val="20"/>
          <w:szCs w:val="20"/>
        </w:rPr>
        <w:t xml:space="preserve"> university-wide commitment to the Strategic Enrollment and Retention Plan that was developed in 2022</w:t>
      </w:r>
      <w:r w:rsidRPr="000B6544">
        <w:rPr>
          <w:sz w:val="20"/>
          <w:szCs w:val="20"/>
        </w:rPr>
        <w:t>.</w:t>
      </w:r>
    </w:p>
    <w:p w14:paraId="3BE68190" w14:textId="0417DEF9" w:rsidR="00190EEC" w:rsidRPr="000B6544" w:rsidRDefault="00190EEC" w:rsidP="00190EEC">
      <w:pPr>
        <w:numPr>
          <w:ilvl w:val="0"/>
          <w:numId w:val="25"/>
        </w:numPr>
        <w:jc w:val="both"/>
        <w:textAlignment w:val="baseline"/>
        <w:rPr>
          <w:sz w:val="20"/>
          <w:szCs w:val="20"/>
        </w:rPr>
      </w:pPr>
      <w:r w:rsidRPr="000B6544">
        <w:rPr>
          <w:sz w:val="20"/>
          <w:szCs w:val="20"/>
        </w:rPr>
        <w:t xml:space="preserve">The number of students participating in </w:t>
      </w:r>
      <w:r w:rsidR="001B6984" w:rsidRPr="000B6544">
        <w:rPr>
          <w:b/>
          <w:bCs/>
          <w:sz w:val="20"/>
          <w:szCs w:val="20"/>
        </w:rPr>
        <w:t>concurrent</w:t>
      </w:r>
      <w:r w:rsidRPr="000B6544">
        <w:rPr>
          <w:b/>
          <w:bCs/>
          <w:sz w:val="20"/>
          <w:szCs w:val="20"/>
        </w:rPr>
        <w:t xml:space="preserve"> enrollment</w:t>
      </w:r>
      <w:r w:rsidR="001B6984" w:rsidRPr="000B6544">
        <w:rPr>
          <w:sz w:val="20"/>
          <w:szCs w:val="20"/>
        </w:rPr>
        <w:t xml:space="preserve"> (dual credit)</w:t>
      </w:r>
      <w:r w:rsidRPr="000B6544">
        <w:rPr>
          <w:sz w:val="20"/>
          <w:szCs w:val="20"/>
        </w:rPr>
        <w:t xml:space="preserve"> </w:t>
      </w:r>
      <w:r w:rsidR="001B6984" w:rsidRPr="000B6544">
        <w:rPr>
          <w:sz w:val="20"/>
          <w:szCs w:val="20"/>
        </w:rPr>
        <w:t>in FY2</w:t>
      </w:r>
      <w:r w:rsidR="00DD673E" w:rsidRPr="000B6544">
        <w:rPr>
          <w:sz w:val="20"/>
          <w:szCs w:val="20"/>
        </w:rPr>
        <w:t>4</w:t>
      </w:r>
      <w:r w:rsidR="001B6984" w:rsidRPr="000B6544">
        <w:rPr>
          <w:sz w:val="20"/>
          <w:szCs w:val="20"/>
        </w:rPr>
        <w:t xml:space="preserve"> was</w:t>
      </w:r>
      <w:r w:rsidRPr="000B6544">
        <w:rPr>
          <w:sz w:val="20"/>
          <w:szCs w:val="20"/>
        </w:rPr>
        <w:t xml:space="preserve"> </w:t>
      </w:r>
      <w:r w:rsidR="00DD673E" w:rsidRPr="000B6544">
        <w:rPr>
          <w:sz w:val="20"/>
          <w:szCs w:val="20"/>
        </w:rPr>
        <w:t xml:space="preserve">7,450, which </w:t>
      </w:r>
      <w:r w:rsidR="001B6984" w:rsidRPr="000B6544">
        <w:rPr>
          <w:sz w:val="20"/>
          <w:szCs w:val="20"/>
        </w:rPr>
        <w:t xml:space="preserve">represents a </w:t>
      </w:r>
      <w:r w:rsidR="00DD673E" w:rsidRPr="000B6544">
        <w:rPr>
          <w:b/>
          <w:bCs/>
          <w:sz w:val="20"/>
          <w:szCs w:val="20"/>
        </w:rPr>
        <w:t>4.7</w:t>
      </w:r>
      <w:r w:rsidR="001B6984" w:rsidRPr="000B6544">
        <w:rPr>
          <w:b/>
          <w:bCs/>
          <w:sz w:val="20"/>
          <w:szCs w:val="20"/>
        </w:rPr>
        <w:t>% increase</w:t>
      </w:r>
      <w:r w:rsidR="001B6984" w:rsidRPr="000B6544">
        <w:rPr>
          <w:sz w:val="20"/>
          <w:szCs w:val="20"/>
        </w:rPr>
        <w:t xml:space="preserve"> over last year. </w:t>
      </w:r>
      <w:r w:rsidRPr="000B6544">
        <w:rPr>
          <w:b/>
          <w:bCs/>
          <w:sz w:val="20"/>
          <w:szCs w:val="20"/>
        </w:rPr>
        <w:t>Distance education</w:t>
      </w:r>
      <w:r w:rsidRPr="000B6544">
        <w:rPr>
          <w:sz w:val="20"/>
          <w:szCs w:val="20"/>
        </w:rPr>
        <w:t xml:space="preserve"> credit hours </w:t>
      </w:r>
      <w:r w:rsidR="00DD673E" w:rsidRPr="000B6544">
        <w:rPr>
          <w:sz w:val="20"/>
          <w:szCs w:val="20"/>
        </w:rPr>
        <w:t>decreased</w:t>
      </w:r>
      <w:r w:rsidR="004531FD" w:rsidRPr="000B6544">
        <w:rPr>
          <w:sz w:val="20"/>
          <w:szCs w:val="20"/>
        </w:rPr>
        <w:t xml:space="preserve"> very</w:t>
      </w:r>
      <w:r w:rsidR="00DD673E" w:rsidRPr="000B6544">
        <w:rPr>
          <w:sz w:val="20"/>
          <w:szCs w:val="20"/>
        </w:rPr>
        <w:t xml:space="preserve"> slightly </w:t>
      </w:r>
      <w:r w:rsidRPr="000B6544">
        <w:rPr>
          <w:sz w:val="20"/>
          <w:szCs w:val="20"/>
        </w:rPr>
        <w:t>in FY2</w:t>
      </w:r>
      <w:r w:rsidR="00DD673E" w:rsidRPr="000B6544">
        <w:rPr>
          <w:sz w:val="20"/>
          <w:szCs w:val="20"/>
        </w:rPr>
        <w:t>4</w:t>
      </w:r>
      <w:r w:rsidRPr="000B6544">
        <w:rPr>
          <w:sz w:val="20"/>
          <w:szCs w:val="20"/>
        </w:rPr>
        <w:t xml:space="preserve"> by </w:t>
      </w:r>
      <w:r w:rsidR="004531FD" w:rsidRPr="000B6544">
        <w:rPr>
          <w:sz w:val="20"/>
          <w:szCs w:val="20"/>
        </w:rPr>
        <w:t>less than half of a percentage point</w:t>
      </w:r>
      <w:r w:rsidRPr="000B6544">
        <w:rPr>
          <w:sz w:val="20"/>
          <w:szCs w:val="20"/>
        </w:rPr>
        <w:t xml:space="preserve"> from FY2</w:t>
      </w:r>
      <w:r w:rsidR="004531FD" w:rsidRPr="000B6544">
        <w:rPr>
          <w:sz w:val="20"/>
          <w:szCs w:val="20"/>
        </w:rPr>
        <w:t>3</w:t>
      </w:r>
      <w:r w:rsidRPr="000B6544">
        <w:rPr>
          <w:sz w:val="20"/>
          <w:szCs w:val="20"/>
        </w:rPr>
        <w:t xml:space="preserve"> although the number of students participating in a distance learning course remained strong at </w:t>
      </w:r>
      <w:r w:rsidR="004531FD" w:rsidRPr="000B6544">
        <w:rPr>
          <w:sz w:val="20"/>
          <w:szCs w:val="20"/>
        </w:rPr>
        <w:t>21,692</w:t>
      </w:r>
      <w:r w:rsidR="000B6544" w:rsidRPr="000B6544">
        <w:rPr>
          <w:sz w:val="20"/>
          <w:szCs w:val="20"/>
        </w:rPr>
        <w:t>.</w:t>
      </w:r>
    </w:p>
    <w:p w14:paraId="6C4E3E79" w14:textId="77A193E8" w:rsidR="00EE4167" w:rsidRPr="00EE4167" w:rsidRDefault="00EE4167" w:rsidP="00EE4167">
      <w:pPr>
        <w:numPr>
          <w:ilvl w:val="0"/>
          <w:numId w:val="25"/>
        </w:numPr>
        <w:jc w:val="both"/>
        <w:textAlignment w:val="baseline"/>
        <w:rPr>
          <w:color w:val="000000"/>
          <w:sz w:val="20"/>
          <w:szCs w:val="20"/>
        </w:rPr>
      </w:pPr>
      <w:r w:rsidRPr="00EE4167">
        <w:rPr>
          <w:color w:val="000000"/>
          <w:sz w:val="20"/>
          <w:szCs w:val="20"/>
        </w:rPr>
        <w:t>Enrollment in Boise State’s online programs has maintained its positive trajectory with a total online enrollment of 3,</w:t>
      </w:r>
      <w:r w:rsidR="004531FD">
        <w:rPr>
          <w:color w:val="000000"/>
          <w:sz w:val="20"/>
          <w:szCs w:val="20"/>
        </w:rPr>
        <w:t xml:space="preserve">856 </w:t>
      </w:r>
      <w:r w:rsidRPr="00EE4167">
        <w:rPr>
          <w:color w:val="000000"/>
          <w:sz w:val="20"/>
          <w:szCs w:val="20"/>
        </w:rPr>
        <w:t>in the fall of 202</w:t>
      </w:r>
      <w:r w:rsidR="004531FD">
        <w:rPr>
          <w:color w:val="000000"/>
          <w:sz w:val="20"/>
          <w:szCs w:val="20"/>
        </w:rPr>
        <w:t>3</w:t>
      </w:r>
      <w:r w:rsidRPr="00EE4167">
        <w:rPr>
          <w:color w:val="000000"/>
          <w:sz w:val="20"/>
          <w:szCs w:val="20"/>
        </w:rPr>
        <w:t xml:space="preserve">. </w:t>
      </w:r>
      <w:r w:rsidRPr="00EE4167">
        <w:rPr>
          <w:b/>
          <w:bCs/>
          <w:color w:val="000000"/>
          <w:sz w:val="20"/>
          <w:szCs w:val="20"/>
        </w:rPr>
        <w:t xml:space="preserve">Idaho resident enrollment in online programs increased by </w:t>
      </w:r>
      <w:r w:rsidR="004531FD">
        <w:rPr>
          <w:b/>
          <w:bCs/>
          <w:color w:val="000000"/>
          <w:sz w:val="20"/>
          <w:szCs w:val="20"/>
        </w:rPr>
        <w:t>9.9</w:t>
      </w:r>
      <w:r w:rsidRPr="00EE4167">
        <w:rPr>
          <w:b/>
          <w:bCs/>
          <w:color w:val="000000"/>
          <w:sz w:val="20"/>
          <w:szCs w:val="20"/>
        </w:rPr>
        <w:t>% between FY2</w:t>
      </w:r>
      <w:r w:rsidR="004531FD">
        <w:rPr>
          <w:b/>
          <w:bCs/>
          <w:color w:val="000000"/>
          <w:sz w:val="20"/>
          <w:szCs w:val="20"/>
        </w:rPr>
        <w:t>1</w:t>
      </w:r>
      <w:r w:rsidRPr="00EE4167">
        <w:rPr>
          <w:b/>
          <w:bCs/>
          <w:color w:val="000000"/>
          <w:sz w:val="20"/>
          <w:szCs w:val="20"/>
        </w:rPr>
        <w:t xml:space="preserve"> andFY2</w:t>
      </w:r>
      <w:r w:rsidR="004531FD">
        <w:rPr>
          <w:b/>
          <w:bCs/>
          <w:color w:val="000000"/>
          <w:sz w:val="20"/>
          <w:szCs w:val="20"/>
        </w:rPr>
        <w:t>4</w:t>
      </w:r>
      <w:r w:rsidRPr="00EE4167">
        <w:rPr>
          <w:b/>
          <w:bCs/>
          <w:color w:val="000000"/>
          <w:sz w:val="20"/>
          <w:szCs w:val="20"/>
        </w:rPr>
        <w:t>. </w:t>
      </w:r>
    </w:p>
    <w:p w14:paraId="0D386AA1" w14:textId="28922C72" w:rsidR="00600899" w:rsidRPr="009701C2" w:rsidRDefault="00190EEC" w:rsidP="003C6A70">
      <w:pPr>
        <w:pStyle w:val="ListParagraph"/>
        <w:numPr>
          <w:ilvl w:val="0"/>
          <w:numId w:val="25"/>
        </w:numPr>
        <w:contextualSpacing w:val="0"/>
        <w:jc w:val="both"/>
        <w:outlineLvl w:val="0"/>
        <w:rPr>
          <w:b/>
          <w:i/>
          <w:color w:val="000080"/>
          <w:sz w:val="28"/>
          <w:szCs w:val="28"/>
        </w:rPr>
      </w:pPr>
      <w:r w:rsidRPr="009701C2">
        <w:rPr>
          <w:color w:val="000000"/>
          <w:sz w:val="20"/>
          <w:szCs w:val="20"/>
        </w:rPr>
        <w:t xml:space="preserve">Boise State’s total sponsored project expenditures </w:t>
      </w:r>
      <w:r w:rsidR="004531FD" w:rsidRPr="004531FD">
        <w:rPr>
          <w:b/>
          <w:bCs/>
          <w:color w:val="000000"/>
          <w:sz w:val="20"/>
          <w:szCs w:val="20"/>
        </w:rPr>
        <w:t xml:space="preserve">increased substantially </w:t>
      </w:r>
      <w:r w:rsidR="000B6544">
        <w:rPr>
          <w:b/>
          <w:bCs/>
          <w:color w:val="000000"/>
          <w:sz w:val="20"/>
          <w:szCs w:val="20"/>
        </w:rPr>
        <w:t xml:space="preserve">by 10% </w:t>
      </w:r>
      <w:r w:rsidR="004531FD" w:rsidRPr="004531FD">
        <w:rPr>
          <w:b/>
          <w:bCs/>
          <w:color w:val="000000"/>
          <w:sz w:val="20"/>
          <w:szCs w:val="20"/>
        </w:rPr>
        <w:t xml:space="preserve">over FY23 with </w:t>
      </w:r>
      <w:r w:rsidR="004531FD">
        <w:rPr>
          <w:b/>
          <w:bCs/>
          <w:color w:val="000000"/>
          <w:sz w:val="20"/>
          <w:szCs w:val="20"/>
        </w:rPr>
        <w:t>over</w:t>
      </w:r>
      <w:r w:rsidR="00BE77CD">
        <w:rPr>
          <w:b/>
          <w:bCs/>
          <w:color w:val="000000"/>
          <w:sz w:val="20"/>
          <w:szCs w:val="20"/>
        </w:rPr>
        <w:t xml:space="preserve"> </w:t>
      </w:r>
      <w:r w:rsidRPr="009701C2">
        <w:rPr>
          <w:b/>
          <w:bCs/>
          <w:color w:val="000000"/>
          <w:sz w:val="20"/>
          <w:szCs w:val="20"/>
        </w:rPr>
        <w:t>$</w:t>
      </w:r>
      <w:r w:rsidR="004531FD">
        <w:rPr>
          <w:b/>
          <w:bCs/>
          <w:color w:val="000000"/>
          <w:sz w:val="20"/>
          <w:szCs w:val="20"/>
        </w:rPr>
        <w:t>70</w:t>
      </w:r>
      <w:r w:rsidRPr="009701C2">
        <w:rPr>
          <w:b/>
          <w:bCs/>
          <w:color w:val="000000"/>
          <w:sz w:val="20"/>
          <w:szCs w:val="20"/>
        </w:rPr>
        <w:t>M for FY2</w:t>
      </w:r>
      <w:r w:rsidR="004531FD">
        <w:rPr>
          <w:b/>
          <w:bCs/>
          <w:color w:val="000000"/>
          <w:sz w:val="20"/>
          <w:szCs w:val="20"/>
        </w:rPr>
        <w:t>4</w:t>
      </w:r>
      <w:r w:rsidRPr="009701C2">
        <w:rPr>
          <w:color w:val="000000"/>
          <w:sz w:val="20"/>
          <w:szCs w:val="20"/>
        </w:rPr>
        <w:t xml:space="preserve"> and the total number of awards was </w:t>
      </w:r>
      <w:r w:rsidR="004531FD">
        <w:rPr>
          <w:color w:val="000000"/>
          <w:sz w:val="20"/>
          <w:szCs w:val="20"/>
        </w:rPr>
        <w:t>392</w:t>
      </w:r>
      <w:r w:rsidRPr="009701C2">
        <w:rPr>
          <w:color w:val="000000"/>
          <w:sz w:val="20"/>
          <w:szCs w:val="20"/>
        </w:rPr>
        <w:t>. These developments bring new revenue and opportunities to the state and support our state’s economic engine.</w:t>
      </w:r>
    </w:p>
    <w:p w14:paraId="0F7413BF" w14:textId="77777777" w:rsidR="00600899" w:rsidRDefault="00600899" w:rsidP="00153ACC">
      <w:pPr>
        <w:jc w:val="both"/>
        <w:outlineLvl w:val="0"/>
        <w:rPr>
          <w:b/>
          <w:i/>
          <w:color w:val="000080"/>
          <w:sz w:val="28"/>
          <w:szCs w:val="28"/>
        </w:rPr>
      </w:pPr>
    </w:p>
    <w:p w14:paraId="4591307A" w14:textId="485F6A0B" w:rsidR="0062679A" w:rsidRDefault="0062679A" w:rsidP="00153ACC">
      <w:pPr>
        <w:jc w:val="both"/>
        <w:outlineLvl w:val="0"/>
        <w:rPr>
          <w:b/>
          <w:i/>
          <w:color w:val="000080"/>
          <w:sz w:val="28"/>
          <w:szCs w:val="28"/>
        </w:rPr>
      </w:pPr>
      <w:r w:rsidRPr="004B2482">
        <w:rPr>
          <w:b/>
          <w:i/>
          <w:color w:val="000080"/>
          <w:sz w:val="28"/>
          <w:szCs w:val="28"/>
        </w:rPr>
        <w:t>Part II – Performance Measures</w:t>
      </w:r>
    </w:p>
    <w:p w14:paraId="68951CC7" w14:textId="77777777" w:rsidR="00DA50E7" w:rsidRPr="00DA50E7" w:rsidRDefault="00DA50E7" w:rsidP="00DA50E7"/>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240"/>
        <w:gridCol w:w="1295"/>
        <w:gridCol w:w="1175"/>
        <w:gridCol w:w="1084"/>
        <w:gridCol w:w="1084"/>
        <w:gridCol w:w="1084"/>
        <w:gridCol w:w="1084"/>
      </w:tblGrid>
      <w:tr w:rsidR="000C58DC" w:rsidRPr="00A253D9" w14:paraId="06AD349A" w14:textId="77777777" w:rsidTr="00070DAA">
        <w:trPr>
          <w:cantSplit/>
          <w:tblHeader/>
        </w:trPr>
        <w:tc>
          <w:tcPr>
            <w:tcW w:w="453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D7C53C1" w14:textId="36ED99ED" w:rsidR="000C58DC" w:rsidRPr="00A253D9" w:rsidRDefault="000C58DC" w:rsidP="000C58DC">
            <w:pPr>
              <w:jc w:val="center"/>
              <w:rPr>
                <w:b/>
                <w:bCs/>
                <w:color w:val="FFFFFF"/>
                <w:sz w:val="20"/>
                <w:szCs w:val="20"/>
              </w:rPr>
            </w:pPr>
            <w:r w:rsidRPr="00A253D9">
              <w:rPr>
                <w:b/>
                <w:bCs/>
                <w:color w:val="FFFFFF"/>
                <w:sz w:val="20"/>
                <w:szCs w:val="20"/>
              </w:rPr>
              <w:t>Productivity Measure</w:t>
            </w:r>
          </w:p>
        </w:tc>
        <w:tc>
          <w:tcPr>
            <w:tcW w:w="1175" w:type="dxa"/>
            <w:tcBorders>
              <w:top w:val="single" w:sz="4" w:space="0" w:color="auto"/>
              <w:left w:val="single" w:sz="4" w:space="0" w:color="auto"/>
              <w:bottom w:val="single" w:sz="4" w:space="0" w:color="auto"/>
              <w:right w:val="single" w:sz="4" w:space="0" w:color="auto"/>
            </w:tcBorders>
            <w:shd w:val="clear" w:color="auto" w:fill="000080"/>
            <w:vAlign w:val="bottom"/>
          </w:tcPr>
          <w:p w14:paraId="65A5E5FB" w14:textId="7F4485D4" w:rsidR="000C58DC" w:rsidRPr="00A253D9" w:rsidRDefault="000C58DC" w:rsidP="000C58DC">
            <w:pPr>
              <w:jc w:val="center"/>
              <w:rPr>
                <w:b/>
                <w:bCs/>
                <w:color w:val="FFFFFF"/>
                <w:sz w:val="20"/>
                <w:szCs w:val="20"/>
              </w:rPr>
            </w:pPr>
            <w:r>
              <w:rPr>
                <w:b/>
                <w:bCs/>
                <w:color w:val="FFFFFF"/>
                <w:sz w:val="20"/>
                <w:szCs w:val="20"/>
              </w:rPr>
              <w:t>FY 2022</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2874CA57" w14:textId="5C32A3EC" w:rsidR="000C58DC" w:rsidRPr="00A253D9" w:rsidRDefault="000C58DC" w:rsidP="000C58DC">
            <w:pPr>
              <w:jc w:val="center"/>
              <w:rPr>
                <w:b/>
                <w:bCs/>
                <w:color w:val="FFFFFF"/>
                <w:sz w:val="20"/>
                <w:szCs w:val="20"/>
              </w:rPr>
            </w:pPr>
            <w:r>
              <w:rPr>
                <w:b/>
                <w:bCs/>
                <w:color w:val="FFFFFF"/>
                <w:sz w:val="20"/>
                <w:szCs w:val="20"/>
              </w:rPr>
              <w:t>FY 2023</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2383449F" w14:textId="0811F8C3" w:rsidR="000C58DC" w:rsidRPr="00A253D9" w:rsidRDefault="000C58DC" w:rsidP="000C58DC">
            <w:pPr>
              <w:jc w:val="center"/>
              <w:rPr>
                <w:b/>
                <w:bCs/>
                <w:color w:val="FFFFFF"/>
                <w:sz w:val="20"/>
                <w:szCs w:val="20"/>
              </w:rPr>
            </w:pPr>
            <w:r>
              <w:rPr>
                <w:b/>
                <w:bCs/>
                <w:color w:val="FFFFFF"/>
                <w:sz w:val="20"/>
                <w:szCs w:val="20"/>
              </w:rPr>
              <w:t>FY 2024</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7DEC5981" w14:textId="52C37DCA" w:rsidR="000C58DC" w:rsidRPr="00A253D9" w:rsidRDefault="000C58DC" w:rsidP="000C58DC">
            <w:pPr>
              <w:jc w:val="center"/>
              <w:rPr>
                <w:b/>
                <w:bCs/>
                <w:color w:val="FFFFFF"/>
                <w:sz w:val="20"/>
                <w:szCs w:val="20"/>
              </w:rPr>
            </w:pPr>
            <w:r>
              <w:rPr>
                <w:b/>
                <w:bCs/>
                <w:color w:val="FFFFFF"/>
                <w:sz w:val="20"/>
                <w:szCs w:val="20"/>
              </w:rPr>
              <w:t>FY 2025</w:t>
            </w:r>
          </w:p>
        </w:tc>
        <w:tc>
          <w:tcPr>
            <w:tcW w:w="1084" w:type="dxa"/>
            <w:tcBorders>
              <w:top w:val="single" w:sz="4" w:space="0" w:color="auto"/>
              <w:left w:val="single" w:sz="4" w:space="0" w:color="auto"/>
              <w:bottom w:val="single" w:sz="4" w:space="0" w:color="auto"/>
              <w:right w:val="single" w:sz="4" w:space="0" w:color="auto"/>
            </w:tcBorders>
            <w:shd w:val="clear" w:color="auto" w:fill="000080"/>
            <w:vAlign w:val="bottom"/>
          </w:tcPr>
          <w:p w14:paraId="6F32B095" w14:textId="3FB827D3" w:rsidR="000C58DC" w:rsidRPr="00A253D9" w:rsidRDefault="000C58DC" w:rsidP="000C58DC">
            <w:pPr>
              <w:jc w:val="center"/>
              <w:rPr>
                <w:b/>
                <w:bCs/>
                <w:color w:val="FFFFFF"/>
                <w:sz w:val="20"/>
                <w:szCs w:val="20"/>
              </w:rPr>
            </w:pPr>
            <w:r>
              <w:rPr>
                <w:b/>
                <w:bCs/>
                <w:color w:val="FFFFFF"/>
                <w:sz w:val="20"/>
                <w:szCs w:val="20"/>
              </w:rPr>
              <w:t>FY 2026</w:t>
            </w:r>
          </w:p>
        </w:tc>
      </w:tr>
      <w:tr w:rsidR="000C58DC" w:rsidRPr="00A253D9" w14:paraId="702A244A" w14:textId="77777777" w:rsidTr="00070DAA">
        <w:trPr>
          <w:cantSplit/>
          <w:trHeight w:val="404"/>
        </w:trPr>
        <w:tc>
          <w:tcPr>
            <w:tcW w:w="10046" w:type="dxa"/>
            <w:gridSpan w:val="7"/>
            <w:tcBorders>
              <w:top w:val="single" w:sz="4" w:space="0" w:color="auto"/>
              <w:left w:val="single" w:sz="4" w:space="0" w:color="auto"/>
              <w:right w:val="single" w:sz="4" w:space="0" w:color="auto"/>
            </w:tcBorders>
            <w:shd w:val="clear" w:color="auto" w:fill="DBE5F1" w:themeFill="accent1" w:themeFillTint="33"/>
            <w:vAlign w:val="center"/>
          </w:tcPr>
          <w:p w14:paraId="0D937750" w14:textId="338B2AAC" w:rsidR="000C58DC" w:rsidRPr="00C4601B" w:rsidRDefault="000C58DC" w:rsidP="000C58DC">
            <w:pPr>
              <w:jc w:val="center"/>
              <w:rPr>
                <w:rFonts w:eastAsia="Arial Unicode MS"/>
                <w:b/>
                <w:sz w:val="20"/>
                <w:szCs w:val="20"/>
              </w:rPr>
            </w:pPr>
            <w:r w:rsidRPr="00C4601B">
              <w:rPr>
                <w:rFonts w:eastAsia="Arial Unicode MS"/>
                <w:b/>
                <w:sz w:val="20"/>
                <w:szCs w:val="20"/>
              </w:rPr>
              <w:t>Goal 1</w:t>
            </w:r>
          </w:p>
          <w:p w14:paraId="70ECE590" w14:textId="77777777" w:rsidR="000C58DC" w:rsidRPr="00C4601B" w:rsidRDefault="000C58DC" w:rsidP="000C58DC">
            <w:pPr>
              <w:jc w:val="center"/>
              <w:rPr>
                <w:rFonts w:eastAsia="Arial Unicode MS"/>
                <w:b/>
                <w:sz w:val="20"/>
                <w:szCs w:val="20"/>
              </w:rPr>
            </w:pPr>
            <w:r w:rsidRPr="00C4601B">
              <w:rPr>
                <w:rFonts w:eastAsia="Arial Unicode MS"/>
                <w:b/>
                <w:sz w:val="20"/>
                <w:szCs w:val="20"/>
              </w:rPr>
              <w:t>Improve Educational Access and Student Success</w:t>
            </w:r>
          </w:p>
          <w:p w14:paraId="6D54FAE5" w14:textId="3583FF26" w:rsidR="000C58DC" w:rsidRPr="00A253D9" w:rsidRDefault="000C58DC" w:rsidP="000C58DC">
            <w:pPr>
              <w:jc w:val="center"/>
              <w:rPr>
                <w:rFonts w:eastAsia="Arial Unicode MS"/>
                <w:b/>
                <w:sz w:val="20"/>
                <w:szCs w:val="20"/>
              </w:rPr>
            </w:pPr>
            <w:r w:rsidRPr="00C4601B">
              <w:rPr>
                <w:rFonts w:eastAsia="Arial Unicode MS"/>
                <w:sz w:val="20"/>
                <w:szCs w:val="20"/>
              </w:rPr>
              <w:t>(</w:t>
            </w:r>
            <w:r w:rsidRPr="00C4601B">
              <w:rPr>
                <w:rFonts w:eastAsia="Arial Unicode MS"/>
                <w:bCs/>
                <w:i/>
                <w:iCs/>
                <w:sz w:val="20"/>
                <w:szCs w:val="20"/>
              </w:rPr>
              <w:t>Enhance the comprehensive student experience with a focus on student success and post-graduate outcomes</w:t>
            </w:r>
            <w:r w:rsidRPr="00C4601B">
              <w:rPr>
                <w:rFonts w:eastAsia="Arial Unicode MS"/>
                <w:sz w:val="20"/>
                <w:szCs w:val="20"/>
              </w:rPr>
              <w:t>)</w:t>
            </w:r>
          </w:p>
        </w:tc>
      </w:tr>
      <w:tr w:rsidR="000C58DC" w:rsidRPr="00A253D9" w14:paraId="4388C09C" w14:textId="77777777" w:rsidTr="00070DAA">
        <w:trPr>
          <w:cantSplit/>
          <w:trHeight w:val="288"/>
        </w:trPr>
        <w:tc>
          <w:tcPr>
            <w:tcW w:w="10046" w:type="dxa"/>
            <w:gridSpan w:val="7"/>
            <w:tcBorders>
              <w:top w:val="single" w:sz="4" w:space="0" w:color="auto"/>
              <w:left w:val="single" w:sz="4" w:space="0" w:color="auto"/>
              <w:bottom w:val="single" w:sz="4" w:space="0" w:color="auto"/>
              <w:right w:val="single" w:sz="4" w:space="0" w:color="auto"/>
            </w:tcBorders>
            <w:vAlign w:val="center"/>
          </w:tcPr>
          <w:p w14:paraId="3F6FEAA0" w14:textId="15D119BC" w:rsidR="000C58DC" w:rsidRPr="00525958" w:rsidRDefault="000C58DC" w:rsidP="000C58DC">
            <w:pPr>
              <w:pStyle w:val="ListParagraph"/>
              <w:numPr>
                <w:ilvl w:val="0"/>
                <w:numId w:val="18"/>
              </w:numPr>
              <w:ind w:left="322" w:hanging="322"/>
              <w:rPr>
                <w:i/>
                <w:sz w:val="16"/>
                <w:szCs w:val="20"/>
              </w:rPr>
            </w:pPr>
            <w:r w:rsidRPr="00525958">
              <w:rPr>
                <w:sz w:val="20"/>
                <w:szCs w:val="20"/>
              </w:rPr>
              <w:t xml:space="preserve">Graduation Rates (Objective </w:t>
            </w:r>
            <w:proofErr w:type="gramStart"/>
            <w:r w:rsidRPr="00525958">
              <w:rPr>
                <w:sz w:val="20"/>
                <w:szCs w:val="20"/>
              </w:rPr>
              <w:t>A)*</w:t>
            </w:r>
            <w:proofErr w:type="gramEnd"/>
          </w:p>
        </w:tc>
      </w:tr>
      <w:tr w:rsidR="000C58DC" w:rsidRPr="00A253D9" w14:paraId="2F96461F" w14:textId="77777777" w:rsidTr="00070DAA">
        <w:trPr>
          <w:cantSplit/>
          <w:trHeight w:val="288"/>
        </w:trPr>
        <w:tc>
          <w:tcPr>
            <w:tcW w:w="3240" w:type="dxa"/>
            <w:vMerge w:val="restart"/>
            <w:tcBorders>
              <w:top w:val="single" w:sz="4" w:space="0" w:color="auto"/>
              <w:left w:val="single" w:sz="4" w:space="0" w:color="auto"/>
              <w:right w:val="single" w:sz="4" w:space="0" w:color="auto"/>
            </w:tcBorders>
            <w:vAlign w:val="center"/>
          </w:tcPr>
          <w:p w14:paraId="7E10A141" w14:textId="55FF3483" w:rsidR="000C58DC" w:rsidRPr="00525958" w:rsidRDefault="000C58DC" w:rsidP="000C58DC">
            <w:pPr>
              <w:ind w:left="322"/>
              <w:rPr>
                <w:bCs/>
                <w:sz w:val="20"/>
                <w:szCs w:val="20"/>
              </w:rPr>
            </w:pPr>
            <w:r w:rsidRPr="00525958">
              <w:rPr>
                <w:color w:val="000000"/>
                <w:sz w:val="20"/>
                <w:szCs w:val="20"/>
              </w:rPr>
              <w:t xml:space="preserve">4-yr graduation rate: % of baccalaureate-seeking, full-time, </w:t>
            </w:r>
            <w:proofErr w:type="gramStart"/>
            <w:r w:rsidRPr="00525958">
              <w:rPr>
                <w:color w:val="000000"/>
                <w:sz w:val="20"/>
                <w:szCs w:val="20"/>
              </w:rPr>
              <w:t>first time</w:t>
            </w:r>
            <w:proofErr w:type="gramEnd"/>
            <w:r w:rsidRPr="00525958">
              <w:rPr>
                <w:color w:val="000000"/>
                <w:sz w:val="20"/>
                <w:szCs w:val="20"/>
              </w:rPr>
              <w:t xml:space="preserve"> students graduating in four years or less</w:t>
            </w:r>
            <w:r w:rsidRPr="00525958">
              <w:rPr>
                <w:rStyle w:val="EndnoteReference"/>
                <w:sz w:val="20"/>
                <w:szCs w:val="20"/>
              </w:rPr>
              <w:endnoteReference w:id="16"/>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7351F" w14:textId="0ADA2904" w:rsidR="000C58DC" w:rsidRPr="00525958" w:rsidRDefault="000C58DC" w:rsidP="000C58DC">
            <w:pPr>
              <w:jc w:val="center"/>
              <w:rPr>
                <w:sz w:val="20"/>
                <w:szCs w:val="20"/>
              </w:rPr>
            </w:pPr>
            <w:r w:rsidRPr="00525958">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BC711" w14:textId="77777777" w:rsidR="000C58DC" w:rsidRPr="00525958" w:rsidRDefault="000C58DC" w:rsidP="000C58DC">
            <w:pPr>
              <w:pStyle w:val="NormalWeb"/>
              <w:spacing w:before="0" w:beforeAutospacing="0" w:after="0" w:afterAutospacing="0"/>
              <w:jc w:val="center"/>
            </w:pPr>
            <w:r w:rsidRPr="00525958">
              <w:rPr>
                <w:rFonts w:ascii="Arial" w:hAnsi="Arial" w:cs="Arial"/>
                <w:color w:val="000000"/>
                <w:sz w:val="16"/>
                <w:szCs w:val="16"/>
              </w:rPr>
              <w:t>F2018 cohort</w:t>
            </w:r>
          </w:p>
          <w:p w14:paraId="328DBF81" w14:textId="6DC08840" w:rsidR="000C58DC" w:rsidRPr="00525958" w:rsidRDefault="000C58DC" w:rsidP="000C58DC">
            <w:pPr>
              <w:jc w:val="center"/>
              <w:rPr>
                <w:sz w:val="20"/>
                <w:szCs w:val="20"/>
              </w:rPr>
            </w:pPr>
            <w:r w:rsidRPr="00525958">
              <w:rPr>
                <w:color w:val="000000"/>
                <w:sz w:val="20"/>
                <w:szCs w:val="20"/>
              </w:rPr>
              <w:t>41.4%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7FE7B" w14:textId="77777777" w:rsidR="000C58DC" w:rsidRPr="00525958" w:rsidRDefault="000C58DC" w:rsidP="000C58DC">
            <w:pPr>
              <w:pStyle w:val="NormalWeb"/>
              <w:spacing w:before="0" w:beforeAutospacing="0" w:after="0" w:afterAutospacing="0"/>
              <w:jc w:val="center"/>
            </w:pPr>
            <w:r w:rsidRPr="00525958">
              <w:rPr>
                <w:rFonts w:ascii="Arial" w:hAnsi="Arial" w:cs="Arial"/>
                <w:color w:val="000000"/>
                <w:sz w:val="16"/>
                <w:szCs w:val="16"/>
              </w:rPr>
              <w:t>F2019 cohort</w:t>
            </w:r>
          </w:p>
          <w:p w14:paraId="02F87828" w14:textId="152A78A6" w:rsidR="000C58DC" w:rsidRPr="00525958" w:rsidRDefault="000C58DC" w:rsidP="000C58DC">
            <w:pPr>
              <w:jc w:val="center"/>
              <w:rPr>
                <w:sz w:val="20"/>
                <w:szCs w:val="20"/>
              </w:rPr>
            </w:pPr>
            <w:r w:rsidRPr="0090209E">
              <w:rPr>
                <w:color w:val="000000"/>
                <w:sz w:val="20"/>
                <w:szCs w:val="20"/>
              </w:rPr>
              <w:t>42.7%</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6442A" w14:textId="1963221E" w:rsidR="000C58DC" w:rsidRPr="00525958" w:rsidRDefault="000C58DC" w:rsidP="000C58DC">
            <w:pPr>
              <w:jc w:val="center"/>
              <w:rPr>
                <w:iCs/>
                <w:sz w:val="20"/>
                <w:szCs w:val="20"/>
              </w:rPr>
            </w:pPr>
            <w:r w:rsidRPr="00525958">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1CA7E" w14:textId="0B209A04" w:rsidR="000C58DC" w:rsidRPr="00525958" w:rsidRDefault="000C58DC" w:rsidP="000C58DC">
            <w:pPr>
              <w:jc w:val="center"/>
              <w:rPr>
                <w:i/>
                <w:iCs/>
                <w:sz w:val="20"/>
                <w:szCs w:val="20"/>
              </w:rPr>
            </w:pPr>
            <w:r w:rsidRPr="00525958">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1F5FA" w14:textId="5C413462" w:rsidR="000C58DC" w:rsidRPr="00525958" w:rsidRDefault="000C58DC" w:rsidP="000C58DC">
            <w:pPr>
              <w:jc w:val="center"/>
              <w:rPr>
                <w:sz w:val="20"/>
                <w:szCs w:val="20"/>
              </w:rPr>
            </w:pPr>
          </w:p>
        </w:tc>
      </w:tr>
      <w:tr w:rsidR="000C58DC" w:rsidRPr="00A253D9" w14:paraId="6FD2F3DF" w14:textId="77777777" w:rsidTr="00070DAA">
        <w:trPr>
          <w:cantSplit/>
          <w:trHeight w:val="288"/>
        </w:trPr>
        <w:tc>
          <w:tcPr>
            <w:tcW w:w="3240" w:type="dxa"/>
            <w:vMerge/>
            <w:tcBorders>
              <w:left w:val="single" w:sz="4" w:space="0" w:color="auto"/>
              <w:bottom w:val="single" w:sz="4" w:space="0" w:color="auto"/>
              <w:right w:val="single" w:sz="4" w:space="0" w:color="auto"/>
            </w:tcBorders>
            <w:vAlign w:val="center"/>
          </w:tcPr>
          <w:p w14:paraId="2A8C55DD" w14:textId="77777777" w:rsidR="000C58DC" w:rsidRPr="00525958" w:rsidRDefault="000C58DC" w:rsidP="000C58DC">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6D500" w14:textId="04B9265E" w:rsidR="000C58DC" w:rsidRPr="00525958" w:rsidRDefault="000C58DC" w:rsidP="000C58DC">
            <w:pPr>
              <w:jc w:val="center"/>
              <w:rPr>
                <w:i/>
                <w:sz w:val="16"/>
                <w:szCs w:val="20"/>
              </w:rPr>
            </w:pPr>
            <w:r w:rsidRPr="00525958">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65969" w14:textId="1BB4EC5A" w:rsidR="000C58DC" w:rsidRPr="00525958" w:rsidRDefault="000C58DC" w:rsidP="000C58DC">
            <w:pPr>
              <w:jc w:val="center"/>
              <w:rPr>
                <w:i/>
                <w:sz w:val="16"/>
                <w:szCs w:val="20"/>
              </w:rPr>
            </w:pPr>
            <w:r w:rsidRPr="00525958">
              <w:rPr>
                <w:i/>
                <w:iCs/>
                <w:color w:val="000000"/>
                <w:sz w:val="16"/>
                <w:szCs w:val="16"/>
              </w:rPr>
              <w:t>40%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0E703" w14:textId="06DBFE75" w:rsidR="000C58DC" w:rsidRPr="00525958" w:rsidRDefault="000C58DC" w:rsidP="000C58DC">
            <w:pPr>
              <w:jc w:val="center"/>
              <w:rPr>
                <w:i/>
                <w:sz w:val="16"/>
                <w:szCs w:val="20"/>
              </w:rPr>
            </w:pPr>
            <w:r w:rsidRPr="00525958">
              <w:rPr>
                <w:i/>
                <w:iCs/>
                <w:color w:val="000000"/>
                <w:sz w:val="16"/>
                <w:szCs w:val="16"/>
              </w:rPr>
              <w:t>43%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B3E12" w14:textId="40BD861A" w:rsidR="000C58DC" w:rsidRPr="00525958" w:rsidRDefault="000C58DC" w:rsidP="000C58DC">
            <w:pPr>
              <w:jc w:val="center"/>
              <w:rPr>
                <w:i/>
                <w:sz w:val="16"/>
                <w:szCs w:val="20"/>
              </w:rPr>
            </w:pPr>
            <w:r w:rsidRPr="00525958">
              <w:rPr>
                <w:i/>
                <w:sz w:val="16"/>
                <w:szCs w:val="20"/>
              </w:rPr>
              <w:t>43%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92C88" w14:textId="41CE64BE" w:rsidR="000C58DC" w:rsidRPr="00525958" w:rsidRDefault="000C58DC" w:rsidP="000C58DC">
            <w:pPr>
              <w:jc w:val="center"/>
              <w:rPr>
                <w:i/>
                <w:sz w:val="16"/>
                <w:szCs w:val="20"/>
              </w:rPr>
            </w:pPr>
            <w:r w:rsidRPr="00525958">
              <w:rPr>
                <w:i/>
                <w:sz w:val="16"/>
                <w:szCs w:val="20"/>
              </w:rPr>
              <w:t>4</w:t>
            </w:r>
            <w:r>
              <w:rPr>
                <w:i/>
                <w:sz w:val="16"/>
                <w:szCs w:val="20"/>
              </w:rPr>
              <w:t>4%</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E17C6" w14:textId="7C693E4E" w:rsidR="000C58DC" w:rsidRPr="00525958" w:rsidRDefault="000C58DC" w:rsidP="000C58DC">
            <w:pPr>
              <w:jc w:val="center"/>
              <w:rPr>
                <w:i/>
                <w:sz w:val="16"/>
                <w:szCs w:val="20"/>
              </w:rPr>
            </w:pPr>
          </w:p>
        </w:tc>
      </w:tr>
      <w:tr w:rsidR="000C58DC" w:rsidRPr="00A253D9" w14:paraId="564B99CE" w14:textId="77777777" w:rsidTr="00070DAA">
        <w:trPr>
          <w:cantSplit/>
          <w:trHeight w:val="288"/>
        </w:trPr>
        <w:tc>
          <w:tcPr>
            <w:tcW w:w="10046" w:type="dxa"/>
            <w:gridSpan w:val="7"/>
            <w:tcBorders>
              <w:left w:val="single" w:sz="4" w:space="0" w:color="auto"/>
              <w:right w:val="single" w:sz="4" w:space="0" w:color="auto"/>
            </w:tcBorders>
            <w:vAlign w:val="center"/>
          </w:tcPr>
          <w:p w14:paraId="1F352EA8" w14:textId="6A01F2E7" w:rsidR="000C58DC" w:rsidRPr="00525958" w:rsidRDefault="000C58DC" w:rsidP="000C58DC">
            <w:pPr>
              <w:pStyle w:val="ListParagraph"/>
              <w:numPr>
                <w:ilvl w:val="0"/>
                <w:numId w:val="18"/>
              </w:numPr>
              <w:ind w:left="360"/>
              <w:rPr>
                <w:iCs/>
                <w:sz w:val="20"/>
                <w:szCs w:val="20"/>
              </w:rPr>
            </w:pPr>
            <w:r w:rsidRPr="00525958">
              <w:rPr>
                <w:iCs/>
                <w:sz w:val="20"/>
                <w:szCs w:val="20"/>
              </w:rPr>
              <w:t xml:space="preserve">Graduation </w:t>
            </w:r>
            <w:r w:rsidRPr="00525958">
              <w:rPr>
                <w:sz w:val="20"/>
                <w:szCs w:val="20"/>
              </w:rPr>
              <w:t xml:space="preserve">Rates (Objective </w:t>
            </w:r>
            <w:proofErr w:type="gramStart"/>
            <w:r w:rsidRPr="00525958">
              <w:rPr>
                <w:sz w:val="20"/>
                <w:szCs w:val="20"/>
              </w:rPr>
              <w:t>A)*</w:t>
            </w:r>
            <w:proofErr w:type="gramEnd"/>
          </w:p>
        </w:tc>
      </w:tr>
      <w:tr w:rsidR="000C58DC" w:rsidRPr="00A253D9" w14:paraId="71DC414E" w14:textId="77777777" w:rsidTr="00070DAA">
        <w:trPr>
          <w:cantSplit/>
          <w:trHeight w:val="288"/>
        </w:trPr>
        <w:tc>
          <w:tcPr>
            <w:tcW w:w="3240" w:type="dxa"/>
            <w:vMerge w:val="restart"/>
            <w:tcBorders>
              <w:left w:val="single" w:sz="4" w:space="0" w:color="auto"/>
              <w:right w:val="single" w:sz="4" w:space="0" w:color="auto"/>
            </w:tcBorders>
            <w:vAlign w:val="center"/>
          </w:tcPr>
          <w:p w14:paraId="276F83C0" w14:textId="52BD1942" w:rsidR="000C58DC" w:rsidRPr="00F26239" w:rsidRDefault="000C58DC" w:rsidP="000C58DC">
            <w:pPr>
              <w:pStyle w:val="ListParagraph"/>
              <w:ind w:left="360"/>
              <w:rPr>
                <w:bCs/>
                <w:sz w:val="20"/>
                <w:szCs w:val="20"/>
              </w:rPr>
            </w:pPr>
            <w:r w:rsidRPr="00F26239">
              <w:rPr>
                <w:color w:val="000000"/>
                <w:sz w:val="20"/>
                <w:szCs w:val="20"/>
              </w:rPr>
              <w:t xml:space="preserve">6-yr graduation rate: % of baccalaureate-seeking, full-time, </w:t>
            </w:r>
            <w:proofErr w:type="gramStart"/>
            <w:r w:rsidRPr="00F26239">
              <w:rPr>
                <w:color w:val="000000"/>
                <w:sz w:val="20"/>
                <w:szCs w:val="20"/>
              </w:rPr>
              <w:t>first time</w:t>
            </w:r>
            <w:proofErr w:type="gramEnd"/>
            <w:r w:rsidRPr="00F26239">
              <w:rPr>
                <w:color w:val="000000"/>
                <w:sz w:val="20"/>
                <w:szCs w:val="20"/>
              </w:rPr>
              <w:t xml:space="preserve"> students graduating in six years or less</w:t>
            </w:r>
            <w:r w:rsidRPr="00A253D9">
              <w:rPr>
                <w:rStyle w:val="EndnoteReference"/>
                <w:sz w:val="20"/>
                <w:szCs w:val="20"/>
              </w:rPr>
              <w:endnoteReference w:id="17"/>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E11DF" w14:textId="39F4A9CB" w:rsidR="000C58DC" w:rsidRPr="00A253D9" w:rsidRDefault="000C58DC" w:rsidP="000C58DC">
            <w:pPr>
              <w:jc w:val="center"/>
              <w:rPr>
                <w:i/>
                <w:sz w:val="16"/>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36D61" w14:textId="77777777" w:rsidR="000C58DC" w:rsidRDefault="000C58DC" w:rsidP="000C58DC">
            <w:pPr>
              <w:pStyle w:val="NormalWeb"/>
              <w:spacing w:before="0" w:beforeAutospacing="0" w:after="0" w:afterAutospacing="0"/>
              <w:jc w:val="center"/>
            </w:pPr>
            <w:r>
              <w:rPr>
                <w:rFonts w:ascii="Arial" w:hAnsi="Arial" w:cs="Arial"/>
                <w:color w:val="000000"/>
                <w:sz w:val="16"/>
                <w:szCs w:val="16"/>
              </w:rPr>
              <w:t>F2016 cohort</w:t>
            </w:r>
          </w:p>
          <w:p w14:paraId="28A08FE6" w14:textId="57680332" w:rsidR="000C58DC" w:rsidRPr="00A253D9" w:rsidRDefault="000C58DC" w:rsidP="000C58DC">
            <w:pPr>
              <w:jc w:val="center"/>
              <w:rPr>
                <w:i/>
                <w:sz w:val="16"/>
                <w:szCs w:val="20"/>
              </w:rPr>
            </w:pPr>
            <w:r>
              <w:rPr>
                <w:color w:val="000000"/>
                <w:sz w:val="20"/>
                <w:szCs w:val="20"/>
              </w:rPr>
              <w:t>59.1%</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F70A7" w14:textId="77777777" w:rsidR="000C58DC" w:rsidRDefault="000C58DC" w:rsidP="000C58DC">
            <w:pPr>
              <w:pStyle w:val="NormalWeb"/>
              <w:spacing w:before="0" w:beforeAutospacing="0" w:after="0" w:afterAutospacing="0"/>
              <w:jc w:val="center"/>
            </w:pPr>
            <w:r>
              <w:rPr>
                <w:rFonts w:ascii="Arial" w:hAnsi="Arial" w:cs="Arial"/>
                <w:color w:val="000000"/>
                <w:sz w:val="16"/>
                <w:szCs w:val="16"/>
              </w:rPr>
              <w:t>F2017 cohort</w:t>
            </w:r>
          </w:p>
          <w:p w14:paraId="32BD3602" w14:textId="1EA18831" w:rsidR="000C58DC" w:rsidRPr="00A253D9" w:rsidRDefault="000C58DC" w:rsidP="000C58DC">
            <w:pPr>
              <w:jc w:val="center"/>
              <w:rPr>
                <w:i/>
                <w:sz w:val="16"/>
                <w:szCs w:val="20"/>
              </w:rPr>
            </w:pPr>
            <w:r>
              <w:rPr>
                <w:color w:val="000000"/>
                <w:sz w:val="20"/>
                <w:szCs w:val="20"/>
              </w:rPr>
              <w:t>61.2%</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DC132" w14:textId="35F28B41" w:rsidR="000C58DC" w:rsidRPr="009701C2" w:rsidRDefault="000C58DC" w:rsidP="000C58DC">
            <w:pPr>
              <w:jc w:val="center"/>
              <w:rPr>
                <w:color w:val="000000"/>
                <w:sz w:val="20"/>
                <w:szCs w:val="20"/>
              </w:rPr>
            </w:pPr>
            <w:r>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9662B" w14:textId="34D51315" w:rsidR="000C58DC" w:rsidRPr="00A253D9" w:rsidRDefault="000C58DC" w:rsidP="000C58DC">
            <w:pPr>
              <w:jc w:val="center"/>
              <w:rPr>
                <w:i/>
                <w:sz w:val="16"/>
                <w:szCs w:val="20"/>
              </w:rPr>
            </w:pPr>
            <w:r>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152A4" w14:textId="1A082233" w:rsidR="000C58DC" w:rsidRDefault="000C58DC" w:rsidP="000C58DC">
            <w:pPr>
              <w:jc w:val="center"/>
              <w:rPr>
                <w:i/>
                <w:sz w:val="16"/>
                <w:szCs w:val="20"/>
              </w:rPr>
            </w:pPr>
          </w:p>
        </w:tc>
      </w:tr>
      <w:tr w:rsidR="000C58DC" w:rsidRPr="00A253D9" w14:paraId="0E150745" w14:textId="77777777" w:rsidTr="00070DAA">
        <w:trPr>
          <w:cantSplit/>
          <w:trHeight w:val="288"/>
        </w:trPr>
        <w:tc>
          <w:tcPr>
            <w:tcW w:w="3240" w:type="dxa"/>
            <w:vMerge/>
            <w:tcBorders>
              <w:left w:val="single" w:sz="4" w:space="0" w:color="auto"/>
              <w:bottom w:val="single" w:sz="4" w:space="0" w:color="auto"/>
              <w:right w:val="single" w:sz="4" w:space="0" w:color="auto"/>
            </w:tcBorders>
            <w:vAlign w:val="center"/>
          </w:tcPr>
          <w:p w14:paraId="33C7D0D6" w14:textId="77777777" w:rsidR="000C58DC" w:rsidRPr="00A253D9" w:rsidRDefault="000C58DC" w:rsidP="000C58DC">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737E" w14:textId="1780E9F5" w:rsidR="000C58DC" w:rsidRPr="00A253D9" w:rsidRDefault="000C58DC" w:rsidP="000C58DC">
            <w:pPr>
              <w:jc w:val="center"/>
              <w:rPr>
                <w:i/>
                <w:sz w:val="16"/>
                <w:szCs w:val="20"/>
              </w:rPr>
            </w:pPr>
            <w:r w:rsidRPr="00A253D9">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262C6" w14:textId="44E234DF" w:rsidR="000C58DC" w:rsidRPr="00A253D9" w:rsidRDefault="000C58DC" w:rsidP="000C58DC">
            <w:pPr>
              <w:jc w:val="center"/>
              <w:rPr>
                <w:i/>
                <w:sz w:val="16"/>
                <w:szCs w:val="20"/>
              </w:rPr>
            </w:pPr>
            <w:r>
              <w:rPr>
                <w:i/>
                <w:iCs/>
                <w:color w:val="000000"/>
                <w:sz w:val="16"/>
                <w:szCs w:val="16"/>
              </w:rPr>
              <w:t>56%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3E9AD" w14:textId="351332BE" w:rsidR="000C58DC" w:rsidRPr="00A253D9" w:rsidRDefault="000C58DC" w:rsidP="000C58DC">
            <w:pPr>
              <w:jc w:val="center"/>
              <w:rPr>
                <w:i/>
                <w:sz w:val="16"/>
                <w:szCs w:val="20"/>
              </w:rPr>
            </w:pPr>
            <w:r>
              <w:rPr>
                <w:i/>
                <w:iCs/>
                <w:color w:val="000000"/>
                <w:sz w:val="16"/>
                <w:szCs w:val="16"/>
              </w:rPr>
              <w:t>56%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8379C" w14:textId="3C8E73CC" w:rsidR="000C58DC" w:rsidRPr="00A253D9" w:rsidRDefault="000C58DC" w:rsidP="000C58DC">
            <w:pPr>
              <w:jc w:val="center"/>
              <w:rPr>
                <w:i/>
                <w:sz w:val="16"/>
                <w:szCs w:val="20"/>
              </w:rPr>
            </w:pPr>
            <w:r>
              <w:rPr>
                <w:i/>
                <w:sz w:val="16"/>
                <w:szCs w:val="20"/>
              </w:rPr>
              <w:t>62%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A55FE" w14:textId="3FFD2B9B" w:rsidR="000C58DC" w:rsidRPr="00A253D9" w:rsidRDefault="000C58DC" w:rsidP="000C58DC">
            <w:pPr>
              <w:jc w:val="center"/>
              <w:rPr>
                <w:i/>
                <w:sz w:val="16"/>
                <w:szCs w:val="20"/>
              </w:rPr>
            </w:pPr>
            <w:r>
              <w:rPr>
                <w:i/>
                <w:sz w:val="16"/>
                <w:szCs w:val="20"/>
              </w:rPr>
              <w:t>62%</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CC3C" w14:textId="06AC12C9" w:rsidR="000C58DC" w:rsidRDefault="000C58DC" w:rsidP="000C58DC">
            <w:pPr>
              <w:jc w:val="center"/>
              <w:rPr>
                <w:i/>
                <w:sz w:val="16"/>
                <w:szCs w:val="20"/>
              </w:rPr>
            </w:pPr>
          </w:p>
        </w:tc>
      </w:tr>
      <w:tr w:rsidR="000C58DC" w:rsidRPr="00A253D9" w14:paraId="4FE7D419" w14:textId="77777777" w:rsidTr="00070DAA">
        <w:trPr>
          <w:cantSplit/>
          <w:trHeight w:val="323"/>
        </w:trPr>
        <w:tc>
          <w:tcPr>
            <w:tcW w:w="10046" w:type="dxa"/>
            <w:gridSpan w:val="7"/>
            <w:tcBorders>
              <w:top w:val="single" w:sz="4" w:space="0" w:color="auto"/>
              <w:left w:val="single" w:sz="4" w:space="0" w:color="auto"/>
            </w:tcBorders>
            <w:shd w:val="clear" w:color="auto" w:fill="auto"/>
            <w:vAlign w:val="center"/>
            <w:hideMark/>
          </w:tcPr>
          <w:p w14:paraId="08CD8805" w14:textId="3708F154" w:rsidR="000C58DC" w:rsidRPr="00525958" w:rsidRDefault="000C58DC" w:rsidP="000C58DC">
            <w:pPr>
              <w:pStyle w:val="ListParagraph"/>
              <w:numPr>
                <w:ilvl w:val="0"/>
                <w:numId w:val="18"/>
              </w:numPr>
              <w:ind w:left="342" w:hanging="342"/>
              <w:rPr>
                <w:sz w:val="20"/>
                <w:szCs w:val="20"/>
              </w:rPr>
            </w:pPr>
            <w:r w:rsidRPr="00525958">
              <w:rPr>
                <w:sz w:val="20"/>
                <w:szCs w:val="20"/>
              </w:rPr>
              <w:t xml:space="preserve">Progression to Degree (Objective </w:t>
            </w:r>
            <w:proofErr w:type="gramStart"/>
            <w:r w:rsidRPr="00525958">
              <w:rPr>
                <w:sz w:val="20"/>
                <w:szCs w:val="20"/>
              </w:rPr>
              <w:t>A)*</w:t>
            </w:r>
            <w:proofErr w:type="gramEnd"/>
          </w:p>
        </w:tc>
      </w:tr>
      <w:tr w:rsidR="000C58DC" w:rsidRPr="00A253D9" w14:paraId="6FDE3557" w14:textId="5F60AEBD" w:rsidTr="00070DAA">
        <w:trPr>
          <w:cantSplit/>
          <w:trHeight w:val="288"/>
        </w:trPr>
        <w:tc>
          <w:tcPr>
            <w:tcW w:w="3240" w:type="dxa"/>
            <w:vMerge w:val="restart"/>
            <w:tcBorders>
              <w:top w:val="single" w:sz="4" w:space="0" w:color="auto"/>
              <w:left w:val="single" w:sz="4" w:space="0" w:color="auto"/>
              <w:right w:val="single" w:sz="4" w:space="0" w:color="auto"/>
            </w:tcBorders>
            <w:vAlign w:val="center"/>
          </w:tcPr>
          <w:p w14:paraId="41BA90E0" w14:textId="7A360065" w:rsidR="000C58DC" w:rsidRPr="00A253D9" w:rsidRDefault="000C58DC" w:rsidP="000C58DC">
            <w:pPr>
              <w:ind w:left="331"/>
              <w:rPr>
                <w:bCs/>
                <w:sz w:val="20"/>
                <w:szCs w:val="20"/>
              </w:rPr>
            </w:pPr>
            <w:r>
              <w:rPr>
                <w:bCs/>
                <w:sz w:val="20"/>
                <w:szCs w:val="20"/>
              </w:rPr>
              <w:t>Gateway Math Completion: % of new degree-seeking freshmen completing a gateway math course within two years</w:t>
            </w:r>
            <w:r w:rsidRPr="00A253D9">
              <w:rPr>
                <w:rStyle w:val="EndnoteReference"/>
                <w:sz w:val="20"/>
                <w:szCs w:val="20"/>
              </w:rPr>
              <w:endnoteReference w:id="18"/>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4B5BF" w14:textId="691F58F0" w:rsidR="000C58DC" w:rsidRPr="00A253D9" w:rsidRDefault="000C58DC" w:rsidP="000C58DC">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D2818" w14:textId="1ADB3033" w:rsidR="000C58DC" w:rsidRPr="00525958" w:rsidRDefault="000C58DC" w:rsidP="000C58DC">
            <w:pPr>
              <w:jc w:val="center"/>
              <w:rPr>
                <w:sz w:val="20"/>
                <w:szCs w:val="20"/>
              </w:rPr>
            </w:pPr>
            <w:r w:rsidRPr="00525958">
              <w:rPr>
                <w:color w:val="000000"/>
                <w:sz w:val="20"/>
                <w:szCs w:val="20"/>
              </w:rPr>
              <w:t>85.7%</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7F40A" w14:textId="65D4D2A4" w:rsidR="000C58DC" w:rsidRPr="00525958" w:rsidRDefault="000C58DC" w:rsidP="000C58DC">
            <w:pPr>
              <w:jc w:val="center"/>
              <w:rPr>
                <w:sz w:val="20"/>
                <w:szCs w:val="20"/>
              </w:rPr>
            </w:pPr>
            <w:r>
              <w:rPr>
                <w:color w:val="000000"/>
                <w:sz w:val="20"/>
                <w:szCs w:val="20"/>
              </w:rPr>
              <w:t>85.4%</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9FCDF" w14:textId="30A1CDAC" w:rsidR="000C58DC" w:rsidRPr="00525958" w:rsidRDefault="000C58DC" w:rsidP="000C58DC">
            <w:pPr>
              <w:jc w:val="center"/>
              <w:rPr>
                <w:sz w:val="20"/>
                <w:szCs w:val="20"/>
              </w:rPr>
            </w:pPr>
            <w:r>
              <w:rPr>
                <w:color w:val="000000"/>
                <w:sz w:val="20"/>
                <w:szCs w:val="20"/>
              </w:rPr>
              <w:t>84.9%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6DDAB" w14:textId="4A5C0F22" w:rsidR="000C58DC" w:rsidRPr="003621C5" w:rsidRDefault="000C58DC" w:rsidP="000C58DC">
            <w:pPr>
              <w:jc w:val="center"/>
              <w:rPr>
                <w:color w:val="000000"/>
                <w:sz w:val="20"/>
                <w:szCs w:val="20"/>
              </w:rPr>
            </w:pPr>
            <w:r>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296C1" w14:textId="269D9148" w:rsidR="000C58DC" w:rsidRPr="00A253D9" w:rsidRDefault="000C58DC" w:rsidP="000C58DC">
            <w:pPr>
              <w:jc w:val="center"/>
              <w:rPr>
                <w:sz w:val="20"/>
                <w:szCs w:val="20"/>
              </w:rPr>
            </w:pPr>
          </w:p>
        </w:tc>
      </w:tr>
      <w:tr w:rsidR="000C58DC" w:rsidRPr="00A253D9" w14:paraId="1D88F42A" w14:textId="77777777" w:rsidTr="00070DAA">
        <w:trPr>
          <w:cantSplit/>
          <w:trHeight w:val="288"/>
        </w:trPr>
        <w:tc>
          <w:tcPr>
            <w:tcW w:w="3240" w:type="dxa"/>
            <w:vMerge/>
            <w:tcBorders>
              <w:left w:val="single" w:sz="4" w:space="0" w:color="auto"/>
              <w:bottom w:val="single" w:sz="4" w:space="0" w:color="auto"/>
              <w:right w:val="single" w:sz="4" w:space="0" w:color="auto"/>
            </w:tcBorders>
            <w:vAlign w:val="center"/>
          </w:tcPr>
          <w:p w14:paraId="3610C7B2" w14:textId="77777777" w:rsidR="000C58DC" w:rsidRPr="00A253D9" w:rsidRDefault="000C58DC" w:rsidP="000C58DC">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9B5E0" w14:textId="72A3DFE0" w:rsidR="000C58DC" w:rsidRPr="00A253D9" w:rsidRDefault="000C58DC" w:rsidP="000C58DC">
            <w:pPr>
              <w:jc w:val="center"/>
              <w:rPr>
                <w:i/>
                <w:sz w:val="16"/>
                <w:szCs w:val="20"/>
              </w:rPr>
            </w:pPr>
            <w:r>
              <w:rPr>
                <w:i/>
                <w:sz w:val="16"/>
                <w:szCs w:val="20"/>
              </w:rPr>
              <w:t>t</w:t>
            </w:r>
            <w:r w:rsidRPr="00A253D9">
              <w:rPr>
                <w:i/>
                <w:sz w:val="16"/>
                <w:szCs w:val="20"/>
              </w:rPr>
              <w: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35" w14:textId="255B74EA" w:rsidR="000C58DC" w:rsidRPr="00A253D9" w:rsidRDefault="000C58DC" w:rsidP="000C58DC">
            <w:pPr>
              <w:jc w:val="center"/>
              <w:rPr>
                <w:i/>
                <w:sz w:val="16"/>
                <w:szCs w:val="20"/>
              </w:rPr>
            </w:pPr>
            <w:r>
              <w:rPr>
                <w:i/>
                <w:iCs/>
                <w:color w:val="000000"/>
                <w:sz w:val="16"/>
                <w:szCs w:val="16"/>
              </w:rPr>
              <w:t>85%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78903" w14:textId="40A0F6A5" w:rsidR="000C58DC" w:rsidRPr="00A253D9" w:rsidRDefault="000C58DC" w:rsidP="000C58DC">
            <w:pPr>
              <w:jc w:val="center"/>
              <w:rPr>
                <w:i/>
                <w:sz w:val="16"/>
                <w:szCs w:val="20"/>
              </w:rPr>
            </w:pPr>
            <w:r>
              <w:rPr>
                <w:i/>
                <w:iCs/>
                <w:color w:val="000000"/>
                <w:sz w:val="16"/>
                <w:szCs w:val="16"/>
              </w:rPr>
              <w:t>85%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FF9E1" w14:textId="7A22F646" w:rsidR="000C58DC" w:rsidRPr="00A253D9" w:rsidRDefault="000C58DC" w:rsidP="000C58DC">
            <w:pPr>
              <w:jc w:val="center"/>
              <w:rPr>
                <w:i/>
                <w:sz w:val="16"/>
                <w:szCs w:val="20"/>
              </w:rPr>
            </w:pPr>
            <w:r>
              <w:rPr>
                <w:i/>
                <w:sz w:val="16"/>
                <w:szCs w:val="20"/>
              </w:rPr>
              <w:t>85%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1F2A6" w14:textId="2A4ECF92" w:rsidR="000C58DC" w:rsidRPr="00A253D9" w:rsidRDefault="000C58DC" w:rsidP="000C58DC">
            <w:pPr>
              <w:jc w:val="center"/>
              <w:rPr>
                <w:i/>
                <w:sz w:val="16"/>
                <w:szCs w:val="20"/>
              </w:rPr>
            </w:pPr>
            <w:r>
              <w:rPr>
                <w:i/>
                <w:sz w:val="16"/>
                <w:szCs w:val="20"/>
              </w:rPr>
              <w:t>85%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68FD7" w14:textId="3BD2ACFD" w:rsidR="000C58DC" w:rsidRPr="00A253D9" w:rsidRDefault="000C58DC" w:rsidP="000C58DC">
            <w:pPr>
              <w:jc w:val="center"/>
              <w:rPr>
                <w:i/>
                <w:sz w:val="16"/>
                <w:szCs w:val="20"/>
              </w:rPr>
            </w:pPr>
          </w:p>
        </w:tc>
      </w:tr>
      <w:tr w:rsidR="000C58DC" w:rsidRPr="00A253D9" w14:paraId="3C5406E1" w14:textId="77777777" w:rsidTr="00070DAA">
        <w:trPr>
          <w:cantSplit/>
          <w:trHeight w:val="288"/>
        </w:trPr>
        <w:tc>
          <w:tcPr>
            <w:tcW w:w="10046" w:type="dxa"/>
            <w:gridSpan w:val="7"/>
            <w:tcBorders>
              <w:left w:val="single" w:sz="4" w:space="0" w:color="auto"/>
              <w:right w:val="single" w:sz="4" w:space="0" w:color="auto"/>
            </w:tcBorders>
            <w:shd w:val="clear" w:color="auto" w:fill="auto"/>
            <w:vAlign w:val="center"/>
          </w:tcPr>
          <w:p w14:paraId="6D85AD3E" w14:textId="25BC86B4" w:rsidR="000C58DC" w:rsidRPr="00A806B8" w:rsidRDefault="000C58DC" w:rsidP="000C58DC">
            <w:pPr>
              <w:pStyle w:val="ListParagraph"/>
              <w:numPr>
                <w:ilvl w:val="0"/>
                <w:numId w:val="18"/>
              </w:numPr>
              <w:ind w:left="360"/>
              <w:rPr>
                <w:sz w:val="20"/>
                <w:szCs w:val="20"/>
              </w:rPr>
            </w:pPr>
            <w:r w:rsidRPr="005F1BAA">
              <w:rPr>
                <w:sz w:val="20"/>
                <w:szCs w:val="20"/>
              </w:rPr>
              <w:t xml:space="preserve">Progression to Degree (Objective </w:t>
            </w:r>
            <w:proofErr w:type="gramStart"/>
            <w:r w:rsidRPr="005F1BAA">
              <w:rPr>
                <w:sz w:val="20"/>
                <w:szCs w:val="20"/>
              </w:rPr>
              <w:t>A)*</w:t>
            </w:r>
            <w:proofErr w:type="gramEnd"/>
          </w:p>
        </w:tc>
      </w:tr>
      <w:tr w:rsidR="000C58DC" w:rsidRPr="00A253D9" w14:paraId="248CAD56" w14:textId="77777777" w:rsidTr="00070DAA">
        <w:trPr>
          <w:cantSplit/>
          <w:trHeight w:val="288"/>
        </w:trPr>
        <w:tc>
          <w:tcPr>
            <w:tcW w:w="3240" w:type="dxa"/>
            <w:vMerge w:val="restart"/>
            <w:tcBorders>
              <w:left w:val="single" w:sz="4" w:space="0" w:color="auto"/>
              <w:right w:val="single" w:sz="4" w:space="0" w:color="auto"/>
            </w:tcBorders>
            <w:vAlign w:val="center"/>
          </w:tcPr>
          <w:p w14:paraId="7C98C391" w14:textId="4B7004FD" w:rsidR="000C58DC" w:rsidRPr="00A253D9" w:rsidRDefault="000C58DC" w:rsidP="000C58DC">
            <w:pPr>
              <w:ind w:left="325"/>
              <w:rPr>
                <w:bCs/>
                <w:sz w:val="20"/>
                <w:szCs w:val="20"/>
              </w:rPr>
            </w:pPr>
            <w:r>
              <w:rPr>
                <w:bCs/>
                <w:sz w:val="20"/>
                <w:szCs w:val="20"/>
              </w:rPr>
              <w:t>Progress in credits: % of undergraduate degree seeking students completing 30 or more credits per year</w:t>
            </w:r>
            <w:r w:rsidRPr="00A253D9">
              <w:rPr>
                <w:rStyle w:val="EndnoteReference"/>
                <w:sz w:val="20"/>
                <w:szCs w:val="20"/>
              </w:rPr>
              <w:endnoteReference w:id="19"/>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37C27" w14:textId="52438703" w:rsidR="000C58DC" w:rsidRPr="00A253D9" w:rsidRDefault="000C58DC" w:rsidP="000C58DC">
            <w:pPr>
              <w:jc w:val="center"/>
              <w:rPr>
                <w:sz w:val="20"/>
                <w:szCs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E9BFE" w14:textId="626273B4" w:rsidR="000C58DC" w:rsidRPr="00A253D9" w:rsidRDefault="000C58DC" w:rsidP="000C58DC">
            <w:pPr>
              <w:jc w:val="center"/>
              <w:rPr>
                <w:sz w:val="20"/>
                <w:szCs w:val="20"/>
              </w:rPr>
            </w:pPr>
            <w:r>
              <w:rPr>
                <w:color w:val="000000"/>
                <w:sz w:val="20"/>
                <w:szCs w:val="20"/>
              </w:rPr>
              <w:t>27.9%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31F1D" w14:textId="75FDA1B8" w:rsidR="000C58DC" w:rsidRPr="00A253D9" w:rsidRDefault="000C58DC" w:rsidP="000C58DC">
            <w:pPr>
              <w:jc w:val="center"/>
              <w:rPr>
                <w:sz w:val="20"/>
                <w:szCs w:val="20"/>
              </w:rPr>
            </w:pPr>
            <w:r>
              <w:rPr>
                <w:color w:val="000000"/>
                <w:sz w:val="20"/>
                <w:szCs w:val="20"/>
              </w:rPr>
              <w:t>29.6%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D6C15" w14:textId="1E320E2D" w:rsidR="000C58DC" w:rsidRPr="00A253D9" w:rsidRDefault="000C58DC" w:rsidP="000C58DC">
            <w:pPr>
              <w:jc w:val="center"/>
              <w:rPr>
                <w:sz w:val="20"/>
                <w:szCs w:val="20"/>
              </w:rPr>
            </w:pPr>
            <w:r>
              <w:rPr>
                <w:color w:val="000000"/>
                <w:sz w:val="20"/>
                <w:szCs w:val="20"/>
              </w:rPr>
              <w:t>31.6%</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84596" w14:textId="0156916B" w:rsidR="000C58DC" w:rsidRPr="0019151E" w:rsidRDefault="000C58DC" w:rsidP="000C58DC">
            <w:pPr>
              <w:jc w:val="center"/>
              <w:rPr>
                <w:i/>
                <w:sz w:val="20"/>
                <w:szCs w:val="20"/>
              </w:rPr>
            </w:pPr>
            <w:r>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24ACF" w14:textId="78D37E4A" w:rsidR="000C58DC" w:rsidRPr="00A253D9" w:rsidRDefault="000C58DC" w:rsidP="000C58DC">
            <w:pPr>
              <w:jc w:val="center"/>
              <w:rPr>
                <w:sz w:val="20"/>
                <w:szCs w:val="20"/>
              </w:rPr>
            </w:pPr>
          </w:p>
        </w:tc>
      </w:tr>
      <w:tr w:rsidR="000C58DC" w:rsidRPr="00A253D9" w14:paraId="1A5C22FC" w14:textId="77777777" w:rsidTr="00070DAA">
        <w:trPr>
          <w:cantSplit/>
          <w:trHeight w:val="288"/>
        </w:trPr>
        <w:tc>
          <w:tcPr>
            <w:tcW w:w="3240" w:type="dxa"/>
            <w:vMerge/>
            <w:tcBorders>
              <w:left w:val="single" w:sz="4" w:space="0" w:color="auto"/>
              <w:bottom w:val="single" w:sz="4" w:space="0" w:color="auto"/>
              <w:right w:val="single" w:sz="4" w:space="0" w:color="auto"/>
            </w:tcBorders>
            <w:vAlign w:val="center"/>
          </w:tcPr>
          <w:p w14:paraId="7880469F" w14:textId="77777777" w:rsidR="000C58DC" w:rsidRPr="00A253D9" w:rsidRDefault="000C58DC" w:rsidP="000C58DC">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2494E" w14:textId="16E85958" w:rsidR="000C58DC" w:rsidRPr="00A253D9" w:rsidRDefault="000C58DC" w:rsidP="000C58DC">
            <w:pPr>
              <w:jc w:val="center"/>
              <w:rPr>
                <w:i/>
                <w:sz w:val="16"/>
                <w:szCs w:val="20"/>
              </w:rPr>
            </w:pPr>
            <w:r>
              <w:rPr>
                <w:i/>
                <w:sz w:val="16"/>
                <w:szCs w:val="20"/>
              </w:rPr>
              <w:t>t</w:t>
            </w:r>
            <w:r w:rsidRPr="00A253D9">
              <w:rPr>
                <w:i/>
                <w:sz w:val="16"/>
                <w:szCs w:val="20"/>
              </w:rPr>
              <w: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325CD" w14:textId="5DADEA8C" w:rsidR="000C58DC" w:rsidRPr="00A253D9" w:rsidRDefault="000C58DC" w:rsidP="000C58DC">
            <w:pPr>
              <w:jc w:val="center"/>
              <w:rPr>
                <w:i/>
                <w:sz w:val="16"/>
                <w:szCs w:val="20"/>
              </w:rPr>
            </w:pPr>
            <w:r>
              <w:rPr>
                <w:i/>
                <w:iCs/>
                <w:color w:val="000000"/>
                <w:sz w:val="16"/>
                <w:szCs w:val="16"/>
              </w:rPr>
              <w:t>30%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1C0A" w14:textId="740BE049" w:rsidR="000C58DC" w:rsidRPr="00A253D9" w:rsidRDefault="000C58DC" w:rsidP="000C58DC">
            <w:pPr>
              <w:jc w:val="center"/>
              <w:rPr>
                <w:i/>
                <w:sz w:val="16"/>
                <w:szCs w:val="20"/>
              </w:rPr>
            </w:pPr>
            <w:r>
              <w:rPr>
                <w:i/>
                <w:iCs/>
                <w:color w:val="000000"/>
                <w:sz w:val="16"/>
                <w:szCs w:val="16"/>
              </w:rPr>
              <w:t>30%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67B21" w14:textId="06A85226" w:rsidR="000C58DC" w:rsidRPr="00A253D9" w:rsidRDefault="000C58DC" w:rsidP="000C58DC">
            <w:pPr>
              <w:jc w:val="center"/>
              <w:rPr>
                <w:i/>
                <w:sz w:val="16"/>
                <w:szCs w:val="20"/>
              </w:rPr>
            </w:pPr>
            <w:r>
              <w:rPr>
                <w:i/>
                <w:sz w:val="16"/>
                <w:szCs w:val="20"/>
              </w:rPr>
              <w:t>29%</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E967B" w14:textId="02643893" w:rsidR="000C58DC" w:rsidRPr="00A253D9" w:rsidRDefault="000C58DC" w:rsidP="000C58DC">
            <w:pPr>
              <w:jc w:val="center"/>
              <w:rPr>
                <w:i/>
                <w:sz w:val="16"/>
                <w:szCs w:val="20"/>
              </w:rPr>
            </w:pPr>
            <w:r>
              <w:rPr>
                <w:i/>
                <w:sz w:val="16"/>
                <w:szCs w:val="20"/>
              </w:rPr>
              <w:t>30%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98F7" w14:textId="22DA8684" w:rsidR="000C58DC" w:rsidRPr="00A253D9" w:rsidRDefault="000C58DC" w:rsidP="000C58DC">
            <w:pPr>
              <w:jc w:val="center"/>
              <w:rPr>
                <w:i/>
                <w:sz w:val="16"/>
                <w:szCs w:val="20"/>
              </w:rPr>
            </w:pPr>
          </w:p>
        </w:tc>
      </w:tr>
      <w:tr w:rsidR="000C58DC" w:rsidRPr="00A253D9" w14:paraId="7A77EF6C" w14:textId="77777777" w:rsidTr="00070DAA">
        <w:trPr>
          <w:cantSplit/>
          <w:trHeight w:val="288"/>
        </w:trPr>
        <w:tc>
          <w:tcPr>
            <w:tcW w:w="10046" w:type="dxa"/>
            <w:gridSpan w:val="7"/>
            <w:tcBorders>
              <w:left w:val="single" w:sz="4" w:space="0" w:color="auto"/>
              <w:right w:val="single" w:sz="4" w:space="0" w:color="auto"/>
            </w:tcBorders>
            <w:vAlign w:val="center"/>
          </w:tcPr>
          <w:p w14:paraId="24195253" w14:textId="0B8DC630" w:rsidR="000C58DC" w:rsidRPr="005F1BAA" w:rsidRDefault="000C58DC" w:rsidP="000C58DC">
            <w:pPr>
              <w:pStyle w:val="ListParagraph"/>
              <w:numPr>
                <w:ilvl w:val="0"/>
                <w:numId w:val="18"/>
              </w:numPr>
              <w:ind w:left="360"/>
              <w:rPr>
                <w:i/>
                <w:sz w:val="16"/>
                <w:szCs w:val="20"/>
              </w:rPr>
            </w:pPr>
            <w:r w:rsidRPr="005F1BAA">
              <w:rPr>
                <w:sz w:val="20"/>
                <w:szCs w:val="20"/>
              </w:rPr>
              <w:t xml:space="preserve">Progression to Degree (Objective </w:t>
            </w:r>
            <w:proofErr w:type="gramStart"/>
            <w:r w:rsidRPr="005F1BAA">
              <w:rPr>
                <w:sz w:val="20"/>
                <w:szCs w:val="20"/>
              </w:rPr>
              <w:t>A)*</w:t>
            </w:r>
            <w:proofErr w:type="gramEnd"/>
          </w:p>
        </w:tc>
      </w:tr>
      <w:tr w:rsidR="000C58DC" w:rsidRPr="00A253D9" w14:paraId="4086A95D" w14:textId="77777777" w:rsidTr="00070DAA">
        <w:trPr>
          <w:cantSplit/>
          <w:trHeight w:val="288"/>
        </w:trPr>
        <w:tc>
          <w:tcPr>
            <w:tcW w:w="3240" w:type="dxa"/>
            <w:vMerge w:val="restart"/>
            <w:tcBorders>
              <w:left w:val="single" w:sz="4" w:space="0" w:color="auto"/>
              <w:right w:val="single" w:sz="4" w:space="0" w:color="auto"/>
            </w:tcBorders>
            <w:shd w:val="clear" w:color="auto" w:fill="FFFFFF"/>
            <w:vAlign w:val="center"/>
          </w:tcPr>
          <w:p w14:paraId="5AC0C66D" w14:textId="05F88C59" w:rsidR="000C58DC" w:rsidRPr="005F1BAA" w:rsidRDefault="000C58DC" w:rsidP="000C58DC">
            <w:pPr>
              <w:ind w:left="325"/>
              <w:rPr>
                <w:bCs/>
                <w:sz w:val="20"/>
                <w:szCs w:val="20"/>
              </w:rPr>
            </w:pPr>
            <w:r w:rsidRPr="005F1BAA">
              <w:rPr>
                <w:bCs/>
                <w:sz w:val="20"/>
                <w:szCs w:val="20"/>
              </w:rPr>
              <w:t>Remedial Math: % of undergraduates completing credit-bearing course after remedial</w:t>
            </w:r>
            <w:r w:rsidRPr="005F1BAA">
              <w:rPr>
                <w:rStyle w:val="EndnoteReference"/>
                <w:sz w:val="20"/>
                <w:szCs w:val="20"/>
              </w:rPr>
              <w:endnoteReference w:id="20"/>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93D0F" w14:textId="70BB3569" w:rsidR="000C58DC" w:rsidRPr="005F1BAA" w:rsidRDefault="000C58DC" w:rsidP="000C58DC">
            <w:pPr>
              <w:jc w:val="center"/>
              <w:rPr>
                <w:i/>
                <w:sz w:val="16"/>
                <w:szCs w:val="20"/>
              </w:rPr>
            </w:pPr>
            <w:r w:rsidRPr="005F1BAA">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82CC9" w14:textId="46342D5A" w:rsidR="000C58DC" w:rsidRPr="005F1BAA" w:rsidRDefault="000C58DC" w:rsidP="000C58DC">
            <w:pPr>
              <w:jc w:val="center"/>
              <w:rPr>
                <w:i/>
                <w:sz w:val="16"/>
                <w:szCs w:val="20"/>
              </w:rPr>
            </w:pPr>
            <w:r w:rsidRPr="005F1BAA">
              <w:rPr>
                <w:color w:val="000000"/>
                <w:sz w:val="20"/>
                <w:szCs w:val="20"/>
              </w:rPr>
              <w:t>65.</w:t>
            </w:r>
            <w:r>
              <w:rPr>
                <w:color w:val="000000"/>
                <w:sz w:val="20"/>
                <w:szCs w:val="20"/>
              </w:rPr>
              <w:t>0</w:t>
            </w:r>
            <w:r w:rsidRPr="005F1BAA">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AE7AC" w14:textId="5ABCBD8B" w:rsidR="000C58DC" w:rsidRPr="005F1BAA" w:rsidRDefault="000C58DC" w:rsidP="000C58DC">
            <w:pPr>
              <w:jc w:val="center"/>
              <w:rPr>
                <w:i/>
                <w:sz w:val="16"/>
                <w:szCs w:val="20"/>
              </w:rPr>
            </w:pPr>
            <w:r>
              <w:rPr>
                <w:color w:val="000000"/>
                <w:sz w:val="20"/>
                <w:szCs w:val="20"/>
              </w:rPr>
              <w:t>71.6</w:t>
            </w:r>
            <w:r w:rsidRPr="005F1BAA">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6845B" w14:textId="15C07443" w:rsidR="000C58DC" w:rsidRPr="005F1BAA" w:rsidRDefault="000C58DC" w:rsidP="000C58DC">
            <w:pPr>
              <w:jc w:val="center"/>
              <w:rPr>
                <w:sz w:val="16"/>
                <w:szCs w:val="20"/>
              </w:rPr>
            </w:pPr>
            <w:r>
              <w:rPr>
                <w:color w:val="000000"/>
                <w:sz w:val="20"/>
                <w:szCs w:val="20"/>
              </w:rPr>
              <w:t>57.7</w:t>
            </w:r>
            <w:r w:rsidRPr="005F1BAA">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06CDA" w14:textId="1338DDFF" w:rsidR="000C58DC" w:rsidRPr="005F1BAA" w:rsidRDefault="000C58DC" w:rsidP="000C58DC">
            <w:pPr>
              <w:jc w:val="center"/>
              <w:rPr>
                <w:i/>
                <w:sz w:val="16"/>
                <w:szCs w:val="20"/>
              </w:rPr>
            </w:pPr>
            <w:r>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CC036" w14:textId="764B1E91" w:rsidR="000C58DC" w:rsidRPr="005F1BAA" w:rsidRDefault="000C58DC" w:rsidP="000C58DC">
            <w:pPr>
              <w:jc w:val="center"/>
              <w:rPr>
                <w:i/>
                <w:sz w:val="16"/>
                <w:szCs w:val="20"/>
              </w:rPr>
            </w:pPr>
          </w:p>
        </w:tc>
      </w:tr>
      <w:tr w:rsidR="000C58DC" w:rsidRPr="00A253D9" w14:paraId="3DF724D7" w14:textId="77777777" w:rsidTr="00070DAA">
        <w:trPr>
          <w:cantSplit/>
          <w:trHeight w:val="288"/>
        </w:trPr>
        <w:tc>
          <w:tcPr>
            <w:tcW w:w="3240" w:type="dxa"/>
            <w:vMerge/>
            <w:tcBorders>
              <w:left w:val="single" w:sz="4" w:space="0" w:color="auto"/>
              <w:bottom w:val="single" w:sz="4" w:space="0" w:color="auto"/>
              <w:right w:val="single" w:sz="4" w:space="0" w:color="auto"/>
            </w:tcBorders>
            <w:shd w:val="clear" w:color="auto" w:fill="FFFFFF"/>
            <w:vAlign w:val="center"/>
          </w:tcPr>
          <w:p w14:paraId="091C3526" w14:textId="77777777" w:rsidR="000C58DC" w:rsidRPr="005F1BAA" w:rsidRDefault="000C58DC" w:rsidP="000C58DC">
            <w:pPr>
              <w:rPr>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F968C" w14:textId="51C396EF" w:rsidR="000C58DC" w:rsidRPr="005F1BAA" w:rsidRDefault="000C58DC" w:rsidP="000C58DC">
            <w:pPr>
              <w:jc w:val="center"/>
              <w:rPr>
                <w:i/>
                <w:sz w:val="16"/>
                <w:szCs w:val="20"/>
              </w:rPr>
            </w:pPr>
            <w:r w:rsidRPr="005F1BAA">
              <w:rPr>
                <w:i/>
                <w:sz w:val="16"/>
                <w:szCs w:val="20"/>
              </w:rPr>
              <w:t>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F44FD" w14:textId="041D0E8D" w:rsidR="000C58DC" w:rsidRPr="005F1BAA" w:rsidRDefault="000C58DC" w:rsidP="000C58DC">
            <w:pPr>
              <w:jc w:val="center"/>
              <w:rPr>
                <w:i/>
                <w:sz w:val="16"/>
                <w:szCs w:val="20"/>
              </w:rPr>
            </w:pPr>
            <w:r w:rsidRPr="005F1BAA">
              <w:rPr>
                <w:i/>
                <w:iCs/>
                <w:color w:val="000000"/>
                <w:sz w:val="16"/>
                <w:szCs w:val="16"/>
              </w:rPr>
              <w:t>58%</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6665E" w14:textId="69C3F257" w:rsidR="000C58DC" w:rsidRPr="005F1BAA" w:rsidRDefault="000C58DC" w:rsidP="000C58DC">
            <w:pPr>
              <w:jc w:val="center"/>
              <w:rPr>
                <w:i/>
                <w:sz w:val="16"/>
                <w:szCs w:val="20"/>
              </w:rPr>
            </w:pPr>
            <w:r w:rsidRPr="005F1BAA">
              <w:rPr>
                <w:i/>
                <w:iCs/>
                <w:color w:val="000000"/>
                <w:sz w:val="16"/>
                <w:szCs w:val="16"/>
              </w:rPr>
              <w:t>61%</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1F06D" w14:textId="1D34D983" w:rsidR="000C58DC" w:rsidRPr="005F1BAA" w:rsidRDefault="000C58DC" w:rsidP="000C58DC">
            <w:pPr>
              <w:jc w:val="center"/>
              <w:rPr>
                <w:i/>
                <w:sz w:val="16"/>
                <w:szCs w:val="20"/>
              </w:rPr>
            </w:pPr>
            <w:r>
              <w:rPr>
                <w:i/>
                <w:sz w:val="16"/>
                <w:szCs w:val="20"/>
              </w:rPr>
              <w:t>65%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15BFD" w14:textId="0F892B45" w:rsidR="000C58DC" w:rsidRPr="005F1BAA" w:rsidRDefault="000C58DC" w:rsidP="000C58DC">
            <w:pPr>
              <w:jc w:val="center"/>
              <w:rPr>
                <w:i/>
                <w:sz w:val="16"/>
                <w:szCs w:val="20"/>
              </w:rPr>
            </w:pPr>
            <w:r>
              <w:rPr>
                <w:i/>
                <w:sz w:val="16"/>
                <w:szCs w:val="20"/>
              </w:rPr>
              <w:t>65%</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2E350" w14:textId="31A0CC36" w:rsidR="000C58DC" w:rsidRPr="005F1BAA" w:rsidRDefault="000C58DC" w:rsidP="000C58DC">
            <w:pPr>
              <w:jc w:val="center"/>
              <w:rPr>
                <w:i/>
                <w:sz w:val="16"/>
                <w:szCs w:val="20"/>
              </w:rPr>
            </w:pPr>
          </w:p>
        </w:tc>
      </w:tr>
      <w:tr w:rsidR="000C58DC" w14:paraId="0FCC9780" w14:textId="77777777" w:rsidTr="00070DAA">
        <w:trPr>
          <w:cantSplit/>
          <w:trHeight w:val="288"/>
        </w:trPr>
        <w:tc>
          <w:tcPr>
            <w:tcW w:w="10046" w:type="dxa"/>
            <w:gridSpan w:val="7"/>
            <w:tcBorders>
              <w:top w:val="single" w:sz="4" w:space="0" w:color="auto"/>
              <w:left w:val="single" w:sz="4" w:space="0" w:color="auto"/>
              <w:bottom w:val="single" w:sz="4" w:space="0" w:color="auto"/>
              <w:right w:val="single" w:sz="4" w:space="0" w:color="auto"/>
            </w:tcBorders>
            <w:vAlign w:val="center"/>
          </w:tcPr>
          <w:p w14:paraId="48E4E25B" w14:textId="4337FBCF" w:rsidR="000C58DC" w:rsidRPr="005F1BAA" w:rsidRDefault="000C58DC" w:rsidP="000C58DC">
            <w:pPr>
              <w:pStyle w:val="ListParagraph"/>
              <w:numPr>
                <w:ilvl w:val="0"/>
                <w:numId w:val="18"/>
              </w:numPr>
              <w:ind w:left="360"/>
              <w:rPr>
                <w:sz w:val="20"/>
                <w:szCs w:val="20"/>
              </w:rPr>
            </w:pPr>
            <w:r w:rsidRPr="005F1BAA">
              <w:rPr>
                <w:sz w:val="20"/>
                <w:szCs w:val="20"/>
              </w:rPr>
              <w:t xml:space="preserve">Progression to Degree (Objective </w:t>
            </w:r>
            <w:proofErr w:type="gramStart"/>
            <w:r w:rsidRPr="005F1BAA">
              <w:rPr>
                <w:sz w:val="20"/>
                <w:szCs w:val="20"/>
              </w:rPr>
              <w:t>A)*</w:t>
            </w:r>
            <w:proofErr w:type="gramEnd"/>
          </w:p>
        </w:tc>
      </w:tr>
      <w:tr w:rsidR="000C58DC" w14:paraId="42D989E1" w14:textId="77777777" w:rsidTr="00070DAA">
        <w:trPr>
          <w:cantSplit/>
          <w:trHeight w:val="288"/>
        </w:trPr>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78E1E097" w14:textId="3E294351" w:rsidR="000C58DC" w:rsidRDefault="000C58DC" w:rsidP="000C58DC">
            <w:pPr>
              <w:pStyle w:val="ListParagraph"/>
              <w:ind w:left="342"/>
              <w:rPr>
                <w:bCs/>
                <w:sz w:val="20"/>
              </w:rPr>
            </w:pPr>
            <w:r>
              <w:rPr>
                <w:bCs/>
                <w:sz w:val="20"/>
                <w:szCs w:val="20"/>
              </w:rPr>
              <w:t>Remedial English: % of undergraduates completing credit-bearing course after remedial</w:t>
            </w:r>
            <w:r w:rsidRPr="00A253D9">
              <w:rPr>
                <w:rStyle w:val="EndnoteReference"/>
                <w:sz w:val="20"/>
                <w:szCs w:val="20"/>
              </w:rPr>
              <w:endnoteReference w:id="21"/>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1FB5E" w14:textId="49014D0F" w:rsidR="000C58DC" w:rsidRDefault="000C58DC" w:rsidP="000C58DC">
            <w:pPr>
              <w:jc w:val="center"/>
              <w:rPr>
                <w:sz w:val="20"/>
              </w:rPr>
            </w:pPr>
            <w:r w:rsidRPr="00A253D9">
              <w:rPr>
                <w:sz w:val="20"/>
                <w:szCs w:val="20"/>
              </w:rPr>
              <w:t>actual</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4F807" w14:textId="186E73D9" w:rsidR="000C58DC" w:rsidRDefault="000C58DC" w:rsidP="000C58DC">
            <w:pPr>
              <w:jc w:val="center"/>
              <w:rPr>
                <w:sz w:val="20"/>
              </w:rPr>
            </w:pPr>
            <w:r>
              <w:rPr>
                <w:color w:val="000000"/>
                <w:sz w:val="20"/>
                <w:szCs w:val="20"/>
              </w:rPr>
              <w:t>78.9%</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BE4D5" w14:textId="605F0F91" w:rsidR="000C58DC" w:rsidRPr="00EB52BA" w:rsidRDefault="000C58DC" w:rsidP="000C58DC">
            <w:pPr>
              <w:jc w:val="center"/>
              <w:rPr>
                <w:sz w:val="20"/>
              </w:rPr>
            </w:pPr>
            <w:r>
              <w:rPr>
                <w:color w:val="000000"/>
                <w:sz w:val="20"/>
                <w:szCs w:val="20"/>
              </w:rPr>
              <w:t>80.8%</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69360" w14:textId="39E50F4F" w:rsidR="000C58DC" w:rsidRPr="00CF215F" w:rsidRDefault="000C58DC" w:rsidP="000C58DC">
            <w:pPr>
              <w:jc w:val="center"/>
              <w:rPr>
                <w:sz w:val="20"/>
                <w:szCs w:val="20"/>
              </w:rPr>
            </w:pPr>
            <w:r>
              <w:rPr>
                <w:color w:val="000000"/>
                <w:sz w:val="20"/>
                <w:szCs w:val="20"/>
              </w:rPr>
              <w:t>85.0%</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0951A" w14:textId="2389172D" w:rsidR="000C58DC" w:rsidRPr="005F1D17" w:rsidRDefault="000C58DC" w:rsidP="000C58DC">
            <w:pPr>
              <w:jc w:val="center"/>
              <w:rPr>
                <w:sz w:val="16"/>
              </w:rPr>
            </w:pPr>
            <w:r>
              <w:rPr>
                <w:color w:val="000000"/>
                <w:sz w:val="20"/>
                <w:szCs w:val="20"/>
              </w:rPr>
              <w:t>----------</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4EE5F" w14:textId="2112E962" w:rsidR="000C58DC" w:rsidRDefault="000C58DC" w:rsidP="000C58DC">
            <w:pPr>
              <w:jc w:val="center"/>
              <w:rPr>
                <w:sz w:val="20"/>
              </w:rPr>
            </w:pPr>
          </w:p>
        </w:tc>
      </w:tr>
      <w:tr w:rsidR="000C58DC" w14:paraId="149859B3" w14:textId="77777777" w:rsidTr="00070DAA">
        <w:trPr>
          <w:cantSplit/>
          <w:trHeight w:val="288"/>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2E8B4EA3" w14:textId="77777777" w:rsidR="000C58DC" w:rsidRDefault="000C58DC" w:rsidP="000C58DC">
            <w:pPr>
              <w:rPr>
                <w:bCs/>
                <w:sz w:val="20"/>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48B26" w14:textId="19F3DA60" w:rsidR="000C58DC" w:rsidRDefault="000C58DC" w:rsidP="000C58DC">
            <w:pPr>
              <w:jc w:val="center"/>
              <w:rPr>
                <w:i/>
                <w:sz w:val="20"/>
              </w:rPr>
            </w:pPr>
            <w:r>
              <w:rPr>
                <w:i/>
                <w:sz w:val="16"/>
                <w:szCs w:val="20"/>
              </w:rPr>
              <w:t>t</w:t>
            </w:r>
            <w:r w:rsidRPr="00A253D9">
              <w:rPr>
                <w:i/>
                <w:sz w:val="16"/>
                <w:szCs w:val="20"/>
              </w:rPr>
              <w:t>arget</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AF2AB" w14:textId="1E521645" w:rsidR="000C58DC" w:rsidRDefault="000C58DC" w:rsidP="000C58DC">
            <w:pPr>
              <w:jc w:val="center"/>
              <w:rPr>
                <w:i/>
                <w:sz w:val="16"/>
                <w:szCs w:val="16"/>
              </w:rPr>
            </w:pPr>
            <w:r>
              <w:rPr>
                <w:i/>
                <w:iCs/>
                <w:color w:val="000000"/>
                <w:sz w:val="16"/>
                <w:szCs w:val="16"/>
              </w:rPr>
              <w:t>90%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C5700" w14:textId="4E2D0BD7" w:rsidR="000C58DC" w:rsidRDefault="000C58DC" w:rsidP="000C58DC">
            <w:pPr>
              <w:jc w:val="center"/>
              <w:rPr>
                <w:i/>
                <w:sz w:val="16"/>
                <w:szCs w:val="16"/>
              </w:rPr>
            </w:pPr>
            <w:r>
              <w:rPr>
                <w:i/>
                <w:iCs/>
                <w:color w:val="000000"/>
                <w:sz w:val="16"/>
                <w:szCs w:val="16"/>
              </w:rPr>
              <w:t>90%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25C69" w14:textId="312C087B" w:rsidR="000C58DC" w:rsidRDefault="000C58DC" w:rsidP="000C58DC">
            <w:pPr>
              <w:jc w:val="center"/>
              <w:rPr>
                <w:i/>
                <w:sz w:val="16"/>
                <w:szCs w:val="16"/>
              </w:rPr>
            </w:pPr>
            <w:r>
              <w:rPr>
                <w:i/>
                <w:sz w:val="16"/>
                <w:szCs w:val="16"/>
              </w:rPr>
              <w:t>83%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017F0" w14:textId="014E1434" w:rsidR="000C58DC" w:rsidRDefault="000C58DC" w:rsidP="000C58DC">
            <w:pPr>
              <w:jc w:val="center"/>
              <w:rPr>
                <w:i/>
                <w:sz w:val="16"/>
                <w:szCs w:val="16"/>
              </w:rPr>
            </w:pPr>
            <w:r>
              <w:rPr>
                <w:i/>
                <w:sz w:val="16"/>
                <w:szCs w:val="20"/>
              </w:rPr>
              <w:t>83%</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32C53" w14:textId="483B9663" w:rsidR="000C58DC" w:rsidRDefault="000C58DC" w:rsidP="000C58DC">
            <w:pPr>
              <w:jc w:val="center"/>
              <w:rPr>
                <w:i/>
                <w:sz w:val="16"/>
                <w:szCs w:val="16"/>
              </w:rPr>
            </w:pPr>
          </w:p>
        </w:tc>
      </w:tr>
    </w:tbl>
    <w:p w14:paraId="13A42A38" w14:textId="77777777" w:rsidR="00843C51" w:rsidRDefault="00843C51" w:rsidP="00B043BB"/>
    <w:p w14:paraId="1A238DCC" w14:textId="77777777" w:rsidR="008207CC" w:rsidRDefault="008207CC" w:rsidP="008207CC">
      <w:pPr>
        <w:jc w:val="both"/>
      </w:pPr>
      <w:r>
        <w:rPr>
          <w:b/>
          <w:i/>
          <w:color w:val="000080"/>
          <w:sz w:val="28"/>
          <w:szCs w:val="28"/>
        </w:rPr>
        <w:t>Special Programs</w:t>
      </w:r>
      <w:r w:rsidRPr="009B739C">
        <w:t xml:space="preserve"> </w:t>
      </w:r>
    </w:p>
    <w:p w14:paraId="61037C43" w14:textId="77777777" w:rsidR="008207CC" w:rsidRDefault="008207CC" w:rsidP="008207CC">
      <w:pPr>
        <w:jc w:val="both"/>
      </w:pPr>
    </w:p>
    <w:p w14:paraId="2A2D4A01" w14:textId="1218F191" w:rsidR="008207CC" w:rsidRDefault="008207CC" w:rsidP="008207CC">
      <w:pPr>
        <w:jc w:val="both"/>
        <w:rPr>
          <w:b/>
          <w:bCs/>
          <w:i/>
          <w:color w:val="000080"/>
        </w:rPr>
      </w:pPr>
      <w:r>
        <w:rPr>
          <w:b/>
          <w:bCs/>
          <w:i/>
          <w:color w:val="000080"/>
        </w:rPr>
        <w:t>Idaho Small Business Development</w:t>
      </w:r>
    </w:p>
    <w:p w14:paraId="020BD19A" w14:textId="77777777" w:rsidR="00CD6278" w:rsidRPr="00CD6278" w:rsidRDefault="00CD6278" w:rsidP="008207CC">
      <w:pPr>
        <w:jc w:val="both"/>
        <w:rPr>
          <w:b/>
          <w:bCs/>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235"/>
        <w:gridCol w:w="1260"/>
        <w:gridCol w:w="1170"/>
        <w:gridCol w:w="1080"/>
        <w:gridCol w:w="1170"/>
        <w:gridCol w:w="1080"/>
        <w:gridCol w:w="1035"/>
      </w:tblGrid>
      <w:tr w:rsidR="00F9514E" w14:paraId="0F50712F" w14:textId="77777777" w:rsidTr="00625E49">
        <w:trPr>
          <w:tblHeader/>
        </w:trPr>
        <w:tc>
          <w:tcPr>
            <w:tcW w:w="449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6D882E3E" w14:textId="77777777" w:rsidR="00F9514E" w:rsidRDefault="00F9514E" w:rsidP="00F9514E">
            <w:pPr>
              <w:widowControl w:val="0"/>
              <w:contextualSpacing/>
              <w:mirrorIndents/>
              <w:rPr>
                <w:b/>
                <w:bCs/>
                <w:color w:val="FFFFFF"/>
                <w:sz w:val="20"/>
              </w:rPr>
            </w:pPr>
            <w:r>
              <w:rPr>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1C62ECB9" w14:textId="35774B7C" w:rsidR="00F9514E" w:rsidRDefault="00F9514E" w:rsidP="00F9514E">
            <w:pPr>
              <w:widowControl w:val="0"/>
              <w:contextualSpacing/>
              <w:mirrorIndents/>
              <w:rPr>
                <w:b/>
                <w:bCs/>
                <w:color w:val="FFFFFF"/>
                <w:sz w:val="20"/>
              </w:rPr>
            </w:pPr>
            <w:r>
              <w:rPr>
                <w:b/>
                <w:bCs/>
                <w:color w:val="FFFFFF"/>
                <w:sz w:val="20"/>
                <w:szCs w:val="20"/>
              </w:rPr>
              <w:t>FY 2022</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1A2033C6" w14:textId="1E7017BF" w:rsidR="00F9514E" w:rsidRDefault="00F9514E" w:rsidP="00F9514E">
            <w:pPr>
              <w:widowControl w:val="0"/>
              <w:contextualSpacing/>
              <w:mirrorIndents/>
              <w:jc w:val="center"/>
              <w:rPr>
                <w:b/>
                <w:bCs/>
                <w:color w:val="FFFFFF"/>
                <w:sz w:val="20"/>
              </w:rPr>
            </w:pPr>
            <w:r>
              <w:rPr>
                <w:b/>
                <w:bCs/>
                <w:color w:val="FFFFFF"/>
                <w:sz w:val="20"/>
                <w:szCs w:val="20"/>
              </w:rPr>
              <w:t>FY 2023</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606F001B" w14:textId="6F7B995D" w:rsidR="00F9514E" w:rsidRDefault="00F9514E" w:rsidP="00F9514E">
            <w:pPr>
              <w:widowControl w:val="0"/>
              <w:contextualSpacing/>
              <w:mirrorIndents/>
              <w:jc w:val="center"/>
              <w:rPr>
                <w:b/>
                <w:bCs/>
                <w:color w:val="FFFFFF"/>
                <w:sz w:val="20"/>
              </w:rPr>
            </w:pPr>
            <w:r>
              <w:rPr>
                <w:b/>
                <w:bCs/>
                <w:color w:val="FFFFFF"/>
                <w:sz w:val="20"/>
                <w:szCs w:val="20"/>
              </w:rPr>
              <w:t>FY 2024</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1D63E919" w14:textId="5F56939C" w:rsidR="00F9514E" w:rsidRDefault="00F9514E" w:rsidP="00F9514E">
            <w:pPr>
              <w:widowControl w:val="0"/>
              <w:contextualSpacing/>
              <w:mirrorIndents/>
              <w:jc w:val="center"/>
              <w:rPr>
                <w:b/>
                <w:bCs/>
                <w:color w:val="FFFFFF"/>
                <w:sz w:val="20"/>
              </w:rPr>
            </w:pPr>
            <w:r>
              <w:rPr>
                <w:b/>
                <w:bCs/>
                <w:color w:val="FFFFFF"/>
                <w:sz w:val="20"/>
                <w:szCs w:val="20"/>
              </w:rPr>
              <w:t>FY 2025</w:t>
            </w:r>
          </w:p>
        </w:tc>
        <w:tc>
          <w:tcPr>
            <w:tcW w:w="1035" w:type="dxa"/>
            <w:tcBorders>
              <w:top w:val="single" w:sz="4" w:space="0" w:color="auto"/>
              <w:left w:val="single" w:sz="4" w:space="0" w:color="auto"/>
              <w:bottom w:val="single" w:sz="4" w:space="0" w:color="auto"/>
              <w:right w:val="single" w:sz="4" w:space="0" w:color="auto"/>
            </w:tcBorders>
            <w:shd w:val="clear" w:color="auto" w:fill="000080"/>
            <w:vAlign w:val="bottom"/>
          </w:tcPr>
          <w:p w14:paraId="1CF21D08" w14:textId="4A99ADEF" w:rsidR="00F9514E" w:rsidRDefault="00F9514E" w:rsidP="00F9514E">
            <w:pPr>
              <w:widowControl w:val="0"/>
              <w:contextualSpacing/>
              <w:mirrorIndents/>
              <w:jc w:val="center"/>
              <w:rPr>
                <w:b/>
                <w:bCs/>
                <w:color w:val="FFFFFF"/>
                <w:sz w:val="20"/>
              </w:rPr>
            </w:pPr>
            <w:r>
              <w:rPr>
                <w:b/>
                <w:bCs/>
                <w:color w:val="FFFFFF"/>
                <w:sz w:val="20"/>
                <w:szCs w:val="20"/>
              </w:rPr>
              <w:t>FY 2026</w:t>
            </w:r>
          </w:p>
        </w:tc>
      </w:tr>
      <w:tr w:rsidR="00F9514E" w14:paraId="18EF4833"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12D12C" w14:textId="521085EE" w:rsidR="00F9514E" w:rsidRPr="008207CC" w:rsidRDefault="00F9514E" w:rsidP="00F9514E">
            <w:pPr>
              <w:widowControl w:val="0"/>
              <w:tabs>
                <w:tab w:val="center" w:pos="4957"/>
              </w:tabs>
              <w:ind w:left="-18"/>
              <w:contextualSpacing/>
              <w:mirrorIndents/>
              <w:jc w:val="center"/>
              <w:rPr>
                <w:bCs/>
                <w:sz w:val="20"/>
                <w:szCs w:val="20"/>
              </w:rPr>
            </w:pPr>
            <w:r w:rsidRPr="00C34FB7">
              <w:rPr>
                <w:b/>
                <w:sz w:val="20"/>
                <w:szCs w:val="20"/>
                <w:lang w:val="la-Latn"/>
              </w:rPr>
              <w:t xml:space="preserve">GOAL </w:t>
            </w:r>
            <w:r w:rsidRPr="00C34FB7">
              <w:rPr>
                <w:b/>
                <w:sz w:val="20"/>
                <w:szCs w:val="20"/>
              </w:rPr>
              <w:t xml:space="preserve">1:  </w:t>
            </w:r>
            <w:r w:rsidRPr="008207CC">
              <w:rPr>
                <w:b/>
                <w:sz w:val="20"/>
                <w:szCs w:val="20"/>
              </w:rPr>
              <w:t>Network Reach:</w:t>
            </w:r>
            <w:r>
              <w:rPr>
                <w:bCs/>
                <w:sz w:val="20"/>
                <w:szCs w:val="20"/>
              </w:rPr>
              <w:t xml:space="preserve"> </w:t>
            </w:r>
            <w:r w:rsidRPr="008207CC">
              <w:rPr>
                <w:bCs/>
                <w:sz w:val="20"/>
                <w:szCs w:val="20"/>
              </w:rPr>
              <w:t>Focus time on clients with the highest potential for creating economic impact.</w:t>
            </w:r>
          </w:p>
        </w:tc>
      </w:tr>
      <w:tr w:rsidR="00F9514E" w14:paraId="1C63DCBD" w14:textId="77777777" w:rsidTr="000E6652">
        <w:trPr>
          <w:trHeight w:val="287"/>
          <w:tblHeader/>
        </w:trPr>
        <w:tc>
          <w:tcPr>
            <w:tcW w:w="10030" w:type="dxa"/>
            <w:gridSpan w:val="7"/>
            <w:tcBorders>
              <w:top w:val="single" w:sz="4" w:space="0" w:color="auto"/>
              <w:left w:val="single" w:sz="4" w:space="0" w:color="auto"/>
              <w:bottom w:val="single" w:sz="4" w:space="0" w:color="auto"/>
              <w:right w:val="single" w:sz="4" w:space="0" w:color="auto"/>
            </w:tcBorders>
          </w:tcPr>
          <w:p w14:paraId="07171A98" w14:textId="75D38F27" w:rsidR="00F9514E" w:rsidRPr="002A6C39" w:rsidRDefault="00F9514E" w:rsidP="00F9514E">
            <w:pPr>
              <w:pStyle w:val="ListParagraph"/>
              <w:widowControl w:val="0"/>
              <w:numPr>
                <w:ilvl w:val="0"/>
                <w:numId w:val="18"/>
              </w:numPr>
              <w:mirrorIndents/>
              <w:rPr>
                <w:sz w:val="20"/>
              </w:rPr>
            </w:pPr>
            <w:r w:rsidRPr="002A6C39">
              <w:rPr>
                <w:sz w:val="20"/>
              </w:rPr>
              <w:t>Develop long-term relationships with potential and existing growth and impact clients. (Objective A)</w:t>
            </w:r>
          </w:p>
        </w:tc>
      </w:tr>
      <w:tr w:rsidR="00F9514E" w14:paraId="5EA7A861" w14:textId="77777777" w:rsidTr="00625E49">
        <w:trPr>
          <w:trHeight w:val="413"/>
          <w:tblHeader/>
        </w:trPr>
        <w:tc>
          <w:tcPr>
            <w:tcW w:w="3235" w:type="dxa"/>
            <w:vMerge w:val="restart"/>
            <w:tcBorders>
              <w:top w:val="single" w:sz="4" w:space="0" w:color="auto"/>
              <w:left w:val="single" w:sz="4" w:space="0" w:color="auto"/>
              <w:bottom w:val="single" w:sz="4" w:space="0" w:color="auto"/>
              <w:right w:val="single" w:sz="4" w:space="0" w:color="auto"/>
            </w:tcBorders>
            <w:hideMark/>
          </w:tcPr>
          <w:p w14:paraId="2EB17D62" w14:textId="52E67AA3" w:rsidR="00F9514E" w:rsidRPr="00AA5AB1" w:rsidRDefault="00F9514E" w:rsidP="00F9514E">
            <w:pPr>
              <w:widowControl w:val="0"/>
              <w:contextualSpacing/>
              <w:mirrorIndents/>
              <w:rPr>
                <w:sz w:val="20"/>
              </w:rPr>
            </w:pPr>
            <w:r>
              <w:rPr>
                <w:color w:val="000000"/>
                <w:sz w:val="20"/>
                <w:szCs w:val="20"/>
              </w:rPr>
              <w:t>Capital raised by clients in millions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3DC8F" w14:textId="0E45B944" w:rsidR="00F9514E" w:rsidRDefault="00F9514E" w:rsidP="00F9514E">
            <w:pPr>
              <w:widowControl w:val="0"/>
              <w:contextualSpacing/>
              <w:mirrorIndents/>
              <w:jc w:val="center"/>
              <w:rPr>
                <w:sz w:val="20"/>
              </w:rPr>
            </w:pPr>
            <w:r>
              <w:rPr>
                <w:color w:val="000000"/>
                <w:sz w:val="20"/>
                <w:szCs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1507B" w14:textId="58F1ED3E" w:rsidR="00F9514E" w:rsidRPr="008C58FF" w:rsidRDefault="00F9514E" w:rsidP="00F9514E">
            <w:pPr>
              <w:widowControl w:val="0"/>
              <w:contextualSpacing/>
              <w:mirrorIndents/>
              <w:jc w:val="center"/>
              <w:rPr>
                <w:rFonts w:eastAsia="Arial Unicode MS"/>
                <w:sz w:val="20"/>
                <w:szCs w:val="20"/>
              </w:rPr>
            </w:pPr>
            <w:r>
              <w:rPr>
                <w:color w:val="000000"/>
                <w:sz w:val="20"/>
                <w:szCs w:val="20"/>
              </w:rPr>
              <w:t>$28.2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98C87" w14:textId="542741A2" w:rsidR="00F9514E" w:rsidRPr="00AD6812" w:rsidRDefault="00F9514E" w:rsidP="00F9514E">
            <w:pPr>
              <w:widowControl w:val="0"/>
              <w:contextualSpacing/>
              <w:mirrorIndents/>
              <w:jc w:val="center"/>
              <w:rPr>
                <w:rFonts w:eastAsia="Arial Unicode MS"/>
                <w:sz w:val="20"/>
                <w:szCs w:val="20"/>
              </w:rPr>
            </w:pPr>
            <w:r>
              <w:rPr>
                <w:color w:val="000000"/>
                <w:sz w:val="20"/>
                <w:szCs w:val="20"/>
              </w:rPr>
              <w:t>$56.6</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0C4AC" w14:textId="010DC317" w:rsidR="00F9514E" w:rsidRPr="00417FFB" w:rsidRDefault="00F9514E" w:rsidP="00F9514E">
            <w:pPr>
              <w:widowControl w:val="0"/>
              <w:contextualSpacing/>
              <w:mirrorIndents/>
              <w:jc w:val="center"/>
              <w:rPr>
                <w:rFonts w:eastAsia="Arial Unicode MS"/>
                <w:sz w:val="20"/>
                <w:szCs w:val="20"/>
              </w:rPr>
            </w:pPr>
            <w:r>
              <w:rPr>
                <w:sz w:val="20"/>
                <w:szCs w:val="20"/>
              </w:rPr>
              <w:t>$47.5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5EC13" w14:textId="0083BC4C" w:rsidR="00F9514E" w:rsidRPr="00AD6812" w:rsidRDefault="00F9514E" w:rsidP="00F9514E">
            <w:pPr>
              <w:widowControl w:val="0"/>
              <w:contextualSpacing/>
              <w:mirrorIndents/>
              <w:jc w:val="center"/>
              <w:rPr>
                <w:rFonts w:eastAsia="Arial Unicode MS"/>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E7CD4" w14:textId="77777777" w:rsidR="00F9514E" w:rsidRDefault="00F9514E" w:rsidP="00F9514E">
            <w:pPr>
              <w:widowControl w:val="0"/>
              <w:contextualSpacing/>
              <w:mirrorIndents/>
              <w:jc w:val="center"/>
              <w:rPr>
                <w:sz w:val="20"/>
              </w:rPr>
            </w:pPr>
          </w:p>
        </w:tc>
      </w:tr>
      <w:tr w:rsidR="00F9514E" w14:paraId="3B703832" w14:textId="77777777" w:rsidTr="00625E49">
        <w:trPr>
          <w:trHeight w:val="557"/>
          <w:tblHeader/>
        </w:trPr>
        <w:tc>
          <w:tcPr>
            <w:tcW w:w="3235" w:type="dxa"/>
            <w:vMerge/>
            <w:tcBorders>
              <w:top w:val="single" w:sz="4" w:space="0" w:color="auto"/>
              <w:left w:val="single" w:sz="4" w:space="0" w:color="auto"/>
              <w:bottom w:val="single" w:sz="4" w:space="0" w:color="auto"/>
              <w:right w:val="single" w:sz="4" w:space="0" w:color="auto"/>
            </w:tcBorders>
            <w:hideMark/>
          </w:tcPr>
          <w:p w14:paraId="60F3897F" w14:textId="77777777" w:rsidR="00F9514E" w:rsidRPr="005B017D" w:rsidRDefault="00F9514E" w:rsidP="00F9514E">
            <w:pPr>
              <w:pStyle w:val="ListParagraph"/>
              <w:widowControl w:val="0"/>
              <w:numPr>
                <w:ilvl w:val="0"/>
                <w:numId w:val="35"/>
              </w:numPr>
              <w:ind w:left="342"/>
              <w:mirrorIndents/>
              <w:rPr>
                <w:bCs/>
                <w:sz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EBB6E" w14:textId="7A3CD7F9" w:rsidR="00F9514E" w:rsidRDefault="00F9514E" w:rsidP="00F9514E">
            <w:pPr>
              <w:widowControl w:val="0"/>
              <w:contextualSpacing/>
              <w:mirrorIndents/>
              <w:jc w:val="center"/>
              <w:rPr>
                <w:sz w:val="20"/>
              </w:rPr>
            </w:pPr>
            <w:r>
              <w:rPr>
                <w:i/>
                <w:color w:val="000000"/>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99532F" w14:textId="4E86F1FA" w:rsidR="00F9514E" w:rsidRDefault="00F9514E" w:rsidP="00F9514E">
            <w:pPr>
              <w:widowControl w:val="0"/>
              <w:spacing w:line="276" w:lineRule="auto"/>
              <w:contextualSpacing/>
              <w:mirrorIndents/>
              <w:jc w:val="center"/>
              <w:rPr>
                <w:i/>
                <w:sz w:val="16"/>
                <w:szCs w:val="16"/>
              </w:rPr>
            </w:pPr>
            <w:r>
              <w:rPr>
                <w:i/>
                <w:color w:val="000000"/>
                <w:sz w:val="16"/>
                <w:szCs w:val="16"/>
              </w:rPr>
              <w:t>$53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3192563" w14:textId="29FDD229" w:rsidR="00F9514E" w:rsidRDefault="00F9514E" w:rsidP="00F9514E">
            <w:pPr>
              <w:widowControl w:val="0"/>
              <w:spacing w:line="276" w:lineRule="auto"/>
              <w:contextualSpacing/>
              <w:mirrorIndents/>
              <w:jc w:val="center"/>
              <w:rPr>
                <w:i/>
                <w:sz w:val="16"/>
                <w:szCs w:val="16"/>
              </w:rPr>
            </w:pPr>
            <w:r>
              <w:rPr>
                <w:i/>
                <w:color w:val="000000"/>
                <w:sz w:val="16"/>
                <w:szCs w:val="16"/>
              </w:rPr>
              <w:t>$53</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C35B6" w14:textId="097431E2" w:rsidR="00F9514E" w:rsidRDefault="00F9514E" w:rsidP="00F9514E">
            <w:pPr>
              <w:widowControl w:val="0"/>
              <w:spacing w:line="276" w:lineRule="auto"/>
              <w:contextualSpacing/>
              <w:mirrorIndents/>
              <w:jc w:val="center"/>
              <w:rPr>
                <w:i/>
                <w:sz w:val="16"/>
                <w:szCs w:val="16"/>
              </w:rPr>
            </w:pPr>
            <w:r>
              <w:rPr>
                <w:i/>
                <w:color w:val="000000"/>
                <w:sz w:val="16"/>
                <w:szCs w:val="16"/>
              </w:rPr>
              <w:t>$53.4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54C6C" w14:textId="778499BA" w:rsidR="00F9514E" w:rsidRDefault="00F9514E" w:rsidP="00F9514E">
            <w:pPr>
              <w:widowControl w:val="0"/>
              <w:spacing w:line="276" w:lineRule="auto"/>
              <w:contextualSpacing/>
              <w:mirrorIndents/>
              <w:jc w:val="center"/>
              <w:rPr>
                <w:i/>
                <w:sz w:val="16"/>
                <w:szCs w:val="16"/>
              </w:rPr>
            </w:pPr>
            <w:r>
              <w:rPr>
                <w:i/>
                <w:sz w:val="16"/>
                <w:szCs w:val="16"/>
              </w:rPr>
              <w:t>46.3</w:t>
            </w:r>
            <w:r>
              <w:rPr>
                <w:rStyle w:val="EndnoteReference"/>
                <w:i/>
                <w:sz w:val="16"/>
                <w:szCs w:val="16"/>
              </w:rPr>
              <w:endnoteReference w:id="22"/>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31CC1D" w14:textId="59A8D11E" w:rsidR="00F9514E" w:rsidRDefault="00F9514E" w:rsidP="00F9514E">
            <w:pPr>
              <w:widowControl w:val="0"/>
              <w:spacing w:line="276" w:lineRule="auto"/>
              <w:contextualSpacing/>
              <w:mirrorIndents/>
              <w:jc w:val="center"/>
              <w:rPr>
                <w:i/>
                <w:sz w:val="16"/>
                <w:szCs w:val="16"/>
              </w:rPr>
            </w:pPr>
          </w:p>
        </w:tc>
      </w:tr>
    </w:tbl>
    <w:p w14:paraId="5B28B0D3" w14:textId="77777777" w:rsidR="008207CC" w:rsidRDefault="008207CC" w:rsidP="008207CC">
      <w:pPr>
        <w:jc w:val="both"/>
        <w:rPr>
          <w:b/>
          <w:i/>
          <w:color w:val="000080"/>
        </w:rPr>
      </w:pPr>
    </w:p>
    <w:p w14:paraId="627A3092" w14:textId="77777777" w:rsidR="002B4AAE" w:rsidRDefault="008207CC" w:rsidP="002B4AAE">
      <w:pPr>
        <w:jc w:val="both"/>
        <w:rPr>
          <w:b/>
          <w:i/>
          <w:color w:val="000080"/>
        </w:rPr>
      </w:pPr>
      <w:proofErr w:type="spellStart"/>
      <w:r>
        <w:rPr>
          <w:b/>
          <w:i/>
          <w:color w:val="000080"/>
        </w:rPr>
        <w:t>TechHelp</w:t>
      </w:r>
      <w:proofErr w:type="spellEnd"/>
    </w:p>
    <w:p w14:paraId="7073E4A2" w14:textId="77777777" w:rsidR="00C37D03" w:rsidRDefault="00C37D03" w:rsidP="008207CC">
      <w:pPr>
        <w:jc w:val="both"/>
        <w:rPr>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235"/>
        <w:gridCol w:w="1260"/>
        <w:gridCol w:w="1170"/>
        <w:gridCol w:w="1080"/>
        <w:gridCol w:w="1170"/>
        <w:gridCol w:w="1080"/>
        <w:gridCol w:w="1035"/>
      </w:tblGrid>
      <w:tr w:rsidR="00F9514E" w14:paraId="2DB9A665" w14:textId="77777777" w:rsidTr="00C74EED">
        <w:trPr>
          <w:tblHeader/>
        </w:trPr>
        <w:tc>
          <w:tcPr>
            <w:tcW w:w="449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2893E5DA" w14:textId="77777777" w:rsidR="00F9514E" w:rsidRDefault="00F9514E" w:rsidP="00F9514E">
            <w:pPr>
              <w:widowControl w:val="0"/>
              <w:contextualSpacing/>
              <w:mirrorIndents/>
              <w:rPr>
                <w:b/>
                <w:bCs/>
                <w:color w:val="FFFFFF"/>
                <w:sz w:val="20"/>
              </w:rPr>
            </w:pPr>
            <w:r>
              <w:rPr>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4CE5A793" w14:textId="0F03C71B" w:rsidR="00F9514E" w:rsidRDefault="00F9514E" w:rsidP="00F9514E">
            <w:pPr>
              <w:widowControl w:val="0"/>
              <w:contextualSpacing/>
              <w:mirrorIndents/>
              <w:rPr>
                <w:b/>
                <w:bCs/>
                <w:color w:val="FFFFFF"/>
                <w:sz w:val="20"/>
              </w:rPr>
            </w:pPr>
            <w:r>
              <w:rPr>
                <w:b/>
                <w:bCs/>
                <w:color w:val="FFFFFF"/>
                <w:sz w:val="20"/>
                <w:szCs w:val="20"/>
              </w:rPr>
              <w:t>FY 2022</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215A81E7" w14:textId="798902C4" w:rsidR="00F9514E" w:rsidRDefault="00F9514E" w:rsidP="00F9514E">
            <w:pPr>
              <w:widowControl w:val="0"/>
              <w:contextualSpacing/>
              <w:mirrorIndents/>
              <w:jc w:val="center"/>
              <w:rPr>
                <w:b/>
                <w:bCs/>
                <w:color w:val="FFFFFF"/>
                <w:sz w:val="20"/>
              </w:rPr>
            </w:pPr>
            <w:r>
              <w:rPr>
                <w:b/>
                <w:bCs/>
                <w:color w:val="FFFFFF"/>
                <w:sz w:val="20"/>
                <w:szCs w:val="20"/>
              </w:rPr>
              <w:t>FY 2023</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28364A0B" w14:textId="538AE941" w:rsidR="00F9514E" w:rsidRDefault="00F9514E" w:rsidP="00F9514E">
            <w:pPr>
              <w:widowControl w:val="0"/>
              <w:contextualSpacing/>
              <w:mirrorIndents/>
              <w:jc w:val="center"/>
              <w:rPr>
                <w:b/>
                <w:bCs/>
                <w:color w:val="FFFFFF"/>
                <w:sz w:val="20"/>
              </w:rPr>
            </w:pPr>
            <w:r>
              <w:rPr>
                <w:b/>
                <w:bCs/>
                <w:color w:val="FFFFFF"/>
                <w:sz w:val="20"/>
                <w:szCs w:val="20"/>
              </w:rPr>
              <w:t>FY 2024</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45C35AA4" w14:textId="4D67F68F" w:rsidR="00F9514E" w:rsidRDefault="00F9514E" w:rsidP="00F9514E">
            <w:pPr>
              <w:widowControl w:val="0"/>
              <w:contextualSpacing/>
              <w:mirrorIndents/>
              <w:jc w:val="center"/>
              <w:rPr>
                <w:b/>
                <w:bCs/>
                <w:color w:val="FFFFFF"/>
                <w:sz w:val="20"/>
              </w:rPr>
            </w:pPr>
            <w:r>
              <w:rPr>
                <w:b/>
                <w:bCs/>
                <w:color w:val="FFFFFF"/>
                <w:sz w:val="20"/>
                <w:szCs w:val="20"/>
              </w:rPr>
              <w:t>FY 2025</w:t>
            </w:r>
          </w:p>
        </w:tc>
        <w:tc>
          <w:tcPr>
            <w:tcW w:w="1035" w:type="dxa"/>
            <w:tcBorders>
              <w:top w:val="single" w:sz="4" w:space="0" w:color="auto"/>
              <w:left w:val="single" w:sz="4" w:space="0" w:color="auto"/>
              <w:bottom w:val="single" w:sz="4" w:space="0" w:color="auto"/>
              <w:right w:val="single" w:sz="4" w:space="0" w:color="auto"/>
            </w:tcBorders>
            <w:shd w:val="clear" w:color="auto" w:fill="000080"/>
            <w:vAlign w:val="bottom"/>
          </w:tcPr>
          <w:p w14:paraId="72792CD4" w14:textId="1CCBFA8D" w:rsidR="00F9514E" w:rsidRDefault="00F9514E" w:rsidP="00F9514E">
            <w:pPr>
              <w:widowControl w:val="0"/>
              <w:contextualSpacing/>
              <w:mirrorIndents/>
              <w:jc w:val="center"/>
              <w:rPr>
                <w:b/>
                <w:bCs/>
                <w:color w:val="FFFFFF"/>
                <w:sz w:val="20"/>
              </w:rPr>
            </w:pPr>
            <w:r>
              <w:rPr>
                <w:b/>
                <w:bCs/>
                <w:color w:val="FFFFFF"/>
                <w:sz w:val="20"/>
                <w:szCs w:val="20"/>
              </w:rPr>
              <w:t>FY 2026</w:t>
            </w:r>
          </w:p>
        </w:tc>
      </w:tr>
      <w:tr w:rsidR="00F9514E" w14:paraId="6AA664DB"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01E499" w14:textId="77777777" w:rsidR="00F9514E" w:rsidRDefault="00F9514E" w:rsidP="00F9514E">
            <w:pPr>
              <w:pStyle w:val="TableParagraph"/>
              <w:ind w:left="427"/>
              <w:rPr>
                <w:sz w:val="20"/>
              </w:rPr>
            </w:pPr>
            <w:r>
              <w:rPr>
                <w:b/>
                <w:sz w:val="20"/>
              </w:rPr>
              <w:t>Goal</w:t>
            </w:r>
            <w:r>
              <w:rPr>
                <w:b/>
                <w:spacing w:val="-5"/>
                <w:sz w:val="20"/>
              </w:rPr>
              <w:t xml:space="preserve"> </w:t>
            </w:r>
            <w:r>
              <w:rPr>
                <w:b/>
                <w:sz w:val="20"/>
              </w:rPr>
              <w:t>1:</w:t>
            </w:r>
            <w:r>
              <w:rPr>
                <w:b/>
                <w:spacing w:val="-3"/>
                <w:sz w:val="20"/>
              </w:rPr>
              <w:t xml:space="preserve"> </w:t>
            </w:r>
            <w:r>
              <w:rPr>
                <w:sz w:val="20"/>
              </w:rPr>
              <w:t>Economic</w:t>
            </w:r>
            <w:r>
              <w:rPr>
                <w:spacing w:val="-2"/>
                <w:sz w:val="20"/>
              </w:rPr>
              <w:t xml:space="preserve"> </w:t>
            </w:r>
            <w:r>
              <w:rPr>
                <w:sz w:val="20"/>
              </w:rPr>
              <w:t>Impact</w:t>
            </w:r>
            <w:r>
              <w:rPr>
                <w:spacing w:val="-4"/>
                <w:sz w:val="20"/>
              </w:rPr>
              <w:t xml:space="preserve"> </w:t>
            </w:r>
            <w:r>
              <w:rPr>
                <w:sz w:val="20"/>
              </w:rPr>
              <w:t>on</w:t>
            </w:r>
            <w:r>
              <w:rPr>
                <w:spacing w:val="-3"/>
                <w:sz w:val="20"/>
              </w:rPr>
              <w:t xml:space="preserve"> </w:t>
            </w:r>
            <w:r>
              <w:rPr>
                <w:sz w:val="20"/>
              </w:rPr>
              <w:t>Manufacturing</w:t>
            </w:r>
            <w:r>
              <w:rPr>
                <w:spacing w:val="-4"/>
                <w:sz w:val="20"/>
              </w:rPr>
              <w:t xml:space="preserve"> </w:t>
            </w:r>
            <w:r>
              <w:rPr>
                <w:sz w:val="20"/>
              </w:rPr>
              <w:t>in</w:t>
            </w:r>
            <w:r>
              <w:rPr>
                <w:spacing w:val="-4"/>
                <w:sz w:val="20"/>
              </w:rPr>
              <w:t xml:space="preserve"> </w:t>
            </w:r>
            <w:r>
              <w:rPr>
                <w:sz w:val="20"/>
              </w:rPr>
              <w:t>Idaho</w:t>
            </w:r>
            <w:r>
              <w:rPr>
                <w:spacing w:val="-1"/>
                <w:sz w:val="20"/>
              </w:rPr>
              <w:t xml:space="preserve"> </w:t>
            </w:r>
            <w:r>
              <w:rPr>
                <w:sz w:val="20"/>
              </w:rPr>
              <w:t>–</w:t>
            </w:r>
            <w:r>
              <w:rPr>
                <w:spacing w:val="-2"/>
                <w:sz w:val="20"/>
              </w:rPr>
              <w:t xml:space="preserve"> </w:t>
            </w:r>
            <w:r>
              <w:rPr>
                <w:sz w:val="20"/>
              </w:rPr>
              <w:t>Deliver</w:t>
            </w:r>
            <w:r>
              <w:rPr>
                <w:spacing w:val="-4"/>
                <w:sz w:val="20"/>
              </w:rPr>
              <w:t xml:space="preserve"> </w:t>
            </w:r>
            <w:r>
              <w:rPr>
                <w:sz w:val="20"/>
              </w:rPr>
              <w:t>a</w:t>
            </w:r>
            <w:r>
              <w:rPr>
                <w:spacing w:val="-3"/>
                <w:sz w:val="20"/>
              </w:rPr>
              <w:t xml:space="preserve"> </w:t>
            </w:r>
            <w:r>
              <w:rPr>
                <w:sz w:val="20"/>
              </w:rPr>
              <w:t>quantifiable</w:t>
            </w:r>
            <w:r>
              <w:rPr>
                <w:spacing w:val="-1"/>
                <w:sz w:val="20"/>
              </w:rPr>
              <w:t xml:space="preserve"> </w:t>
            </w:r>
            <w:r>
              <w:rPr>
                <w:sz w:val="20"/>
              </w:rPr>
              <w:t>positive</w:t>
            </w:r>
            <w:r>
              <w:rPr>
                <w:spacing w:val="-4"/>
                <w:sz w:val="20"/>
              </w:rPr>
              <w:t xml:space="preserve"> </w:t>
            </w:r>
            <w:r>
              <w:rPr>
                <w:sz w:val="20"/>
              </w:rPr>
              <w:t>return</w:t>
            </w:r>
            <w:r>
              <w:rPr>
                <w:spacing w:val="-4"/>
                <w:sz w:val="20"/>
              </w:rPr>
              <w:t xml:space="preserve"> </w:t>
            </w:r>
            <w:r>
              <w:rPr>
                <w:sz w:val="20"/>
              </w:rPr>
              <w:t>on</w:t>
            </w:r>
            <w:r>
              <w:rPr>
                <w:spacing w:val="-3"/>
                <w:sz w:val="20"/>
              </w:rPr>
              <w:t xml:space="preserve"> </w:t>
            </w:r>
            <w:r>
              <w:rPr>
                <w:sz w:val="20"/>
              </w:rPr>
              <w:t>both</w:t>
            </w:r>
            <w:r>
              <w:rPr>
                <w:spacing w:val="-3"/>
                <w:sz w:val="20"/>
              </w:rPr>
              <w:t xml:space="preserve"> </w:t>
            </w:r>
            <w:r>
              <w:rPr>
                <w:sz w:val="20"/>
              </w:rPr>
              <w:t xml:space="preserve">private business investments and public investments in </w:t>
            </w:r>
            <w:proofErr w:type="spellStart"/>
            <w:r>
              <w:rPr>
                <w:sz w:val="20"/>
              </w:rPr>
              <w:t>TechHelp</w:t>
            </w:r>
            <w:proofErr w:type="spellEnd"/>
            <w:r>
              <w:rPr>
                <w:sz w:val="20"/>
              </w:rPr>
              <w:t xml:space="preserve"> by adding value to the manufacturing client</w:t>
            </w:r>
          </w:p>
          <w:p w14:paraId="46314164" w14:textId="52ABA037" w:rsidR="00F9514E" w:rsidRDefault="00F9514E" w:rsidP="00F9514E">
            <w:pPr>
              <w:widowControl w:val="0"/>
              <w:tabs>
                <w:tab w:val="center" w:pos="4957"/>
              </w:tabs>
              <w:ind w:left="-18"/>
              <w:contextualSpacing/>
              <w:mirrorIndents/>
              <w:jc w:val="center"/>
              <w:rPr>
                <w:b/>
                <w:sz w:val="20"/>
              </w:rPr>
            </w:pPr>
            <w:r>
              <w:rPr>
                <w:sz w:val="20"/>
              </w:rPr>
              <w:t>and</w:t>
            </w:r>
            <w:r>
              <w:rPr>
                <w:spacing w:val="-6"/>
                <w:sz w:val="20"/>
              </w:rPr>
              <w:t xml:space="preserve"> </w:t>
            </w:r>
            <w:r>
              <w:rPr>
                <w:sz w:val="20"/>
              </w:rPr>
              <w:t>the</w:t>
            </w:r>
            <w:r>
              <w:rPr>
                <w:spacing w:val="-6"/>
                <w:sz w:val="20"/>
              </w:rPr>
              <w:t xml:space="preserve"> </w:t>
            </w:r>
            <w:r>
              <w:rPr>
                <w:spacing w:val="-2"/>
                <w:sz w:val="20"/>
              </w:rPr>
              <w:t>community.</w:t>
            </w:r>
          </w:p>
        </w:tc>
      </w:tr>
      <w:tr w:rsidR="00F9514E" w14:paraId="5665B78D" w14:textId="77777777" w:rsidTr="00F54C1B">
        <w:trPr>
          <w:trHeight w:val="458"/>
          <w:tblHeader/>
        </w:trPr>
        <w:tc>
          <w:tcPr>
            <w:tcW w:w="10030" w:type="dxa"/>
            <w:gridSpan w:val="7"/>
            <w:tcBorders>
              <w:top w:val="single" w:sz="4" w:space="0" w:color="auto"/>
              <w:left w:val="single" w:sz="4" w:space="0" w:color="auto"/>
              <w:bottom w:val="single" w:sz="4" w:space="0" w:color="auto"/>
              <w:right w:val="single" w:sz="4" w:space="0" w:color="auto"/>
            </w:tcBorders>
          </w:tcPr>
          <w:p w14:paraId="48A3FE75" w14:textId="2C5331F6" w:rsidR="00F9514E" w:rsidRPr="002A6C39" w:rsidRDefault="00F9514E" w:rsidP="00F9514E">
            <w:pPr>
              <w:pStyle w:val="ListParagraph"/>
              <w:widowControl w:val="0"/>
              <w:numPr>
                <w:ilvl w:val="0"/>
                <w:numId w:val="38"/>
              </w:numPr>
              <w:mirrorIndents/>
              <w:rPr>
                <w:sz w:val="20"/>
              </w:rPr>
            </w:pPr>
            <w:r w:rsidRPr="002A6C39">
              <w:rPr>
                <w:sz w:val="20"/>
              </w:rPr>
              <w:t>Offer technical consulting services and workshops that meet Idaho manufacturers’ product and process innovation needs, resulting in new and retained jobs and economic impact in the form of sales, savings, and investment. (Objective A)</w:t>
            </w:r>
          </w:p>
        </w:tc>
      </w:tr>
      <w:tr w:rsidR="00F9514E" w14:paraId="09E8A426" w14:textId="77777777" w:rsidTr="00C74EED">
        <w:trPr>
          <w:trHeight w:val="458"/>
          <w:tblHeader/>
        </w:trPr>
        <w:tc>
          <w:tcPr>
            <w:tcW w:w="3235" w:type="dxa"/>
            <w:vMerge w:val="restart"/>
            <w:tcBorders>
              <w:top w:val="single" w:sz="4" w:space="0" w:color="auto"/>
              <w:left w:val="single" w:sz="4" w:space="0" w:color="auto"/>
              <w:bottom w:val="single" w:sz="4" w:space="0" w:color="auto"/>
              <w:right w:val="single" w:sz="4" w:space="0" w:color="auto"/>
            </w:tcBorders>
            <w:hideMark/>
          </w:tcPr>
          <w:p w14:paraId="7317B784" w14:textId="1BF0DEDC" w:rsidR="00F9514E" w:rsidRPr="008207CC" w:rsidRDefault="00F9514E" w:rsidP="00F9514E">
            <w:pPr>
              <w:rPr>
                <w:sz w:val="22"/>
                <w:szCs w:val="22"/>
              </w:rPr>
            </w:pPr>
            <w:r>
              <w:rPr>
                <w:sz w:val="20"/>
              </w:rPr>
              <w:t>S</w:t>
            </w:r>
            <w:r w:rsidRPr="004504C9">
              <w:rPr>
                <w:sz w:val="20"/>
              </w:rPr>
              <w:t xml:space="preserve">ales, </w:t>
            </w:r>
            <w:r>
              <w:rPr>
                <w:sz w:val="20"/>
              </w:rPr>
              <w:t>C</w:t>
            </w:r>
            <w:r w:rsidRPr="004504C9">
              <w:rPr>
                <w:sz w:val="20"/>
              </w:rPr>
              <w:t xml:space="preserve">ost </w:t>
            </w:r>
            <w:r>
              <w:rPr>
                <w:sz w:val="20"/>
              </w:rPr>
              <w:t>S</w:t>
            </w:r>
            <w:r w:rsidRPr="004504C9">
              <w:rPr>
                <w:sz w:val="20"/>
              </w:rPr>
              <w:t xml:space="preserve">avings, and </w:t>
            </w:r>
            <w:r>
              <w:rPr>
                <w:sz w:val="20"/>
              </w:rPr>
              <w:t>I</w:t>
            </w:r>
            <w:r w:rsidRPr="00835179">
              <w:rPr>
                <w:sz w:val="20"/>
              </w:rPr>
              <w:t>nvestments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83CB6" w14:textId="4E5738D0" w:rsidR="00F9514E" w:rsidRDefault="00F9514E" w:rsidP="00F9514E">
            <w:pPr>
              <w:widowControl w:val="0"/>
              <w:contextualSpacing/>
              <w:mirrorIndents/>
              <w:jc w:val="center"/>
              <w:rPr>
                <w:sz w:val="20"/>
              </w:rPr>
            </w:pPr>
            <w:r>
              <w:rPr>
                <w:spacing w:val="-2"/>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DF267" w14:textId="193A4783" w:rsidR="00F9514E" w:rsidRPr="00324BE7" w:rsidRDefault="00F9514E" w:rsidP="00F9514E">
            <w:pPr>
              <w:widowControl w:val="0"/>
              <w:contextualSpacing/>
              <w:mirrorIndents/>
              <w:jc w:val="center"/>
              <w:rPr>
                <w:rFonts w:eastAsia="Arial Unicode MS"/>
                <w:sz w:val="20"/>
                <w:szCs w:val="20"/>
              </w:rPr>
            </w:pPr>
            <w:r w:rsidRPr="00324BE7">
              <w:rPr>
                <w:sz w:val="20"/>
                <w:szCs w:val="20"/>
              </w:rPr>
              <w:t>$207.4M</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91CA2" w14:textId="6BD63B69" w:rsidR="00F9514E" w:rsidRPr="00324BE7" w:rsidRDefault="00F9514E" w:rsidP="00F9514E">
            <w:pPr>
              <w:widowControl w:val="0"/>
              <w:contextualSpacing/>
              <w:mirrorIndents/>
              <w:jc w:val="center"/>
              <w:rPr>
                <w:rFonts w:eastAsia="Arial Unicode MS"/>
                <w:sz w:val="20"/>
                <w:szCs w:val="20"/>
              </w:rPr>
            </w:pPr>
            <w:r w:rsidRPr="00324BE7">
              <w:rPr>
                <w:sz w:val="20"/>
                <w:szCs w:val="20"/>
              </w:rPr>
              <w:t>$206.3M</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C23B5" w14:textId="14B22EA6" w:rsidR="00F9514E" w:rsidRPr="00324BE7" w:rsidRDefault="00F9514E" w:rsidP="00F9514E">
            <w:pPr>
              <w:widowControl w:val="0"/>
              <w:contextualSpacing/>
              <w:mirrorIndents/>
              <w:jc w:val="center"/>
              <w:rPr>
                <w:rFonts w:eastAsia="Arial Unicode MS"/>
                <w:sz w:val="20"/>
                <w:szCs w:val="20"/>
              </w:rPr>
            </w:pPr>
            <w:r w:rsidRPr="00324BE7">
              <w:rPr>
                <w:sz w:val="20"/>
                <w:szCs w:val="20"/>
              </w:rPr>
              <w:t>$78.0M</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29AB6" w14:textId="7F10FF0D" w:rsidR="00F9514E" w:rsidRPr="00324BE7" w:rsidRDefault="00F9514E" w:rsidP="00F9514E">
            <w:pPr>
              <w:widowControl w:val="0"/>
              <w:contextualSpacing/>
              <w:mirrorIndents/>
              <w:jc w:val="center"/>
              <w:rPr>
                <w:rFonts w:eastAsia="Arial Unicode MS"/>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62EA8" w14:textId="06DFC26F" w:rsidR="00F9514E" w:rsidRDefault="00F9514E" w:rsidP="00F9514E">
            <w:pPr>
              <w:widowControl w:val="0"/>
              <w:contextualSpacing/>
              <w:mirrorIndents/>
              <w:jc w:val="center"/>
              <w:rPr>
                <w:sz w:val="20"/>
              </w:rPr>
            </w:pPr>
          </w:p>
        </w:tc>
      </w:tr>
      <w:tr w:rsidR="00F9514E" w14:paraId="4B8C7B63" w14:textId="77777777" w:rsidTr="00C74EED">
        <w:trPr>
          <w:trHeight w:val="413"/>
          <w:tblHeader/>
        </w:trPr>
        <w:tc>
          <w:tcPr>
            <w:tcW w:w="3235" w:type="dxa"/>
            <w:vMerge/>
            <w:tcBorders>
              <w:top w:val="single" w:sz="4" w:space="0" w:color="auto"/>
              <w:left w:val="single" w:sz="4" w:space="0" w:color="auto"/>
              <w:bottom w:val="single" w:sz="4" w:space="0" w:color="auto"/>
              <w:right w:val="single" w:sz="4" w:space="0" w:color="auto"/>
            </w:tcBorders>
            <w:hideMark/>
          </w:tcPr>
          <w:p w14:paraId="3CEDF35D" w14:textId="77777777" w:rsidR="00F9514E" w:rsidRPr="005B017D" w:rsidRDefault="00F9514E" w:rsidP="00F9514E">
            <w:pPr>
              <w:pStyle w:val="ListParagraph"/>
              <w:widowControl w:val="0"/>
              <w:numPr>
                <w:ilvl w:val="0"/>
                <w:numId w:val="38"/>
              </w:numPr>
              <w:ind w:left="342"/>
              <w:mirrorIndents/>
              <w:rPr>
                <w:bCs/>
                <w:sz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DFB0C" w14:textId="03A86F13" w:rsidR="00F9514E" w:rsidRDefault="00F9514E" w:rsidP="00F9514E">
            <w:pPr>
              <w:widowControl w:val="0"/>
              <w:contextualSpacing/>
              <w:mirrorIndents/>
              <w:jc w:val="center"/>
              <w:rPr>
                <w:sz w:val="20"/>
              </w:rPr>
            </w:pPr>
            <w:r>
              <w:rPr>
                <w:i/>
                <w:spacing w:val="-2"/>
                <w:sz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4C10B" w14:textId="283D5DD0" w:rsidR="00F9514E" w:rsidRDefault="00F9514E" w:rsidP="00F9514E">
            <w:pPr>
              <w:widowControl w:val="0"/>
              <w:contextualSpacing/>
              <w:mirrorIndents/>
              <w:jc w:val="center"/>
              <w:rPr>
                <w:i/>
                <w:sz w:val="16"/>
                <w:szCs w:val="16"/>
              </w:rPr>
            </w:pPr>
            <w:r w:rsidRPr="005919D5">
              <w:rPr>
                <w:i/>
                <w:sz w:val="16"/>
                <w:szCs w:val="16"/>
              </w:rPr>
              <w:t>$120M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E99FD" w14:textId="5544CF26" w:rsidR="00F9514E" w:rsidRDefault="00F9514E" w:rsidP="00F9514E">
            <w:pPr>
              <w:widowControl w:val="0"/>
              <w:contextualSpacing/>
              <w:mirrorIndents/>
              <w:jc w:val="center"/>
              <w:rPr>
                <w:i/>
                <w:sz w:val="16"/>
                <w:szCs w:val="16"/>
              </w:rPr>
            </w:pPr>
            <w:r w:rsidRPr="005919D5">
              <w:rPr>
                <w:i/>
                <w:sz w:val="16"/>
                <w:szCs w:val="16"/>
              </w:rPr>
              <w:t>$120M</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65455" w14:textId="4BCBD5CC" w:rsidR="00F9514E" w:rsidRDefault="00F9514E" w:rsidP="00F9514E">
            <w:pPr>
              <w:widowControl w:val="0"/>
              <w:contextualSpacing/>
              <w:mirrorIndents/>
              <w:jc w:val="center"/>
              <w:rPr>
                <w:i/>
                <w:sz w:val="16"/>
                <w:szCs w:val="16"/>
              </w:rPr>
            </w:pPr>
            <w:r w:rsidRPr="005919D5">
              <w:rPr>
                <w:i/>
                <w:sz w:val="16"/>
                <w:szCs w:val="16"/>
              </w:rPr>
              <w:t>$120M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DF70D" w14:textId="7323C5FE" w:rsidR="00F9514E" w:rsidRDefault="00F9514E" w:rsidP="00F9514E">
            <w:pPr>
              <w:widowControl w:val="0"/>
              <w:contextualSpacing/>
              <w:mirrorIndents/>
              <w:jc w:val="center"/>
              <w:rPr>
                <w:i/>
                <w:sz w:val="16"/>
                <w:szCs w:val="16"/>
              </w:rPr>
            </w:pP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B9413" w14:textId="273227F0" w:rsidR="00F9514E" w:rsidRDefault="00F9514E" w:rsidP="00F9514E">
            <w:pPr>
              <w:widowControl w:val="0"/>
              <w:contextualSpacing/>
              <w:mirrorIndents/>
              <w:jc w:val="center"/>
              <w:rPr>
                <w:i/>
                <w:sz w:val="16"/>
                <w:szCs w:val="16"/>
              </w:rPr>
            </w:pPr>
          </w:p>
        </w:tc>
      </w:tr>
      <w:tr w:rsidR="00F9514E" w14:paraId="577A7140" w14:textId="77777777" w:rsidTr="00C74EED">
        <w:trPr>
          <w:trHeight w:val="422"/>
          <w:tblHeader/>
        </w:trPr>
        <w:tc>
          <w:tcPr>
            <w:tcW w:w="3235" w:type="dxa"/>
            <w:vMerge w:val="restart"/>
            <w:tcBorders>
              <w:top w:val="single" w:sz="4" w:space="0" w:color="auto"/>
              <w:left w:val="single" w:sz="4" w:space="0" w:color="auto"/>
              <w:right w:val="single" w:sz="4" w:space="0" w:color="auto"/>
            </w:tcBorders>
          </w:tcPr>
          <w:p w14:paraId="705CE94D" w14:textId="5DD044AB" w:rsidR="00F9514E" w:rsidRDefault="00F9514E" w:rsidP="00F9514E">
            <w:pPr>
              <w:pStyle w:val="TableParagraph"/>
              <w:spacing w:line="229" w:lineRule="exact"/>
              <w:rPr>
                <w:sz w:val="20"/>
              </w:rPr>
            </w:pPr>
            <w:r>
              <w:rPr>
                <w:sz w:val="20"/>
              </w:rPr>
              <w:t>New</w:t>
            </w:r>
            <w:r>
              <w:rPr>
                <w:spacing w:val="-4"/>
                <w:sz w:val="20"/>
              </w:rPr>
              <w:t xml:space="preserve"> and Retained Jobs</w:t>
            </w:r>
          </w:p>
          <w:p w14:paraId="4676AEAF" w14:textId="77777777" w:rsidR="00F9514E" w:rsidRPr="002C1BB2" w:rsidRDefault="00F9514E" w:rsidP="00F9514E">
            <w:pPr>
              <w:widowControl w:val="0"/>
              <w:mirrorIndents/>
              <w:rPr>
                <w:bCs/>
                <w:sz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857CC" w14:textId="3AC5D8E5" w:rsidR="00F9514E" w:rsidRDefault="00F9514E" w:rsidP="00F9514E">
            <w:pPr>
              <w:widowControl w:val="0"/>
              <w:contextualSpacing/>
              <w:mirrorIndents/>
              <w:jc w:val="center"/>
              <w:rPr>
                <w:i/>
                <w:spacing w:val="-2"/>
                <w:sz w:val="16"/>
              </w:rPr>
            </w:pPr>
            <w:r>
              <w:rPr>
                <w:spacing w:val="-2"/>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D205A" w14:textId="55A5DDA3" w:rsidR="00F9514E" w:rsidRPr="002C1BB2" w:rsidRDefault="00F9514E" w:rsidP="00F9514E">
            <w:pPr>
              <w:widowControl w:val="0"/>
              <w:contextualSpacing/>
              <w:mirrorIndents/>
              <w:jc w:val="center"/>
              <w:rPr>
                <w:i/>
                <w:sz w:val="20"/>
                <w:szCs w:val="20"/>
              </w:rPr>
            </w:pPr>
            <w:r w:rsidRPr="002C1BB2">
              <w:rPr>
                <w:sz w:val="20"/>
                <w:szCs w:val="20"/>
              </w:rPr>
              <w:t>497</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EDE1C" w14:textId="5734AB7A" w:rsidR="00F9514E" w:rsidRPr="002C1BB2" w:rsidRDefault="00F9514E" w:rsidP="00F9514E">
            <w:pPr>
              <w:widowControl w:val="0"/>
              <w:contextualSpacing/>
              <w:mirrorIndents/>
              <w:jc w:val="center"/>
              <w:rPr>
                <w:i/>
                <w:sz w:val="20"/>
                <w:szCs w:val="20"/>
              </w:rPr>
            </w:pPr>
            <w:r w:rsidRPr="002C1BB2">
              <w:rPr>
                <w:sz w:val="20"/>
                <w:szCs w:val="20"/>
              </w:rPr>
              <w:t>348</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BA19A" w14:textId="1AA34B6D" w:rsidR="00F9514E" w:rsidRPr="002C1BB2" w:rsidRDefault="00F9514E" w:rsidP="00F9514E">
            <w:pPr>
              <w:widowControl w:val="0"/>
              <w:contextualSpacing/>
              <w:mirrorIndents/>
              <w:jc w:val="center"/>
              <w:rPr>
                <w:i/>
                <w:sz w:val="20"/>
                <w:szCs w:val="20"/>
              </w:rPr>
            </w:pPr>
            <w:r w:rsidRPr="002C1BB2">
              <w:rPr>
                <w:sz w:val="20"/>
                <w:szCs w:val="20"/>
              </w:rPr>
              <w:t>440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36B16" w14:textId="17F99901" w:rsidR="00F9514E" w:rsidRPr="002C1BB2" w:rsidRDefault="00F9514E" w:rsidP="00F9514E">
            <w:pPr>
              <w:widowControl w:val="0"/>
              <w:contextualSpacing/>
              <w:mirrorIndents/>
              <w:jc w:val="center"/>
              <w:rPr>
                <w:i/>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FF22C" w14:textId="77777777" w:rsidR="00F9514E" w:rsidRPr="002C1BB2" w:rsidRDefault="00F9514E" w:rsidP="00F9514E">
            <w:pPr>
              <w:widowControl w:val="0"/>
              <w:contextualSpacing/>
              <w:mirrorIndents/>
              <w:jc w:val="center"/>
              <w:rPr>
                <w:i/>
                <w:sz w:val="20"/>
                <w:szCs w:val="20"/>
              </w:rPr>
            </w:pPr>
          </w:p>
        </w:tc>
      </w:tr>
      <w:tr w:rsidR="00F9514E" w14:paraId="609C4673" w14:textId="77777777" w:rsidTr="00C74EED">
        <w:trPr>
          <w:trHeight w:val="368"/>
          <w:tblHeader/>
        </w:trPr>
        <w:tc>
          <w:tcPr>
            <w:tcW w:w="3235" w:type="dxa"/>
            <w:vMerge/>
            <w:tcBorders>
              <w:left w:val="single" w:sz="4" w:space="0" w:color="auto"/>
              <w:bottom w:val="single" w:sz="4" w:space="0" w:color="auto"/>
              <w:right w:val="single" w:sz="4" w:space="0" w:color="auto"/>
            </w:tcBorders>
          </w:tcPr>
          <w:p w14:paraId="0F579A57" w14:textId="77777777" w:rsidR="00F9514E" w:rsidRPr="005B017D" w:rsidRDefault="00F9514E" w:rsidP="00F9514E">
            <w:pPr>
              <w:pStyle w:val="ListParagraph"/>
              <w:widowControl w:val="0"/>
              <w:numPr>
                <w:ilvl w:val="0"/>
                <w:numId w:val="38"/>
              </w:numPr>
              <w:ind w:left="342"/>
              <w:mirrorIndents/>
              <w:rPr>
                <w:bCs/>
                <w:sz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B946" w14:textId="40597CAC" w:rsidR="00F9514E" w:rsidRDefault="00F9514E" w:rsidP="00F9514E">
            <w:pPr>
              <w:widowControl w:val="0"/>
              <w:contextualSpacing/>
              <w:mirrorIndents/>
              <w:jc w:val="center"/>
              <w:rPr>
                <w:i/>
                <w:spacing w:val="-2"/>
                <w:sz w:val="16"/>
              </w:rPr>
            </w:pPr>
            <w:r>
              <w:rPr>
                <w:i/>
                <w:spacing w:val="-2"/>
                <w:sz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878B6" w14:textId="3563A616" w:rsidR="00F9514E" w:rsidRPr="005919D5" w:rsidRDefault="00F9514E" w:rsidP="00F9514E">
            <w:pPr>
              <w:widowControl w:val="0"/>
              <w:contextualSpacing/>
              <w:mirrorIndents/>
              <w:jc w:val="center"/>
              <w:rPr>
                <w:i/>
                <w:sz w:val="16"/>
                <w:szCs w:val="16"/>
              </w:rPr>
            </w:pPr>
            <w:r w:rsidRPr="005919D5">
              <w:rPr>
                <w:i/>
                <w:sz w:val="16"/>
                <w:szCs w:val="16"/>
              </w:rPr>
              <w:t>500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BC67E" w14:textId="4AE7752E" w:rsidR="00F9514E" w:rsidRPr="005919D5" w:rsidRDefault="00F9514E" w:rsidP="00F9514E">
            <w:pPr>
              <w:widowControl w:val="0"/>
              <w:contextualSpacing/>
              <w:mirrorIndents/>
              <w:jc w:val="center"/>
              <w:rPr>
                <w:i/>
                <w:sz w:val="16"/>
                <w:szCs w:val="16"/>
              </w:rPr>
            </w:pPr>
            <w:r w:rsidRPr="005919D5">
              <w:rPr>
                <w:i/>
                <w:sz w:val="16"/>
                <w:szCs w:val="16"/>
              </w:rPr>
              <w:t>500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AAA97" w14:textId="2C8741B9" w:rsidR="00F9514E" w:rsidRPr="005919D5" w:rsidRDefault="00F9514E" w:rsidP="00F9514E">
            <w:pPr>
              <w:widowControl w:val="0"/>
              <w:contextualSpacing/>
              <w:mirrorIndents/>
              <w:jc w:val="center"/>
              <w:rPr>
                <w:i/>
                <w:sz w:val="16"/>
                <w:szCs w:val="16"/>
              </w:rPr>
            </w:pPr>
            <w:r w:rsidRPr="005919D5">
              <w:rPr>
                <w:i/>
                <w:sz w:val="16"/>
                <w:szCs w:val="16"/>
              </w:rPr>
              <w:t>500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F1C06" w14:textId="42DDD0FF" w:rsidR="00F9514E" w:rsidRPr="005919D5" w:rsidRDefault="00F9514E" w:rsidP="00F9514E">
            <w:pPr>
              <w:widowControl w:val="0"/>
              <w:contextualSpacing/>
              <w:mirrorIndents/>
              <w:jc w:val="center"/>
              <w:rPr>
                <w:i/>
                <w:sz w:val="16"/>
                <w:szCs w:val="16"/>
              </w:rPr>
            </w:pP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302B9" w14:textId="77777777" w:rsidR="00F9514E" w:rsidRDefault="00F9514E" w:rsidP="00F9514E">
            <w:pPr>
              <w:widowControl w:val="0"/>
              <w:contextualSpacing/>
              <w:mirrorIndents/>
              <w:jc w:val="center"/>
              <w:rPr>
                <w:i/>
                <w:sz w:val="16"/>
                <w:szCs w:val="16"/>
              </w:rPr>
            </w:pPr>
          </w:p>
        </w:tc>
      </w:tr>
    </w:tbl>
    <w:p w14:paraId="364F4555" w14:textId="77777777" w:rsidR="008207CC" w:rsidRDefault="008207CC" w:rsidP="00B043BB"/>
    <w:p w14:paraId="7613EAA4" w14:textId="77777777" w:rsidR="002427EC" w:rsidRDefault="002427EC" w:rsidP="00B043BB"/>
    <w:p w14:paraId="72A23684" w14:textId="5621D80D" w:rsidR="0062679A" w:rsidRPr="00E82F3D" w:rsidRDefault="007D0379" w:rsidP="0062679A">
      <w:pPr>
        <w:jc w:val="both"/>
        <w:rPr>
          <w:b/>
          <w:bCs/>
          <w:i/>
        </w:rPr>
      </w:pPr>
      <w:r w:rsidRPr="00BE41B3">
        <w:rPr>
          <w:b/>
          <w:bCs/>
        </w:rPr>
        <w:t>Performance Measure Explanatory Note</w:t>
      </w:r>
      <w:r>
        <w:rPr>
          <w:b/>
          <w:bCs/>
        </w:rPr>
        <w:t>s</w:t>
      </w:r>
      <w:r w:rsidR="0062679A" w:rsidRPr="00E82F3D">
        <w:rPr>
          <w:b/>
          <w:bCs/>
        </w:rPr>
        <w:t xml:space="preserve"> </w:t>
      </w:r>
    </w:p>
    <w:p w14:paraId="1DFA96FD" w14:textId="77777777" w:rsidR="00A50BC7" w:rsidRPr="009B1D76" w:rsidRDefault="00A50BC7" w:rsidP="00E80EE2">
      <w:pPr>
        <w:pStyle w:val="BodyText"/>
        <w:rPr>
          <w:szCs w:val="18"/>
        </w:rPr>
      </w:pPr>
      <w:r w:rsidRPr="009B1D76">
        <w:rPr>
          <w:szCs w:val="18"/>
        </w:rPr>
        <w:t>*Measure required by SBOE</w:t>
      </w:r>
    </w:p>
    <w:sectPr w:rsidR="00A50BC7" w:rsidRPr="009B1D76" w:rsidSect="00EC611C">
      <w:headerReference w:type="default" r:id="rId10"/>
      <w:footerReference w:type="default" r:id="rId11"/>
      <w:endnotePr>
        <w:numFmt w:val="decimal"/>
      </w:endnotePr>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42037" w14:textId="77777777" w:rsidR="00522375" w:rsidRDefault="00522375">
      <w:r>
        <w:separator/>
      </w:r>
    </w:p>
  </w:endnote>
  <w:endnote w:type="continuationSeparator" w:id="0">
    <w:p w14:paraId="35212138" w14:textId="77777777" w:rsidR="00522375" w:rsidRDefault="00522375">
      <w:r>
        <w:continuationSeparator/>
      </w:r>
    </w:p>
  </w:endnote>
  <w:endnote w:id="1">
    <w:p w14:paraId="0355398C" w14:textId="30011E39" w:rsidR="000C58DC" w:rsidRDefault="000C58DC">
      <w:pPr>
        <w:pStyle w:val="EndnoteText"/>
        <w:rPr>
          <w:color w:val="000000"/>
        </w:rPr>
      </w:pPr>
      <w:r>
        <w:rPr>
          <w:rStyle w:val="EndnoteReference"/>
        </w:rPr>
        <w:endnoteRef/>
      </w:r>
      <w:r>
        <w:t xml:space="preserve"> </w:t>
      </w:r>
      <w:r>
        <w:rPr>
          <w:color w:val="000000"/>
        </w:rPr>
        <w:t>Indicates the number of officially enrolled students in a major or certificate that is delivered online.</w:t>
      </w:r>
    </w:p>
    <w:p w14:paraId="35F135DE" w14:textId="77777777" w:rsidR="000C58DC" w:rsidRDefault="000C58DC">
      <w:pPr>
        <w:pStyle w:val="EndnoteText"/>
      </w:pPr>
    </w:p>
  </w:endnote>
  <w:endnote w:id="2">
    <w:p w14:paraId="1241C2D0" w14:textId="0880CDBA" w:rsidR="000C58DC" w:rsidRPr="00E91C36" w:rsidRDefault="000C58DC" w:rsidP="00BE44E2">
      <w:pPr>
        <w:pStyle w:val="EndnoteText"/>
        <w:jc w:val="both"/>
      </w:pPr>
      <w:r w:rsidRPr="00E91C36">
        <w:rPr>
          <w:rStyle w:val="EndnoteReference"/>
        </w:rPr>
        <w:endnoteRef/>
      </w:r>
      <w:r w:rsidRPr="00E91C36">
        <w:t xml:space="preserve"> Student credit hours (SCH) earned are based on an end-of-term snapshot. Due to the snapshot timing, some earned credits (e.g., concurrent enrollment credits) may not be included in the total, resulting in the ratio of earned to attempted credits being underreported</w:t>
      </w:r>
      <w:r>
        <w:t xml:space="preserve"> in years prior to FY24</w:t>
      </w:r>
      <w:r w:rsidRPr="00E91C36">
        <w:t>.</w:t>
      </w:r>
    </w:p>
    <w:p w14:paraId="7FDB628D" w14:textId="77777777" w:rsidR="000C58DC" w:rsidRPr="00E91C36" w:rsidRDefault="000C58DC" w:rsidP="00BE44E2">
      <w:pPr>
        <w:pStyle w:val="EndnoteText"/>
        <w:jc w:val="both"/>
      </w:pPr>
    </w:p>
  </w:endnote>
  <w:endnote w:id="3">
    <w:p w14:paraId="2E0C8929" w14:textId="3D44026A" w:rsidR="000C58DC" w:rsidRPr="00E91C36" w:rsidRDefault="000C58DC" w:rsidP="00153ACC">
      <w:pPr>
        <w:pStyle w:val="EndnoteText"/>
        <w:jc w:val="both"/>
      </w:pPr>
      <w:r w:rsidRPr="00E91C36">
        <w:rPr>
          <w:rStyle w:val="EndnoteReference"/>
        </w:rPr>
        <w:endnoteRef/>
      </w:r>
      <w:r w:rsidRPr="00E91C36">
        <w:t xml:space="preserve"> </w:t>
      </w:r>
      <w:r>
        <w:t>Dual (Concurrent)</w:t>
      </w:r>
      <w:r w:rsidRPr="00E91C36">
        <w:t xml:space="preserve"> enrollment credits and students are measures of activity that occur over the entire year at multiple locations using various delivery methods. When providing measures of this activity, counts over the full year (instead of by term) provide the most complete picture of the number of unduplicated students that are enrolled and the number of credits </w:t>
      </w:r>
      <w:r>
        <w:t>taken</w:t>
      </w:r>
      <w:r w:rsidRPr="00E91C36">
        <w:t>. The credits and students align to the totals in the annual Dual Credit Report.</w:t>
      </w:r>
    </w:p>
    <w:p w14:paraId="31F6B81F" w14:textId="77777777" w:rsidR="000C58DC" w:rsidRPr="00E91C36" w:rsidRDefault="000C58DC" w:rsidP="00153ACC">
      <w:pPr>
        <w:pStyle w:val="EndnoteText"/>
        <w:jc w:val="both"/>
      </w:pPr>
    </w:p>
  </w:endnote>
  <w:endnote w:id="4">
    <w:p w14:paraId="61024903" w14:textId="4C82D492" w:rsidR="000C58DC" w:rsidRPr="00E91C36" w:rsidRDefault="000C58DC" w:rsidP="00153ACC">
      <w:pPr>
        <w:pStyle w:val="EndnoteText"/>
        <w:jc w:val="both"/>
      </w:pPr>
      <w:r w:rsidRPr="00E91C36">
        <w:rPr>
          <w:rStyle w:val="EndnoteReference"/>
        </w:rPr>
        <w:endnoteRef/>
      </w:r>
      <w:r w:rsidRPr="00E91C36">
        <w:t xml:space="preserve"> Distance Education is characterized </w:t>
      </w:r>
      <w:proofErr w:type="gramStart"/>
      <w:r w:rsidRPr="00E91C36">
        <w:t>by:</w:t>
      </w:r>
      <w:proofErr w:type="gramEnd"/>
      <w:r w:rsidRPr="00E91C36">
        <w:t xml:space="preserve"> the use of one or more technologies to deliver instruction to students who are separated from the instructor and to support regular and substantive interaction between the students and the instructor, either synchronously or asynchronously. (Summarized from the language in the Higher Education Opportunity Act.) Courses that are taught at a distance using educational technology are referred to as distance education classes; includes course modes of Internet-E, Online, and Remote (which was introduced in 2020-21). Distance education was affected significantly due to the global pandemic and data may continue to shift.</w:t>
      </w:r>
    </w:p>
    <w:p w14:paraId="2FB7EA6F" w14:textId="77777777" w:rsidR="000C58DC" w:rsidRPr="00E91C36" w:rsidRDefault="000C58DC" w:rsidP="00153ACC">
      <w:pPr>
        <w:pStyle w:val="EndnoteText"/>
        <w:jc w:val="both"/>
      </w:pPr>
    </w:p>
  </w:endnote>
  <w:endnote w:id="5">
    <w:p w14:paraId="25A858FD" w14:textId="14952638" w:rsidR="000C58DC" w:rsidRPr="00E91C36" w:rsidRDefault="000C58DC" w:rsidP="00153ACC">
      <w:pPr>
        <w:pStyle w:val="EndnoteText"/>
        <w:jc w:val="both"/>
      </w:pPr>
      <w:r w:rsidRPr="00E91C36">
        <w:rPr>
          <w:rStyle w:val="EndnoteReference"/>
        </w:rPr>
        <w:endnoteRef/>
      </w:r>
      <w:r w:rsidRPr="00E91C36">
        <w:t xml:space="preserve"> The count of awards reflects data submitted to IPEDS. Bachelor’s awards and others include first plus second major. These figures are greater than the total number of graduating students because some graduating students receive multiple awards. 2014-15 was the first year that Boise State </w:t>
      </w:r>
      <w:proofErr w:type="spellStart"/>
      <w:r w:rsidRPr="00E91C36">
        <w:t>transcripted</w:t>
      </w:r>
      <w:proofErr w:type="spellEnd"/>
      <w:r w:rsidRPr="00E91C36">
        <w:t xml:space="preserve"> all undergraduate certificates and, therefore, began reporting these to IPEDS in that year. Data presented for 202</w:t>
      </w:r>
      <w:r>
        <w:t>3</w:t>
      </w:r>
      <w:r w:rsidRPr="00E91C36">
        <w:t>-2</w:t>
      </w:r>
      <w:r>
        <w:t>4</w:t>
      </w:r>
      <w:r w:rsidRPr="00E91C36">
        <w:t xml:space="preserve"> are preliminary as they have not yet been reported to IPEDS.</w:t>
      </w:r>
    </w:p>
    <w:p w14:paraId="43813786" w14:textId="77777777" w:rsidR="000C58DC" w:rsidRPr="00E91C36" w:rsidRDefault="000C58DC" w:rsidP="00153ACC">
      <w:pPr>
        <w:pStyle w:val="EndnoteText"/>
        <w:jc w:val="both"/>
      </w:pPr>
    </w:p>
  </w:endnote>
  <w:endnote w:id="6">
    <w:p w14:paraId="466AB78E" w14:textId="4508FC12" w:rsidR="000C58DC" w:rsidRPr="00E91C36" w:rsidRDefault="000C58DC" w:rsidP="00153ACC">
      <w:pPr>
        <w:pStyle w:val="EndnoteText"/>
        <w:jc w:val="both"/>
      </w:pPr>
      <w:r w:rsidRPr="00E91C36">
        <w:rPr>
          <w:rStyle w:val="EndnoteReference"/>
        </w:rPr>
        <w:endnoteRef/>
      </w:r>
      <w:r w:rsidRPr="00E91C36">
        <w:t xml:space="preserve"> Note that although the Education Specialist degree is a distinct degree type, it is categorized by IPEDS as a “post-master’s certificate.” Boise State awarded the first Ed.S. degrees in 2015-16.</w:t>
      </w:r>
    </w:p>
    <w:p w14:paraId="07108DAB" w14:textId="77777777" w:rsidR="000C58DC" w:rsidRPr="00E91C36" w:rsidRDefault="000C58DC" w:rsidP="00153ACC">
      <w:pPr>
        <w:pStyle w:val="EndnoteText"/>
        <w:jc w:val="both"/>
      </w:pPr>
    </w:p>
  </w:endnote>
  <w:endnote w:id="7">
    <w:p w14:paraId="4F8050E6" w14:textId="34DE2A26" w:rsidR="000C58DC" w:rsidRDefault="000C58DC" w:rsidP="00FC1838">
      <w:pPr>
        <w:pStyle w:val="EndnoteText"/>
        <w:jc w:val="both"/>
      </w:pPr>
      <w:r w:rsidRPr="009B1D76">
        <w:rPr>
          <w:rStyle w:val="EndnoteReference"/>
        </w:rPr>
        <w:endnoteRef/>
      </w:r>
      <w:r w:rsidRPr="009B1D76">
        <w:t xml:space="preserve"> The distinct (</w:t>
      </w:r>
      <w:r>
        <w:t>unduplicated) graduates reflect completers by award level as</w:t>
      </w:r>
      <w:r w:rsidRPr="009B1D76">
        <w:t xml:space="preserve"> submitted to IPEDS. The total of distinct graduates does not equal the sum of the graduates at each level because there is some duplication of individuals between levels (e.g., earning both a graduate certificate and a master’s degree). </w:t>
      </w:r>
      <w:r>
        <w:t>Data presented for 2023-24 are preliminary as they have not yet been reported to IPEDS.</w:t>
      </w:r>
    </w:p>
    <w:p w14:paraId="08AC56E8" w14:textId="77777777" w:rsidR="000C58DC" w:rsidRPr="009B1D76" w:rsidRDefault="000C58DC" w:rsidP="00FC1838">
      <w:pPr>
        <w:pStyle w:val="EndnoteText"/>
        <w:jc w:val="both"/>
      </w:pPr>
    </w:p>
  </w:endnote>
  <w:endnote w:id="8">
    <w:p w14:paraId="63758C94" w14:textId="3DD7A5A3" w:rsidR="000C58DC" w:rsidRDefault="000C58DC" w:rsidP="003C6A70">
      <w:pPr>
        <w:pStyle w:val="EndnoteText"/>
        <w:jc w:val="both"/>
      </w:pPr>
      <w:r w:rsidRPr="009B1D76">
        <w:rPr>
          <w:rStyle w:val="EndnoteReference"/>
        </w:rPr>
        <w:endnoteRef/>
      </w:r>
      <w:r w:rsidRPr="009B1D76">
        <w:t xml:space="preserve"> Retention</w:t>
      </w:r>
      <w:r>
        <w:t xml:space="preserve"> is a measure of entering cohorts returning to enroll one year later</w:t>
      </w:r>
      <w:r w:rsidRPr="009B1D76">
        <w:t xml:space="preserve"> </w:t>
      </w:r>
      <w:r>
        <w:t xml:space="preserve">(e.g., </w:t>
      </w:r>
      <w:r w:rsidRPr="009B1D76">
        <w:t>the percent of the Fall 201</w:t>
      </w:r>
      <w:r>
        <w:t>9</w:t>
      </w:r>
      <w:r w:rsidRPr="009B1D76">
        <w:t xml:space="preserve"> cohort of first time, full-time baccalaureate-seeking freshmen that return to enroll in Fall of 20</w:t>
      </w:r>
      <w:r>
        <w:t>20)</w:t>
      </w:r>
      <w:r w:rsidRPr="009B1D76">
        <w:t xml:space="preserve">. </w:t>
      </w:r>
      <w:r>
        <w:t>Retention rate is calculated in a manner consistent with IPEDS.</w:t>
      </w:r>
      <w:r w:rsidRPr="009B1D76">
        <w:t xml:space="preserve"> </w:t>
      </w:r>
      <w:r w:rsidRPr="00C67F17">
        <w:t xml:space="preserve">The four columns of data represent </w:t>
      </w:r>
      <w:r>
        <w:t>retention rates for the Fall 2020 through Fall 2022 cohorts; Fall 2023 cohort retention is not available until after Fall 2023 census enrollment.</w:t>
      </w:r>
    </w:p>
    <w:p w14:paraId="2F9EE3E8" w14:textId="77777777" w:rsidR="000C58DC" w:rsidRPr="009B1D76" w:rsidRDefault="000C58DC" w:rsidP="003C6A70">
      <w:pPr>
        <w:pStyle w:val="EndnoteText"/>
        <w:jc w:val="both"/>
      </w:pPr>
    </w:p>
  </w:endnote>
  <w:endnote w:id="9">
    <w:p w14:paraId="793EF52D" w14:textId="77777777" w:rsidR="000C58DC" w:rsidRPr="0020174F" w:rsidRDefault="000C58DC" w:rsidP="003C6A70">
      <w:pPr>
        <w:pStyle w:val="EndnoteText"/>
        <w:jc w:val="both"/>
      </w:pPr>
      <w:r w:rsidRPr="009B1D76">
        <w:rPr>
          <w:rStyle w:val="EndnoteReference"/>
        </w:rPr>
        <w:endnoteRef/>
      </w:r>
      <w:r>
        <w:t xml:space="preserve"> </w:t>
      </w:r>
      <w:r w:rsidRPr="004B40E6">
        <w:t>Includes the unduplicated number of annual baccalaureate degree graduates per 100 IPEDS annual undergraduate FTE. It should be noted that IPEDS includes the credits taken by degree seeking and non-degree seeking students in calculating FTE.</w:t>
      </w:r>
    </w:p>
    <w:p w14:paraId="7F50B222" w14:textId="77777777" w:rsidR="000C58DC" w:rsidRPr="009B1D76" w:rsidRDefault="000C58DC" w:rsidP="003C6A70">
      <w:pPr>
        <w:pStyle w:val="EndnoteText"/>
        <w:jc w:val="both"/>
      </w:pPr>
    </w:p>
  </w:endnote>
  <w:endnote w:id="10">
    <w:p w14:paraId="6A449C84" w14:textId="538F8781" w:rsidR="000C58DC" w:rsidRDefault="000C58DC" w:rsidP="00153ACC">
      <w:pPr>
        <w:pStyle w:val="EndnoteText"/>
        <w:jc w:val="both"/>
      </w:pPr>
      <w:r w:rsidRPr="009B1D76">
        <w:rPr>
          <w:rStyle w:val="EndnoteReference"/>
        </w:rPr>
        <w:endnoteRef/>
      </w:r>
      <w:r w:rsidRPr="009B1D76">
        <w:t xml:space="preserve"> </w:t>
      </w:r>
      <w:r w:rsidRPr="0020174F">
        <w:t xml:space="preserve">Includes the unduplicated number of annual baccalaureate degree graduates divided by the fall </w:t>
      </w:r>
      <w:r>
        <w:t>and spring</w:t>
      </w:r>
      <w:r w:rsidRPr="0020174F">
        <w:t xml:space="preserve"> FTE of juniors and seniors. FTE are determined using total fall</w:t>
      </w:r>
      <w:r>
        <w:t xml:space="preserve"> and spring</w:t>
      </w:r>
      <w:r w:rsidRPr="0020174F">
        <w:t xml:space="preserve"> credits of juniors and seniors divided by </w:t>
      </w:r>
      <w:r>
        <w:t>30</w:t>
      </w:r>
      <w:r w:rsidRPr="0020174F">
        <w:t>. This measure depicts the relative efficiency with which upper-division students graduate by controlling for full and part-time enrollment</w:t>
      </w:r>
      <w:r w:rsidRPr="004B40E6">
        <w:t>.</w:t>
      </w:r>
      <w:r>
        <w:t xml:space="preserve"> In prior years, Jr/Sr FTE in the calculation was overreported, thus resulting in an underreported ratio; this calculation was corrected in FY24 for all years shown.</w:t>
      </w:r>
    </w:p>
    <w:p w14:paraId="6535610C" w14:textId="77777777" w:rsidR="000C58DC" w:rsidRPr="009B1D76" w:rsidRDefault="000C58DC" w:rsidP="00153ACC">
      <w:pPr>
        <w:pStyle w:val="EndnoteText"/>
        <w:jc w:val="both"/>
      </w:pPr>
    </w:p>
  </w:endnote>
  <w:endnote w:id="11">
    <w:p w14:paraId="19082DB4" w14:textId="77777777" w:rsidR="000C58DC" w:rsidRDefault="000C58DC" w:rsidP="003C6A70">
      <w:pPr>
        <w:pStyle w:val="EndnoteText"/>
        <w:jc w:val="both"/>
      </w:pPr>
      <w:r w:rsidRPr="009B1D76">
        <w:rPr>
          <w:rStyle w:val="EndnoteReference"/>
        </w:rPr>
        <w:endnoteRef/>
      </w:r>
      <w:r w:rsidRPr="009B1D76">
        <w:t xml:space="preserve"> </w:t>
      </w:r>
      <w:r w:rsidRPr="004B40E6">
        <w:t xml:space="preserve">Includes </w:t>
      </w:r>
      <w:r>
        <w:t xml:space="preserve">the </w:t>
      </w:r>
      <w:r w:rsidRPr="004B40E6">
        <w:t>unduplicated number of annual graduate certificates and master’s and doctoral degree graduates per 100 IPEDS annual graduate FTE. It should be noted that IPEDS includes credits taken by degree seeking and non-degree seeking students in calculating FTE</w:t>
      </w:r>
      <w:r w:rsidRPr="0020174F">
        <w:t>.</w:t>
      </w:r>
    </w:p>
    <w:p w14:paraId="69CE0CAF" w14:textId="77777777" w:rsidR="000C58DC" w:rsidRPr="009B1D76" w:rsidRDefault="000C58DC" w:rsidP="003C6A70">
      <w:pPr>
        <w:pStyle w:val="EndnoteText"/>
      </w:pPr>
    </w:p>
  </w:endnote>
  <w:endnote w:id="12">
    <w:p w14:paraId="292D06DE" w14:textId="1B9F3E6D" w:rsidR="000C58DC" w:rsidRDefault="000C58DC" w:rsidP="003C6A70">
      <w:pPr>
        <w:pStyle w:val="EndnoteText"/>
        <w:jc w:val="both"/>
      </w:pPr>
      <w:r w:rsidRPr="009B1D76">
        <w:rPr>
          <w:rStyle w:val="EndnoteReference"/>
        </w:rPr>
        <w:endnoteRef/>
      </w:r>
      <w:r w:rsidRPr="009B1D76">
        <w:t xml:space="preserve"> WICHE average from Table 1a of annual Tuition and Fees report. </w:t>
      </w:r>
      <w:r w:rsidRPr="004B40E6">
        <w:t xml:space="preserve">We use the average excluding </w:t>
      </w:r>
      <w:proofErr w:type="gramStart"/>
      <w:r w:rsidRPr="004B40E6">
        <w:t>California</w:t>
      </w:r>
      <w:proofErr w:type="gramEnd"/>
      <w:r w:rsidRPr="004B40E6">
        <w:t xml:space="preserve"> and the values were as follows: FY21 $9,154, FY22 $9,305</w:t>
      </w:r>
      <w:r>
        <w:t>, FY23 $9,588, and FY24 $9,840</w:t>
      </w:r>
      <w:r w:rsidRPr="004B40E6">
        <w:t>. A typical report can be found at https://www.wiche.edu/policy-research/</w:t>
      </w:r>
    </w:p>
    <w:p w14:paraId="3F6D43B9" w14:textId="77777777" w:rsidR="000C58DC" w:rsidRPr="009B1D76" w:rsidRDefault="000C58DC" w:rsidP="003C6A70">
      <w:pPr>
        <w:pStyle w:val="EndnoteText"/>
        <w:jc w:val="both"/>
      </w:pPr>
    </w:p>
  </w:endnote>
  <w:endnote w:id="13">
    <w:p w14:paraId="21178CC0" w14:textId="77777777" w:rsidR="000C58DC" w:rsidRPr="00E91C36" w:rsidRDefault="000C58DC" w:rsidP="00153ACC">
      <w:pPr>
        <w:pStyle w:val="EndnoteText"/>
        <w:jc w:val="both"/>
      </w:pPr>
      <w:r w:rsidRPr="00E91C36">
        <w:rPr>
          <w:rStyle w:val="EndnoteReference"/>
        </w:rPr>
        <w:endnoteRef/>
      </w:r>
      <w:r w:rsidRPr="00E91C36">
        <w:t xml:space="preserve"> “Sponsored Projects” refers to externally funded projects of all types (research, instructional, and public service) funded from all sources (federal, state, local, and private).</w:t>
      </w:r>
    </w:p>
    <w:p w14:paraId="1F7F5AFF" w14:textId="77777777" w:rsidR="000C58DC" w:rsidRPr="00E91C36" w:rsidRDefault="000C58DC" w:rsidP="00153ACC">
      <w:pPr>
        <w:pStyle w:val="EndnoteText"/>
        <w:jc w:val="both"/>
      </w:pPr>
    </w:p>
  </w:endnote>
  <w:endnote w:id="14">
    <w:p w14:paraId="4A08196E" w14:textId="746A072C" w:rsidR="000C58DC" w:rsidRDefault="000C58DC" w:rsidP="00153ACC">
      <w:pPr>
        <w:pStyle w:val="EndnoteText"/>
        <w:jc w:val="both"/>
      </w:pPr>
      <w:r w:rsidRPr="00E91C36">
        <w:rPr>
          <w:rStyle w:val="EndnoteReference"/>
        </w:rPr>
        <w:endnoteRef/>
      </w:r>
      <w:r w:rsidRPr="00E91C36">
        <w:t xml:space="preserve"> Reflects the percentage of research grants </w:t>
      </w:r>
      <w:r w:rsidRPr="00E91C36">
        <w:rPr>
          <w:color w:val="222222"/>
          <w:shd w:val="clear" w:color="auto" w:fill="FFFFFF"/>
        </w:rPr>
        <w:t>that have investigators from more than one department. Includes only initial awards in the Research-Basic and Research-Applied categories.</w:t>
      </w:r>
    </w:p>
    <w:p w14:paraId="33C47956" w14:textId="77777777" w:rsidR="000C58DC" w:rsidRPr="009B1D76" w:rsidRDefault="000C58DC" w:rsidP="00153ACC">
      <w:pPr>
        <w:pStyle w:val="EndnoteText"/>
        <w:jc w:val="both"/>
      </w:pPr>
    </w:p>
  </w:endnote>
  <w:endnote w:id="15">
    <w:p w14:paraId="207AC5EA" w14:textId="77777777" w:rsidR="000C58DC" w:rsidRDefault="000C58DC" w:rsidP="003C6A70">
      <w:pPr>
        <w:pStyle w:val="EndnoteText"/>
        <w:jc w:val="both"/>
      </w:pPr>
      <w:r w:rsidRPr="009B1D76">
        <w:rPr>
          <w:rStyle w:val="EndnoteReference"/>
        </w:rPr>
        <w:endnoteRef/>
      </w:r>
      <w:r w:rsidRPr="009B1D76">
        <w:t xml:space="preserve"> Total Research and Development Expenditures are submitted to NSF approximately in March for the previous fiscal year.</w:t>
      </w:r>
    </w:p>
    <w:p w14:paraId="21075EED" w14:textId="77777777" w:rsidR="000C58DC" w:rsidRPr="009B1D76" w:rsidRDefault="000C58DC" w:rsidP="003C6A70">
      <w:pPr>
        <w:pStyle w:val="EndnoteText"/>
        <w:jc w:val="both"/>
      </w:pPr>
    </w:p>
  </w:endnote>
  <w:endnote w:id="16">
    <w:p w14:paraId="3A8E60EE" w14:textId="25ED1BBF" w:rsidR="000C58DC" w:rsidRDefault="000C58DC" w:rsidP="00153ACC">
      <w:pPr>
        <w:pStyle w:val="EndnoteText"/>
        <w:tabs>
          <w:tab w:val="left" w:pos="2700"/>
        </w:tabs>
        <w:jc w:val="both"/>
      </w:pPr>
      <w:r w:rsidRPr="009B1D76">
        <w:rPr>
          <w:rStyle w:val="EndnoteReference"/>
        </w:rPr>
        <w:endnoteRef/>
      </w:r>
      <w:r w:rsidRPr="009B1D76">
        <w:t xml:space="preserve"> </w:t>
      </w:r>
      <w:r>
        <w:t>Four</w:t>
      </w:r>
      <w:r w:rsidRPr="009B1D76">
        <w:t xml:space="preserve">-year graduation rate </w:t>
      </w:r>
      <w:r>
        <w:t xml:space="preserve">is a measure of entering cohorts graduating within a four-year time frame (e.g., </w:t>
      </w:r>
      <w:r w:rsidRPr="009B1D76">
        <w:t>the percent of the Fall 201</w:t>
      </w:r>
      <w:r>
        <w:t>9</w:t>
      </w:r>
      <w:r w:rsidRPr="009B1D76">
        <w:t xml:space="preserve"> cohort of first-time, full-time baccalaureate-seeking freshmen that graduated before the beginning of the fall 20</w:t>
      </w:r>
      <w:r>
        <w:t>23</w:t>
      </w:r>
      <w:r w:rsidRPr="009B1D76">
        <w:t xml:space="preserve"> semester</w:t>
      </w:r>
      <w:r>
        <w:t xml:space="preserve">). </w:t>
      </w:r>
      <w:r w:rsidRPr="00C67F17">
        <w:t>Graduation rate is calculated in a manner consistent with IPEDS. The data represent the rates for the Fall 20</w:t>
      </w:r>
      <w:r>
        <w:t>17</w:t>
      </w:r>
      <w:r w:rsidRPr="00C67F17">
        <w:t xml:space="preserve"> through Fall 20</w:t>
      </w:r>
      <w:r>
        <w:t>19</w:t>
      </w:r>
      <w:r w:rsidRPr="00C67F17">
        <w:t xml:space="preserve"> cohorts</w:t>
      </w:r>
      <w:r>
        <w:t xml:space="preserve">; the graduation </w:t>
      </w:r>
      <w:r w:rsidRPr="00046CE7">
        <w:t>rate for the Fall 20</w:t>
      </w:r>
      <w:r>
        <w:t>20</w:t>
      </w:r>
      <w:r w:rsidRPr="00046CE7">
        <w:t xml:space="preserve"> cohort </w:t>
      </w:r>
      <w:r>
        <w:t xml:space="preserve">will not be available until </w:t>
      </w:r>
      <w:r w:rsidRPr="00046CE7">
        <w:t>after the start of the Fall 202</w:t>
      </w:r>
      <w:r>
        <w:t>4</w:t>
      </w:r>
      <w:r w:rsidRPr="00046CE7">
        <w:t xml:space="preserve"> term</w:t>
      </w:r>
      <w:r>
        <w:t xml:space="preserve"> and will be updated in December per instructions from OSBE</w:t>
      </w:r>
      <w:r w:rsidRPr="00046CE7">
        <w:t>.</w:t>
      </w:r>
    </w:p>
    <w:p w14:paraId="03294E0D" w14:textId="77777777" w:rsidR="000C58DC" w:rsidRPr="009B1D76" w:rsidRDefault="000C58DC" w:rsidP="00153ACC">
      <w:pPr>
        <w:pStyle w:val="EndnoteText"/>
        <w:jc w:val="both"/>
      </w:pPr>
    </w:p>
  </w:endnote>
  <w:endnote w:id="17">
    <w:p w14:paraId="46C59004" w14:textId="4DA580FF" w:rsidR="000C58DC" w:rsidRDefault="000C58DC" w:rsidP="00890E96">
      <w:pPr>
        <w:pStyle w:val="EndnoteText"/>
        <w:tabs>
          <w:tab w:val="left" w:pos="2700"/>
        </w:tabs>
        <w:jc w:val="both"/>
      </w:pPr>
      <w:r w:rsidRPr="009B1D76">
        <w:rPr>
          <w:rStyle w:val="EndnoteReference"/>
        </w:rPr>
        <w:endnoteRef/>
      </w:r>
      <w:r w:rsidRPr="009B1D76">
        <w:t xml:space="preserve"> Six-year graduation rate </w:t>
      </w:r>
      <w:r>
        <w:t xml:space="preserve">is a measure of entering cohorts graduating within a six-year time frame (e.g., </w:t>
      </w:r>
      <w:r w:rsidRPr="009B1D76">
        <w:t>the percent of the Fall 201</w:t>
      </w:r>
      <w:r>
        <w:t>7</w:t>
      </w:r>
      <w:r w:rsidRPr="009B1D76">
        <w:t xml:space="preserve"> cohort of first-time, full-time baccalaureate-seeking freshmen that graduated before the beginning of the fall 20</w:t>
      </w:r>
      <w:r>
        <w:t>23</w:t>
      </w:r>
      <w:r w:rsidRPr="009B1D76">
        <w:t xml:space="preserve"> semester</w:t>
      </w:r>
      <w:r>
        <w:t xml:space="preserve">). </w:t>
      </w:r>
      <w:r w:rsidRPr="00C67F17">
        <w:t>Graduation rate is calculated in a manner consistent with IPEDS. The data represent the rates for the Fall 201</w:t>
      </w:r>
      <w:r>
        <w:t>5</w:t>
      </w:r>
      <w:r w:rsidRPr="00C67F17">
        <w:t xml:space="preserve"> through Fall 201</w:t>
      </w:r>
      <w:r>
        <w:t>7</w:t>
      </w:r>
      <w:r w:rsidRPr="00C67F17">
        <w:t xml:space="preserve"> cohort</w:t>
      </w:r>
      <w:r>
        <w:t>s; the graduation</w:t>
      </w:r>
      <w:r w:rsidRPr="00890E96">
        <w:t xml:space="preserve"> </w:t>
      </w:r>
      <w:r w:rsidRPr="00046CE7">
        <w:t>rate</w:t>
      </w:r>
      <w:r>
        <w:t xml:space="preserve"> </w:t>
      </w:r>
      <w:r w:rsidRPr="00046CE7">
        <w:t>for the Fall 201</w:t>
      </w:r>
      <w:r>
        <w:t>8</w:t>
      </w:r>
      <w:r w:rsidRPr="00046CE7">
        <w:t xml:space="preserve"> cohort </w:t>
      </w:r>
      <w:r>
        <w:t>will</w:t>
      </w:r>
      <w:r w:rsidRPr="00046CE7">
        <w:t xml:space="preserve"> not </w:t>
      </w:r>
      <w:r>
        <w:t xml:space="preserve">be </w:t>
      </w:r>
      <w:r w:rsidRPr="00046CE7">
        <w:t>available until after the start of the Fall 202</w:t>
      </w:r>
      <w:r>
        <w:t>4</w:t>
      </w:r>
      <w:r w:rsidRPr="00046CE7">
        <w:t xml:space="preserve"> term</w:t>
      </w:r>
      <w:r>
        <w:t xml:space="preserve"> and will be updated in December per instructions from OSBE</w:t>
      </w:r>
      <w:r w:rsidRPr="00046CE7">
        <w:t>.</w:t>
      </w:r>
    </w:p>
    <w:p w14:paraId="2432B68E" w14:textId="77777777" w:rsidR="000C58DC" w:rsidRPr="009B1D76" w:rsidRDefault="000C58DC" w:rsidP="00153ACC">
      <w:pPr>
        <w:pStyle w:val="EndnoteText"/>
        <w:jc w:val="both"/>
      </w:pPr>
    </w:p>
  </w:endnote>
  <w:endnote w:id="18">
    <w:p w14:paraId="1A4ED2D3" w14:textId="5CF21204" w:rsidR="000C58DC" w:rsidRDefault="000C58DC" w:rsidP="00153ACC">
      <w:pPr>
        <w:pStyle w:val="EndnoteText"/>
        <w:jc w:val="both"/>
      </w:pPr>
      <w:r w:rsidRPr="009B1D76">
        <w:rPr>
          <w:rStyle w:val="EndnoteReference"/>
        </w:rPr>
        <w:endnoteRef/>
      </w:r>
      <w:r w:rsidRPr="009B1D76">
        <w:t xml:space="preserve"> </w:t>
      </w:r>
      <w:r w:rsidRPr="008B373C">
        <w:t xml:space="preserve">SBOE required metric: math pathways. Based on cohorts of incoming first-time </w:t>
      </w:r>
      <w:proofErr w:type="gramStart"/>
      <w:r w:rsidRPr="008B373C">
        <w:t>bachelor</w:t>
      </w:r>
      <w:proofErr w:type="gramEnd"/>
      <w:r w:rsidRPr="008B373C">
        <w:t xml:space="preserve"> degree seeking </w:t>
      </w:r>
      <w:r>
        <w:t>students</w:t>
      </w:r>
      <w:r w:rsidRPr="008B373C">
        <w:t xml:space="preserve"> (full- plus part-time)</w:t>
      </w:r>
      <w:r>
        <w:t xml:space="preserve"> who complete a gateway course (</w:t>
      </w:r>
      <w:r w:rsidRPr="008B373C">
        <w:t>Math 123</w:t>
      </w:r>
      <w:r>
        <w:t xml:space="preserve"> or higher)</w:t>
      </w:r>
      <w:r w:rsidRPr="008B373C">
        <w:t xml:space="preserve"> within two years (e.g., s</w:t>
      </w:r>
      <w:r>
        <w:t>tudents who entered in fall 2019</w:t>
      </w:r>
      <w:r w:rsidRPr="008B373C">
        <w:t xml:space="preserve"> and completed </w:t>
      </w:r>
      <w:r>
        <w:t>Math 123 or</w:t>
      </w:r>
      <w:r w:rsidRPr="008B373C">
        <w:t xml:space="preserve"> </w:t>
      </w:r>
      <w:r>
        <w:t>higher by the end of summer 2021 are reported for FY21</w:t>
      </w:r>
      <w:r w:rsidRPr="008B373C">
        <w:t>)</w:t>
      </w:r>
      <w:r w:rsidRPr="009B1D76">
        <w:t>.</w:t>
      </w:r>
      <w:r>
        <w:t xml:space="preserve"> All years reflect the same methodology as </w:t>
      </w:r>
      <w:r w:rsidRPr="00B60369">
        <w:t>clarified and refined by OSBE</w:t>
      </w:r>
      <w:r>
        <w:t xml:space="preserve"> over time. </w:t>
      </w:r>
    </w:p>
    <w:p w14:paraId="7041A652" w14:textId="77777777" w:rsidR="000C58DC" w:rsidRPr="009B1D76" w:rsidRDefault="000C58DC" w:rsidP="00153ACC">
      <w:pPr>
        <w:pStyle w:val="EndnoteText"/>
        <w:jc w:val="both"/>
      </w:pPr>
    </w:p>
  </w:endnote>
  <w:endnote w:id="19">
    <w:p w14:paraId="237C3979" w14:textId="60744FD2" w:rsidR="000C58DC" w:rsidRDefault="000C58DC" w:rsidP="00153ACC">
      <w:pPr>
        <w:pStyle w:val="EndnoteText"/>
        <w:jc w:val="both"/>
      </w:pPr>
      <w:r w:rsidRPr="009B1D76">
        <w:rPr>
          <w:rStyle w:val="EndnoteReference"/>
        </w:rPr>
        <w:endnoteRef/>
      </w:r>
      <w:r w:rsidRPr="009B1D76">
        <w:t xml:space="preserve"> </w:t>
      </w:r>
      <w:r w:rsidRPr="008B373C">
        <w:t>SBOE required metric: timely degree completion. Percent of undergraduate, degree-seeking students completing 30 or more credits across one year (defined as summer, fall, and spring term). Based on end-of-term data version. Degree-seeking status is determined as of fall semester unless the student was not enrolled in fall, in which case summer is used</w:t>
      </w:r>
      <w:r>
        <w:t>; s</w:t>
      </w:r>
      <w:r w:rsidRPr="008B373C">
        <w:t>pring term is used to determine degree-seeking status of students enrolled only for the spring term. Excludes students who earned degrees during the reported year and who did not reach the 30-credit threshold. Includes students meeting the criteria regardless of full- or part-time status and the number of terms enrolled in that year. Students enrolled part-time or for a partial year, especially for only one term, would not be expected to complete 30 credits; thus, the denominator may be inflated resulting in a lower percentage reported.</w:t>
      </w:r>
      <w:r>
        <w:t xml:space="preserve"> </w:t>
      </w:r>
      <w:r w:rsidRPr="00C67F17">
        <w:t>As methodology has been clarified and refined by OSBE over time, the data and target</w:t>
      </w:r>
      <w:r>
        <w:t>s have been updated accordingly.</w:t>
      </w:r>
    </w:p>
    <w:p w14:paraId="6FB5AF72" w14:textId="77777777" w:rsidR="000C58DC" w:rsidRPr="009B1D76" w:rsidRDefault="000C58DC" w:rsidP="00153ACC">
      <w:pPr>
        <w:pStyle w:val="EndnoteText"/>
        <w:jc w:val="both"/>
      </w:pPr>
    </w:p>
  </w:endnote>
  <w:endnote w:id="20">
    <w:p w14:paraId="52F4EA8C" w14:textId="008DA3CA" w:rsidR="000C58DC" w:rsidRDefault="000C58DC" w:rsidP="00153ACC">
      <w:pPr>
        <w:pStyle w:val="EndnoteText"/>
        <w:jc w:val="both"/>
      </w:pPr>
      <w:r w:rsidRPr="00AA36BB">
        <w:rPr>
          <w:rStyle w:val="EndnoteReference"/>
        </w:rPr>
        <w:endnoteRef/>
      </w:r>
      <w:r w:rsidRPr="00AA36BB">
        <w:t xml:space="preserve"> SBOE required metric: reform remediation. Percent of undergraduate, degree-seeking students who took a remedial course </w:t>
      </w:r>
      <w:r>
        <w:t>including corequisite remedial courses</w:t>
      </w:r>
      <w:r w:rsidRPr="00AA36BB">
        <w:t xml:space="preserve"> and completed </w:t>
      </w:r>
      <w:r>
        <w:t xml:space="preserve">(C- or above) </w:t>
      </w:r>
      <w:r w:rsidRPr="00AA36BB">
        <w:t>a subsequent credit-bearing, gateway, course (Math 123</w:t>
      </w:r>
      <w:r>
        <w:t xml:space="preserve"> or higher)</w:t>
      </w:r>
      <w:r w:rsidRPr="00AA36BB">
        <w:t xml:space="preserve"> within one year of completing the remedial course (e.g.,</w:t>
      </w:r>
      <w:r w:rsidRPr="00AA36BB">
        <w:rPr>
          <w:rFonts w:asciiTheme="minorHAnsi" w:eastAsia="SimSun" w:hAnsiTheme="minorHAnsi" w:cs="Times New Roman"/>
          <w:sz w:val="18"/>
          <w:szCs w:val="24"/>
          <w:lang w:eastAsia="zh-CN"/>
        </w:rPr>
        <w:t xml:space="preserve"> </w:t>
      </w:r>
      <w:r w:rsidRPr="00AA36BB">
        <w:t xml:space="preserve">students who took </w:t>
      </w:r>
      <w:r>
        <w:t xml:space="preserve">a </w:t>
      </w:r>
      <w:r w:rsidRPr="00AA36BB">
        <w:t>remedial course in fall 20</w:t>
      </w:r>
      <w:r>
        <w:t>22</w:t>
      </w:r>
      <w:r w:rsidRPr="00AA36BB">
        <w:t xml:space="preserve"> and completed a subsequen</w:t>
      </w:r>
      <w:r>
        <w:t>t course by the end of fall 2023</w:t>
      </w:r>
      <w:r w:rsidRPr="00AA36BB">
        <w:t>).</w:t>
      </w:r>
      <w:r>
        <w:t xml:space="preserve"> Students who completed a corequisite remedial course (e.g., 123P) are included as both taking remedial and completing the gateway course. </w:t>
      </w:r>
      <w:r w:rsidRPr="004B40E6">
        <w:t>As methodology has been clarified and refined by OSBE over time, the data and target</w:t>
      </w:r>
      <w:r>
        <w:t xml:space="preserve">s have been updated accordingly. Boise State’s math reforms have been ongoing for </w:t>
      </w:r>
      <w:proofErr w:type="gramStart"/>
      <w:r>
        <w:t>a number of</w:t>
      </w:r>
      <w:proofErr w:type="gramEnd"/>
      <w:r>
        <w:t xml:space="preserve"> years; in FY24, data were updated </w:t>
      </w:r>
      <w:r w:rsidRPr="00E248B6">
        <w:t>for all years shown</w:t>
      </w:r>
      <w:r>
        <w:t xml:space="preserve"> to account for the additional co-requisite offerings that support various math pathways.</w:t>
      </w:r>
    </w:p>
    <w:p w14:paraId="7A9B8BC2" w14:textId="7CEAB37E" w:rsidR="000C58DC" w:rsidRPr="009B1D76" w:rsidRDefault="000C58DC" w:rsidP="00153ACC">
      <w:pPr>
        <w:pStyle w:val="EndnoteText"/>
        <w:jc w:val="both"/>
      </w:pPr>
    </w:p>
  </w:endnote>
  <w:endnote w:id="21">
    <w:p w14:paraId="50084CEC" w14:textId="45CCB5D6" w:rsidR="000C58DC" w:rsidRDefault="000C58DC" w:rsidP="00153ACC">
      <w:pPr>
        <w:pStyle w:val="EndnoteText"/>
        <w:jc w:val="both"/>
      </w:pPr>
      <w:r w:rsidRPr="00AA36BB">
        <w:rPr>
          <w:rStyle w:val="EndnoteReference"/>
        </w:rPr>
        <w:endnoteRef/>
      </w:r>
      <w:r w:rsidRPr="00AA36BB">
        <w:t xml:space="preserve"> SBOE required metric: reform remediation. Percent of undergraduate, degree-seeking stude</w:t>
      </w:r>
      <w:r>
        <w:t xml:space="preserve">nts who took a remedial course </w:t>
      </w:r>
      <w:r w:rsidRPr="00AA36BB">
        <w:t>and completed a subsequent credit-bearing, gateway, course within one year of completing the remedial course</w:t>
      </w:r>
      <w:r>
        <w:t xml:space="preserve">. Boise State uses a corequisite model for English, therefore, this measure is calculated as the number of </w:t>
      </w:r>
      <w:r w:rsidRPr="00AA36BB">
        <w:t>students who t</w:t>
      </w:r>
      <w:r>
        <w:t>ook and completed English 101P in the given academic year</w:t>
      </w:r>
      <w:r w:rsidRPr="00AA36BB">
        <w:t>.</w:t>
      </w:r>
      <w:r>
        <w:t xml:space="preserve"> </w:t>
      </w:r>
      <w:r w:rsidRPr="004B40E6">
        <w:t>As methodology has been clarified and refined by OSBE over time, the data and targets have been updated accordingly.</w:t>
      </w:r>
    </w:p>
    <w:p w14:paraId="5968B07A" w14:textId="6E0C6E79" w:rsidR="000C58DC" w:rsidRDefault="000C58DC" w:rsidP="00153ACC">
      <w:pPr>
        <w:pStyle w:val="EndnoteText"/>
        <w:jc w:val="both"/>
      </w:pPr>
    </w:p>
    <w:p w14:paraId="6DF6FDB5" w14:textId="77777777" w:rsidR="000C58DC" w:rsidRDefault="000C58DC" w:rsidP="00153ACC">
      <w:pPr>
        <w:pStyle w:val="EndnoteText"/>
        <w:jc w:val="both"/>
      </w:pPr>
    </w:p>
    <w:p w14:paraId="697BD30C" w14:textId="5E173E6E" w:rsidR="000C58DC" w:rsidRDefault="000C58DC" w:rsidP="00153ACC">
      <w:pPr>
        <w:pStyle w:val="EndnoteText"/>
        <w:jc w:val="both"/>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200"/>
      </w:tblGrid>
      <w:tr w:rsidR="000C58DC" w:rsidRPr="003D03E5" w14:paraId="2F387971" w14:textId="77777777" w:rsidTr="003C6A70">
        <w:trPr>
          <w:trHeight w:val="1770"/>
          <w:jc w:val="center"/>
        </w:trPr>
        <w:tc>
          <w:tcPr>
            <w:tcW w:w="7200" w:type="dxa"/>
            <w:tcBorders>
              <w:top w:val="threeDEmboss" w:sz="24" w:space="0" w:color="333399"/>
              <w:bottom w:val="threeDEmboss" w:sz="24" w:space="0" w:color="333399"/>
            </w:tcBorders>
          </w:tcPr>
          <w:p w14:paraId="6CAED375" w14:textId="77777777" w:rsidR="000C58DC" w:rsidRPr="003D03E5" w:rsidRDefault="000C58DC" w:rsidP="00BF409F">
            <w:pPr>
              <w:spacing w:before="120"/>
              <w:jc w:val="center"/>
              <w:rPr>
                <w:sz w:val="20"/>
                <w:szCs w:val="20"/>
              </w:rPr>
            </w:pPr>
            <w:r w:rsidRPr="003D03E5">
              <w:rPr>
                <w:b/>
                <w:bCs/>
                <w:sz w:val="20"/>
                <w:szCs w:val="20"/>
              </w:rPr>
              <w:t>For More Information Contact</w:t>
            </w:r>
          </w:p>
          <w:p w14:paraId="09F311F7" w14:textId="77777777" w:rsidR="000C58DC" w:rsidRPr="003D03E5" w:rsidRDefault="000C58DC" w:rsidP="00BF409F">
            <w:pPr>
              <w:ind w:left="252"/>
              <w:rPr>
                <w:noProof/>
                <w:sz w:val="20"/>
                <w:szCs w:val="20"/>
              </w:rPr>
            </w:pPr>
            <w:r>
              <w:rPr>
                <w:noProof/>
                <w:sz w:val="20"/>
                <w:szCs w:val="20"/>
              </w:rPr>
              <w:t>Dr. Marlene Tromp</w:t>
            </w:r>
          </w:p>
          <w:p w14:paraId="4D04D7EB" w14:textId="77777777" w:rsidR="000C58DC" w:rsidRPr="003D03E5" w:rsidRDefault="000C58DC" w:rsidP="00BF409F">
            <w:pPr>
              <w:ind w:left="252"/>
              <w:rPr>
                <w:sz w:val="20"/>
                <w:szCs w:val="20"/>
              </w:rPr>
            </w:pPr>
            <w:r w:rsidRPr="003D03E5">
              <w:rPr>
                <w:noProof/>
                <w:sz w:val="20"/>
                <w:szCs w:val="20"/>
              </w:rPr>
              <w:t>President</w:t>
            </w:r>
          </w:p>
          <w:p w14:paraId="4DDC2C22" w14:textId="77777777" w:rsidR="000C58DC" w:rsidRPr="003D03E5" w:rsidRDefault="000C58DC" w:rsidP="00BF409F">
            <w:pPr>
              <w:ind w:left="252"/>
              <w:rPr>
                <w:sz w:val="20"/>
                <w:szCs w:val="20"/>
              </w:rPr>
            </w:pPr>
            <w:r w:rsidRPr="003D03E5">
              <w:rPr>
                <w:noProof/>
                <w:sz w:val="20"/>
                <w:szCs w:val="20"/>
              </w:rPr>
              <w:t>Boise State University</w:t>
            </w:r>
          </w:p>
          <w:p w14:paraId="1296056C" w14:textId="77777777" w:rsidR="000C58DC" w:rsidRPr="003D03E5" w:rsidRDefault="000C58DC" w:rsidP="00BF409F">
            <w:pPr>
              <w:ind w:left="252"/>
              <w:rPr>
                <w:sz w:val="20"/>
                <w:szCs w:val="20"/>
              </w:rPr>
            </w:pPr>
            <w:r w:rsidRPr="003D03E5">
              <w:rPr>
                <w:noProof/>
                <w:sz w:val="20"/>
                <w:szCs w:val="20"/>
              </w:rPr>
              <w:t>1910 University Dr</w:t>
            </w:r>
          </w:p>
          <w:p w14:paraId="205AB762" w14:textId="77777777" w:rsidR="000C58DC" w:rsidRPr="003D03E5" w:rsidRDefault="000C58DC" w:rsidP="00BF409F">
            <w:pPr>
              <w:ind w:left="252"/>
              <w:rPr>
                <w:sz w:val="20"/>
                <w:szCs w:val="20"/>
                <w:lang w:val="fr-FR"/>
              </w:rPr>
            </w:pPr>
            <w:r w:rsidRPr="003D03E5">
              <w:rPr>
                <w:noProof/>
                <w:sz w:val="20"/>
                <w:szCs w:val="20"/>
                <w:lang w:val="fr-FR"/>
              </w:rPr>
              <w:t>Boise</w:t>
            </w:r>
            <w:r w:rsidRPr="003D03E5">
              <w:rPr>
                <w:sz w:val="20"/>
                <w:szCs w:val="20"/>
                <w:lang w:val="fr-FR"/>
              </w:rPr>
              <w:t xml:space="preserve">, </w:t>
            </w:r>
            <w:r w:rsidRPr="003D03E5">
              <w:rPr>
                <w:noProof/>
                <w:sz w:val="20"/>
                <w:szCs w:val="20"/>
                <w:lang w:val="fr-FR"/>
              </w:rPr>
              <w:t>ID</w:t>
            </w:r>
            <w:r w:rsidRPr="003D03E5">
              <w:rPr>
                <w:sz w:val="20"/>
                <w:szCs w:val="20"/>
                <w:lang w:val="fr-FR"/>
              </w:rPr>
              <w:t xml:space="preserve">  </w:t>
            </w:r>
            <w:r w:rsidRPr="003D03E5">
              <w:rPr>
                <w:noProof/>
                <w:sz w:val="20"/>
                <w:szCs w:val="20"/>
                <w:lang w:val="fr-FR"/>
              </w:rPr>
              <w:t>83725-1000</w:t>
            </w:r>
          </w:p>
          <w:p w14:paraId="5339F874" w14:textId="77777777" w:rsidR="000C58DC" w:rsidRPr="003D03E5" w:rsidRDefault="000C58DC" w:rsidP="00BF409F">
            <w:pPr>
              <w:ind w:left="252"/>
              <w:rPr>
                <w:sz w:val="20"/>
                <w:szCs w:val="20"/>
                <w:lang w:val="fr-FR"/>
              </w:rPr>
            </w:pPr>
            <w:proofErr w:type="gramStart"/>
            <w:r w:rsidRPr="003D03E5">
              <w:rPr>
                <w:sz w:val="20"/>
                <w:szCs w:val="20"/>
                <w:lang w:val="fr-FR"/>
              </w:rPr>
              <w:t>Phone:</w:t>
            </w:r>
            <w:proofErr w:type="gramEnd"/>
            <w:r w:rsidRPr="003D03E5">
              <w:rPr>
                <w:sz w:val="20"/>
                <w:szCs w:val="20"/>
                <w:lang w:val="fr-FR"/>
              </w:rPr>
              <w:t xml:space="preserve"> </w:t>
            </w:r>
            <w:r>
              <w:rPr>
                <w:sz w:val="20"/>
                <w:szCs w:val="20"/>
                <w:lang w:val="fr-FR"/>
              </w:rPr>
              <w:t>208-</w:t>
            </w:r>
            <w:r w:rsidRPr="003D03E5">
              <w:rPr>
                <w:sz w:val="20"/>
                <w:szCs w:val="20"/>
              </w:rPr>
              <w:t>426-1491</w:t>
            </w:r>
          </w:p>
          <w:p w14:paraId="71FD4969" w14:textId="77777777" w:rsidR="000C58DC" w:rsidRPr="003D03E5" w:rsidRDefault="000C58DC" w:rsidP="00BF409F">
            <w:pPr>
              <w:ind w:left="252"/>
              <w:rPr>
                <w:sz w:val="20"/>
                <w:szCs w:val="20"/>
              </w:rPr>
            </w:pPr>
            <w:proofErr w:type="gramStart"/>
            <w:r w:rsidRPr="003D03E5">
              <w:rPr>
                <w:sz w:val="20"/>
                <w:szCs w:val="20"/>
                <w:lang w:val="fr-FR"/>
              </w:rPr>
              <w:t>E-mail:</w:t>
            </w:r>
            <w:proofErr w:type="gramEnd"/>
            <w:r w:rsidRPr="003D03E5">
              <w:rPr>
                <w:sz w:val="20"/>
                <w:szCs w:val="20"/>
                <w:lang w:val="fr-FR"/>
              </w:rPr>
              <w:t xml:space="preserve"> </w:t>
            </w:r>
            <w:hyperlink r:id="rId1" w:history="1">
              <w:r w:rsidRPr="00E64E21">
                <w:rPr>
                  <w:rStyle w:val="Hyperlink"/>
                  <w:sz w:val="20"/>
                  <w:szCs w:val="20"/>
                </w:rPr>
                <w:t>president@boisestate.edu</w:t>
              </w:r>
            </w:hyperlink>
            <w:r w:rsidRPr="003D03E5">
              <w:rPr>
                <w:sz w:val="20"/>
                <w:szCs w:val="20"/>
              </w:rPr>
              <w:t xml:space="preserve">   </w:t>
            </w:r>
          </w:p>
          <w:p w14:paraId="1CF64818" w14:textId="77777777" w:rsidR="000C58DC" w:rsidRPr="003D03E5" w:rsidRDefault="000C58DC" w:rsidP="00BF409F">
            <w:pPr>
              <w:ind w:left="252"/>
              <w:rPr>
                <w:sz w:val="18"/>
                <w:szCs w:val="18"/>
                <w:lang w:val="fr-FR"/>
              </w:rPr>
            </w:pPr>
          </w:p>
        </w:tc>
      </w:tr>
    </w:tbl>
    <w:p w14:paraId="3CC2F87F" w14:textId="77777777" w:rsidR="000C58DC" w:rsidRPr="00AA36BB" w:rsidRDefault="000C58DC" w:rsidP="00153ACC">
      <w:pPr>
        <w:pStyle w:val="EndnoteText"/>
        <w:jc w:val="both"/>
      </w:pPr>
    </w:p>
  </w:endnote>
  <w:endnote w:id="22">
    <w:p w14:paraId="350A5FA5" w14:textId="77777777" w:rsidR="00F9514E" w:rsidRDefault="00F9514E" w:rsidP="008207CC">
      <w:pPr>
        <w:pStyle w:val="EndnoteText"/>
        <w:jc w:val="both"/>
      </w:pPr>
      <w:r>
        <w:rPr>
          <w:rStyle w:val="EndnoteReference"/>
        </w:rPr>
        <w:endnoteRef/>
      </w:r>
      <w:r>
        <w:t xml:space="preserve"> </w:t>
      </w:r>
      <w:r w:rsidRPr="008207CC">
        <w:t>Target based on analysis of historical trends from FY22, FY23 and FY24 with a 5% increase in the average 3 years.</w:t>
      </w:r>
    </w:p>
    <w:p w14:paraId="6A040625" w14:textId="77777777" w:rsidR="00F9514E" w:rsidRDefault="00F9514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9D15" w14:textId="77777777" w:rsidR="00FC1B8C" w:rsidRDefault="00FC1B8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061F6B96" wp14:editId="7E6F1103">
              <wp:simplePos x="0" y="0"/>
              <wp:positionH relativeFrom="column">
                <wp:posOffset>38100</wp:posOffset>
              </wp:positionH>
              <wp:positionV relativeFrom="paragraph">
                <wp:posOffset>9436100</wp:posOffset>
              </wp:positionV>
              <wp:extent cx="825500" cy="177165"/>
              <wp:effectExtent l="0" t="0" r="0" b="0"/>
              <wp:wrapNone/>
              <wp:docPr id="6" name="Rectangle 6"/>
              <wp:cNvGraphicFramePr/>
              <a:graphic xmlns:a="http://schemas.openxmlformats.org/drawingml/2006/main">
                <a:graphicData uri="http://schemas.microsoft.com/office/word/2010/wordprocessingShape">
                  <wps:wsp>
                    <wps:cNvSpPr/>
                    <wps:spPr>
                      <a:xfrm>
                        <a:off x="4938013" y="3696180"/>
                        <a:ext cx="815975" cy="167640"/>
                      </a:xfrm>
                      <a:prstGeom prst="rect">
                        <a:avLst/>
                      </a:prstGeom>
                      <a:noFill/>
                      <a:ln>
                        <a:noFill/>
                      </a:ln>
                    </wps:spPr>
                    <wps:txbx>
                      <w:txbxContent>
                        <w:p w14:paraId="118C3DD0" w14:textId="77777777" w:rsidR="00FC1B8C" w:rsidRDefault="00FC1B8C">
                          <w:pPr>
                            <w:spacing w:before="12"/>
                            <w:ind w:left="20"/>
                            <w:textDirection w:val="btLr"/>
                          </w:pPr>
                          <w:r>
                            <w:rPr>
                              <w:color w:val="000000"/>
                              <w:sz w:val="20"/>
                            </w:rPr>
                            <w:t>State of Idaho</w:t>
                          </w:r>
                        </w:p>
                      </w:txbxContent>
                    </wps:txbx>
                    <wps:bodyPr spcFirstLastPara="1" wrap="square" lIns="0" tIns="0" rIns="0" bIns="0" anchor="t" anchorCtr="0">
                      <a:noAutofit/>
                    </wps:bodyPr>
                  </wps:wsp>
                </a:graphicData>
              </a:graphic>
            </wp:anchor>
          </w:drawing>
        </mc:Choice>
        <mc:Fallback>
          <w:pict>
            <v:rect w14:anchorId="061F6B96" id="Rectangle 6" o:spid="_x0000_s1026" style="position:absolute;margin-left:3pt;margin-top:743pt;width:65pt;height:13.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" filled="f" stroked="f">
              <v:textbox inset="0,0,0,0">
                <w:txbxContent>
                  <w:p w14:paraId="118C3DD0" w14:textId="77777777" w:rsidR="00FC1B8C" w:rsidRDefault="00FC1B8C">
                    <w:pPr>
                      <w:spacing w:before="12"/>
                      <w:ind w:left="20"/>
                      <w:textDirection w:val="btLr"/>
                    </w:pPr>
                    <w:r>
                      <w:rPr>
                        <w:color w:val="000000"/>
                        <w:sz w:val="20"/>
                      </w:rPr>
                      <w:t>State of Idaho</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05EC90C9" wp14:editId="5F7B29B0">
              <wp:simplePos x="0" y="0"/>
              <wp:positionH relativeFrom="column">
                <wp:posOffset>2946400</wp:posOffset>
              </wp:positionH>
              <wp:positionV relativeFrom="paragraph">
                <wp:posOffset>9436100</wp:posOffset>
              </wp:positionV>
              <wp:extent cx="169545" cy="177165"/>
              <wp:effectExtent l="0" t="0" r="0" b="0"/>
              <wp:wrapNone/>
              <wp:docPr id="5" name="Rectangle 5"/>
              <wp:cNvGraphicFramePr/>
              <a:graphic xmlns:a="http://schemas.openxmlformats.org/drawingml/2006/main">
                <a:graphicData uri="http://schemas.microsoft.com/office/word/2010/wordprocessingShape">
                  <wps:wsp>
                    <wps:cNvSpPr/>
                    <wps:spPr>
                      <a:xfrm>
                        <a:off x="5265990" y="3696180"/>
                        <a:ext cx="160020" cy="167640"/>
                      </a:xfrm>
                      <a:prstGeom prst="rect">
                        <a:avLst/>
                      </a:prstGeom>
                      <a:noFill/>
                      <a:ln>
                        <a:noFill/>
                      </a:ln>
                    </wps:spPr>
                    <wps:txbx>
                      <w:txbxContent>
                        <w:p w14:paraId="4C2C0903" w14:textId="77777777" w:rsidR="00FC1B8C" w:rsidRDefault="00FC1B8C">
                          <w:pPr>
                            <w:spacing w:before="12"/>
                            <w:ind w:left="60"/>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05EC90C9" id="Rectangle 5" o:spid="_x0000_s1027" style="position:absolute;margin-left:232pt;margin-top:743pt;width:13.35pt;height:13.9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" filled="f" stroked="f">
              <v:textbox inset="0,0,0,0">
                <w:txbxContent>
                  <w:p w14:paraId="4C2C0903" w14:textId="77777777" w:rsidR="00FC1B8C" w:rsidRDefault="00FC1B8C">
                    <w:pPr>
                      <w:spacing w:before="12"/>
                      <w:ind w:left="60"/>
                      <w:textDirection w:val="btLr"/>
                    </w:pPr>
                    <w:r>
                      <w:rPr>
                        <w:color w:val="000000"/>
                        <w:sz w:val="20"/>
                      </w:rPr>
                      <w:t xml:space="preserve"> PAGE 1</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4195"/>
      <w:docPartObj>
        <w:docPartGallery w:val="Page Numbers (Bottom of Page)"/>
        <w:docPartUnique/>
      </w:docPartObj>
    </w:sdtPr>
    <w:sdtEndPr>
      <w:rPr>
        <w:noProof/>
      </w:rPr>
    </w:sdtEndPr>
    <w:sdtContent>
      <w:p w14:paraId="02518382" w14:textId="77777777" w:rsidR="00522375" w:rsidRPr="00C73FF0" w:rsidRDefault="00522375" w:rsidP="00F10AB0">
        <w:pPr>
          <w:pStyle w:val="Footer"/>
          <w:tabs>
            <w:tab w:val="clear" w:pos="4320"/>
            <w:tab w:val="clear" w:pos="8640"/>
            <w:tab w:val="center" w:pos="4680"/>
            <w:tab w:val="right" w:pos="10080"/>
          </w:tabs>
          <w:rPr>
            <w:sz w:val="20"/>
          </w:rPr>
        </w:pPr>
      </w:p>
      <w:p w14:paraId="4D7CB429" w14:textId="3E2B4253" w:rsidR="00522375" w:rsidRPr="00F10AB0" w:rsidRDefault="00522375" w:rsidP="00F10AB0">
        <w:pPr>
          <w:pStyle w:val="Footer"/>
          <w:tabs>
            <w:tab w:val="clear" w:pos="4320"/>
            <w:tab w:val="clear" w:pos="8640"/>
            <w:tab w:val="center" w:pos="4680"/>
            <w:tab w:val="right" w:pos="10080"/>
          </w:tabs>
          <w:rPr>
            <w:sz w:val="20"/>
            <w:szCs w:val="20"/>
          </w:rPr>
        </w:pPr>
        <w:r>
          <w:rPr>
            <w:sz w:val="20"/>
            <w:szCs w:val="20"/>
          </w:rPr>
          <w:t>State of Idaho</w:t>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6F3FB3">
          <w:rPr>
            <w:noProof/>
            <w:sz w:val="20"/>
            <w:szCs w:val="20"/>
          </w:rPr>
          <w:t>1</w:t>
        </w:r>
        <w:r>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7EEF" w14:textId="77777777" w:rsidR="00522375" w:rsidRDefault="00522375">
      <w:r>
        <w:separator/>
      </w:r>
    </w:p>
  </w:footnote>
  <w:footnote w:type="continuationSeparator" w:id="0">
    <w:p w14:paraId="6DE83AA7" w14:textId="77777777" w:rsidR="00522375" w:rsidRDefault="0052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979F" w14:textId="77777777" w:rsidR="00FC1B8C" w:rsidRDefault="00FC1B8C">
    <w:pPr>
      <w:pBdr>
        <w:top w:val="nil"/>
        <w:left w:val="nil"/>
        <w:bottom w:val="nil"/>
        <w:right w:val="nil"/>
        <w:between w:val="nil"/>
      </w:pBdr>
      <w:spacing w:line="14" w:lineRule="auto"/>
      <w:rPr>
        <w:color w:val="000000"/>
        <w:sz w:val="20"/>
        <w:szCs w:val="20"/>
      </w:rPr>
    </w:pPr>
  </w:p>
  <w:tbl>
    <w:tblPr>
      <w:tblW w:w="1008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80"/>
    </w:tblGrid>
    <w:tr w:rsidR="00FC1B8C" w14:paraId="7C6F466E" w14:textId="77777777">
      <w:trPr>
        <w:trHeight w:val="282"/>
      </w:trPr>
      <w:tc>
        <w:tcPr>
          <w:tcW w:w="10080" w:type="dxa"/>
          <w:tcBorders>
            <w:bottom w:val="nil"/>
          </w:tcBorders>
          <w:shd w:val="clear" w:color="auto" w:fill="000080"/>
        </w:tcPr>
        <w:p w14:paraId="715F9F4D" w14:textId="7E32A53C" w:rsidR="00FC1B8C" w:rsidRDefault="00777A9D">
          <w:pPr>
            <w:pBdr>
              <w:top w:val="nil"/>
              <w:left w:val="nil"/>
              <w:bottom w:val="nil"/>
              <w:right w:val="nil"/>
              <w:between w:val="nil"/>
            </w:pBdr>
            <w:tabs>
              <w:tab w:val="left" w:pos="7970"/>
            </w:tabs>
            <w:spacing w:before="31" w:line="231" w:lineRule="auto"/>
            <w:ind w:left="109"/>
            <w:rPr>
              <w:color w:val="000000"/>
            </w:rPr>
          </w:pPr>
          <w:r>
            <w:rPr>
              <w:b/>
              <w:bCs/>
              <w:noProof/>
              <w:color w:val="FFFFFF"/>
            </w:rPr>
            <w:t>Boise State University</w:t>
          </w:r>
          <w:r w:rsidR="00FC1B8C">
            <w:rPr>
              <w:b/>
              <w:color w:val="FFFFFF"/>
            </w:rPr>
            <w:tab/>
          </w:r>
          <w:r w:rsidR="00FC1B8C">
            <w:rPr>
              <w:color w:val="FFFFFF"/>
            </w:rPr>
            <w:t>Performance Report</w:t>
          </w:r>
        </w:p>
      </w:tc>
    </w:tr>
    <w:tr w:rsidR="00FC1B8C" w14:paraId="660703FD" w14:textId="77777777">
      <w:trPr>
        <w:trHeight w:val="277"/>
      </w:trPr>
      <w:tc>
        <w:tcPr>
          <w:tcW w:w="10080" w:type="dxa"/>
          <w:tcBorders>
            <w:top w:val="nil"/>
          </w:tcBorders>
        </w:tcPr>
        <w:p w14:paraId="53EDD4BC" w14:textId="77777777" w:rsidR="00FC1B8C" w:rsidRDefault="00FC1B8C">
          <w:pPr>
            <w:pBdr>
              <w:top w:val="nil"/>
              <w:left w:val="nil"/>
              <w:bottom w:val="nil"/>
              <w:right w:val="nil"/>
              <w:between w:val="nil"/>
            </w:pBdr>
            <w:rPr>
              <w:rFonts w:ascii="Times New Roman" w:hAnsi="Times New Roman" w:cs="Times New Roman"/>
              <w:color w:val="000000"/>
              <w:sz w:val="20"/>
              <w:szCs w:val="20"/>
            </w:rPr>
          </w:pPr>
        </w:p>
      </w:tc>
    </w:tr>
    <w:tr w:rsidR="00FC1B8C" w14:paraId="10666E53" w14:textId="77777777">
      <w:trPr>
        <w:trHeight w:val="272"/>
      </w:trPr>
      <w:tc>
        <w:tcPr>
          <w:tcW w:w="10080" w:type="dxa"/>
          <w:tcBorders>
            <w:bottom w:val="nil"/>
          </w:tcBorders>
          <w:shd w:val="clear" w:color="auto" w:fill="000080"/>
        </w:tcPr>
        <w:p w14:paraId="3630FCFE" w14:textId="77777777" w:rsidR="00FC1B8C" w:rsidRDefault="00FC1B8C">
          <w:pPr>
            <w:pBdr>
              <w:top w:val="nil"/>
              <w:left w:val="nil"/>
              <w:bottom w:val="nil"/>
              <w:right w:val="nil"/>
              <w:between w:val="nil"/>
            </w:pBdr>
            <w:rPr>
              <w:rFonts w:ascii="Times New Roman" w:hAnsi="Times New Roman" w:cs="Times New Roman"/>
              <w:color w:val="000000"/>
              <w:sz w:val="20"/>
              <w:szCs w:val="20"/>
            </w:rPr>
          </w:pPr>
        </w:p>
      </w:tc>
    </w:tr>
  </w:tbl>
  <w:p w14:paraId="44A315A8" w14:textId="77777777" w:rsidR="00FC1B8C" w:rsidRDefault="00FC1B8C">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320"/>
    </w:tblGrid>
    <w:tr w:rsidR="00522375" w14:paraId="034A3B60" w14:textId="77777777" w:rsidTr="002C665C">
      <w:tc>
        <w:tcPr>
          <w:tcW w:w="10080" w:type="dxa"/>
          <w:shd w:val="clear" w:color="auto" w:fill="000080"/>
        </w:tcPr>
        <w:p w14:paraId="662A63F9" w14:textId="1640392E" w:rsidR="00522375" w:rsidRDefault="00522375" w:rsidP="00E1470D">
          <w:pPr>
            <w:tabs>
              <w:tab w:val="right" w:pos="9852"/>
            </w:tabs>
            <w:rPr>
              <w:color w:val="FFFFFF"/>
            </w:rPr>
          </w:pPr>
          <w:r>
            <w:rPr>
              <w:b/>
              <w:bCs/>
              <w:noProof/>
              <w:color w:val="FFFFFF"/>
            </w:rPr>
            <w:t>Boise State University</w:t>
          </w:r>
          <w:r>
            <w:rPr>
              <w:b/>
              <w:bCs/>
              <w:color w:val="FFFFFF"/>
            </w:rPr>
            <w:tab/>
          </w:r>
          <w:r>
            <w:rPr>
              <w:color w:val="FFFFFF"/>
            </w:rPr>
            <w:t>Performance Report</w:t>
          </w:r>
        </w:p>
      </w:tc>
    </w:tr>
    <w:tr w:rsidR="00522375" w14:paraId="6109BF7F" w14:textId="77777777" w:rsidTr="002C665C">
      <w:trPr>
        <w:trHeight w:hRule="exact" w:val="90"/>
      </w:trPr>
      <w:tc>
        <w:tcPr>
          <w:tcW w:w="10080" w:type="dxa"/>
          <w:tcBorders>
            <w:top w:val="nil"/>
          </w:tcBorders>
        </w:tcPr>
        <w:p w14:paraId="51D48546" w14:textId="77777777" w:rsidR="00522375" w:rsidRDefault="00522375" w:rsidP="00E1470D"/>
      </w:tc>
    </w:tr>
    <w:tr w:rsidR="00522375" w14:paraId="18D64E74" w14:textId="77777777" w:rsidTr="002C665C">
      <w:tc>
        <w:tcPr>
          <w:tcW w:w="10080" w:type="dxa"/>
          <w:tcBorders>
            <w:bottom w:val="nil"/>
          </w:tcBorders>
          <w:shd w:val="clear" w:color="auto" w:fill="000080"/>
        </w:tcPr>
        <w:p w14:paraId="4E045FA6" w14:textId="77777777" w:rsidR="00522375" w:rsidRDefault="00522375" w:rsidP="00E1470D"/>
      </w:tc>
    </w:tr>
  </w:tbl>
  <w:p w14:paraId="708C883D" w14:textId="77777777" w:rsidR="00522375" w:rsidRDefault="00522375" w:rsidP="00E1470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C9A"/>
    <w:multiLevelType w:val="multilevel"/>
    <w:tmpl w:val="8502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40ED4"/>
    <w:multiLevelType w:val="hybridMultilevel"/>
    <w:tmpl w:val="FD16BC38"/>
    <w:lvl w:ilvl="0" w:tplc="02BEABE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833FA"/>
    <w:multiLevelType w:val="multilevel"/>
    <w:tmpl w:val="8F40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30D7B"/>
    <w:multiLevelType w:val="hybridMultilevel"/>
    <w:tmpl w:val="579ED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86314"/>
    <w:multiLevelType w:val="hybridMultilevel"/>
    <w:tmpl w:val="82427BB8"/>
    <w:lvl w:ilvl="0" w:tplc="66A06F66">
      <w:start w:val="8"/>
      <w:numFmt w:val="decimal"/>
      <w:lvlText w:val="%1."/>
      <w:lvlJc w:val="left"/>
      <w:pPr>
        <w:ind w:left="810" w:hanging="360"/>
      </w:pPr>
      <w:rPr>
        <w:rFonts w:eastAsia="Arial Unicode M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84DA6"/>
    <w:multiLevelType w:val="hybridMultilevel"/>
    <w:tmpl w:val="1EDC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64ECB"/>
    <w:multiLevelType w:val="hybridMultilevel"/>
    <w:tmpl w:val="F478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77F3C"/>
    <w:multiLevelType w:val="hybridMultilevel"/>
    <w:tmpl w:val="F058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75E27"/>
    <w:multiLevelType w:val="hybridMultilevel"/>
    <w:tmpl w:val="8DEE5784"/>
    <w:lvl w:ilvl="0" w:tplc="9D9010D6">
      <w:start w:val="4"/>
      <w:numFmt w:val="decimal"/>
      <w:lvlText w:val="%1."/>
      <w:lvlJc w:val="left"/>
      <w:pPr>
        <w:ind w:left="360" w:hanging="360"/>
      </w:pPr>
      <w:rPr>
        <w:rFonts w:eastAsia="Arial Unicode M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A43E0"/>
    <w:multiLevelType w:val="hybridMultilevel"/>
    <w:tmpl w:val="9880D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C15DA"/>
    <w:multiLevelType w:val="hybridMultilevel"/>
    <w:tmpl w:val="E156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11D18"/>
    <w:multiLevelType w:val="hybridMultilevel"/>
    <w:tmpl w:val="BA1EA8E4"/>
    <w:lvl w:ilvl="0" w:tplc="4F387B6E">
      <w:numFmt w:val="bullet"/>
      <w:lvlText w:val="-"/>
      <w:lvlJc w:val="left"/>
      <w:pPr>
        <w:tabs>
          <w:tab w:val="num" w:pos="420"/>
        </w:tabs>
        <w:ind w:left="420" w:hanging="360"/>
      </w:pPr>
      <w:rPr>
        <w:rFonts w:ascii="Arial" w:eastAsia="Times New Roman" w:hAnsi="Aria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9A275B7"/>
    <w:multiLevelType w:val="hybridMultilevel"/>
    <w:tmpl w:val="1FF2EC70"/>
    <w:lvl w:ilvl="0" w:tplc="17BA825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F910BE9"/>
    <w:multiLevelType w:val="hybridMultilevel"/>
    <w:tmpl w:val="24F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16A63"/>
    <w:multiLevelType w:val="hybridMultilevel"/>
    <w:tmpl w:val="55A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C7DBB"/>
    <w:multiLevelType w:val="hybridMultilevel"/>
    <w:tmpl w:val="99003A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4A6822"/>
    <w:multiLevelType w:val="hybridMultilevel"/>
    <w:tmpl w:val="3A10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0587F"/>
    <w:multiLevelType w:val="hybridMultilevel"/>
    <w:tmpl w:val="F328EB56"/>
    <w:lvl w:ilvl="0" w:tplc="EEF27948">
      <w:start w:val="1"/>
      <w:numFmt w:val="decimal"/>
      <w:lvlText w:val="%1."/>
      <w:lvlJc w:val="left"/>
      <w:pPr>
        <w:ind w:left="720" w:hanging="360"/>
      </w:pPr>
      <w:rPr>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334AF"/>
    <w:multiLevelType w:val="hybridMultilevel"/>
    <w:tmpl w:val="CF7C4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383E57"/>
    <w:multiLevelType w:val="hybridMultilevel"/>
    <w:tmpl w:val="0744FEDE"/>
    <w:lvl w:ilvl="0" w:tplc="1BB08914">
      <w:start w:val="1"/>
      <w:numFmt w:val="decimal"/>
      <w:lvlText w:val="%1."/>
      <w:lvlJc w:val="left"/>
      <w:pPr>
        <w:ind w:left="360" w:hanging="360"/>
      </w:pPr>
      <w:rPr>
        <w:rFonts w:eastAsia="Arial Unicode MS" w:hint="default"/>
        <w:color w:val="auto"/>
        <w:sz w:val="22"/>
        <w:szCs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87A3E48"/>
    <w:multiLevelType w:val="hybridMultilevel"/>
    <w:tmpl w:val="84E6F904"/>
    <w:lvl w:ilvl="0" w:tplc="93EE9D20">
      <w:start w:val="4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61497"/>
    <w:multiLevelType w:val="hybridMultilevel"/>
    <w:tmpl w:val="0B309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43CA5"/>
    <w:multiLevelType w:val="hybridMultilevel"/>
    <w:tmpl w:val="A574EBDC"/>
    <w:lvl w:ilvl="0" w:tplc="0409000F">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0B905BB"/>
    <w:multiLevelType w:val="hybridMultilevel"/>
    <w:tmpl w:val="F022076A"/>
    <w:lvl w:ilvl="0" w:tplc="B9404B6A">
      <w:numFmt w:val="bullet"/>
      <w:lvlText w:val=""/>
      <w:lvlJc w:val="left"/>
      <w:pPr>
        <w:ind w:left="460" w:hanging="361"/>
      </w:pPr>
      <w:rPr>
        <w:rFonts w:ascii="Symbol" w:eastAsia="Symbol" w:hAnsi="Symbol" w:cs="Symbol" w:hint="default"/>
        <w:b w:val="0"/>
        <w:bCs w:val="0"/>
        <w:i w:val="0"/>
        <w:iCs w:val="0"/>
        <w:w w:val="99"/>
        <w:sz w:val="20"/>
        <w:szCs w:val="20"/>
        <w:lang w:val="en-US" w:eastAsia="en-US" w:bidi="ar-SA"/>
      </w:rPr>
    </w:lvl>
    <w:lvl w:ilvl="1" w:tplc="8E3E7690">
      <w:numFmt w:val="bullet"/>
      <w:lvlText w:val="-"/>
      <w:lvlJc w:val="left"/>
      <w:pPr>
        <w:ind w:left="700" w:hanging="123"/>
      </w:pPr>
      <w:rPr>
        <w:rFonts w:ascii="Arial" w:eastAsia="Arial" w:hAnsi="Arial" w:cs="Arial" w:hint="default"/>
        <w:b w:val="0"/>
        <w:bCs w:val="0"/>
        <w:i w:val="0"/>
        <w:iCs w:val="0"/>
        <w:w w:val="99"/>
        <w:sz w:val="20"/>
        <w:szCs w:val="20"/>
        <w:lang w:val="en-US" w:eastAsia="en-US" w:bidi="ar-SA"/>
      </w:rPr>
    </w:lvl>
    <w:lvl w:ilvl="2" w:tplc="FA729DA0">
      <w:numFmt w:val="bullet"/>
      <w:lvlText w:val="•"/>
      <w:lvlJc w:val="left"/>
      <w:pPr>
        <w:ind w:left="700" w:hanging="123"/>
      </w:pPr>
      <w:rPr>
        <w:rFonts w:hint="default"/>
        <w:lang w:val="en-US" w:eastAsia="en-US" w:bidi="ar-SA"/>
      </w:rPr>
    </w:lvl>
    <w:lvl w:ilvl="3" w:tplc="884075B6">
      <w:numFmt w:val="bullet"/>
      <w:lvlText w:val="•"/>
      <w:lvlJc w:val="left"/>
      <w:pPr>
        <w:ind w:left="880" w:hanging="123"/>
      </w:pPr>
      <w:rPr>
        <w:rFonts w:hint="default"/>
        <w:lang w:val="en-US" w:eastAsia="en-US" w:bidi="ar-SA"/>
      </w:rPr>
    </w:lvl>
    <w:lvl w:ilvl="4" w:tplc="34A4C036">
      <w:numFmt w:val="bullet"/>
      <w:lvlText w:val="•"/>
      <w:lvlJc w:val="left"/>
      <w:pPr>
        <w:ind w:left="660" w:hanging="123"/>
      </w:pPr>
      <w:rPr>
        <w:rFonts w:hint="default"/>
        <w:lang w:val="en-US" w:eastAsia="en-US" w:bidi="ar-SA"/>
      </w:rPr>
    </w:lvl>
    <w:lvl w:ilvl="5" w:tplc="92D44CA8">
      <w:numFmt w:val="bullet"/>
      <w:lvlText w:val="•"/>
      <w:lvlJc w:val="left"/>
      <w:pPr>
        <w:ind w:left="440" w:hanging="123"/>
      </w:pPr>
      <w:rPr>
        <w:rFonts w:hint="default"/>
        <w:lang w:val="en-US" w:eastAsia="en-US" w:bidi="ar-SA"/>
      </w:rPr>
    </w:lvl>
    <w:lvl w:ilvl="6" w:tplc="4B7C5D16">
      <w:numFmt w:val="bullet"/>
      <w:lvlText w:val="•"/>
      <w:lvlJc w:val="left"/>
      <w:pPr>
        <w:ind w:left="220" w:hanging="123"/>
      </w:pPr>
      <w:rPr>
        <w:rFonts w:hint="default"/>
        <w:lang w:val="en-US" w:eastAsia="en-US" w:bidi="ar-SA"/>
      </w:rPr>
    </w:lvl>
    <w:lvl w:ilvl="7" w:tplc="8BE8BBA0">
      <w:numFmt w:val="bullet"/>
      <w:lvlText w:val="•"/>
      <w:lvlJc w:val="left"/>
      <w:pPr>
        <w:ind w:left="0" w:hanging="123"/>
      </w:pPr>
      <w:rPr>
        <w:rFonts w:hint="default"/>
        <w:lang w:val="en-US" w:eastAsia="en-US" w:bidi="ar-SA"/>
      </w:rPr>
    </w:lvl>
    <w:lvl w:ilvl="8" w:tplc="804ECD36">
      <w:numFmt w:val="bullet"/>
      <w:lvlText w:val="•"/>
      <w:lvlJc w:val="left"/>
      <w:pPr>
        <w:ind w:left="-220" w:hanging="123"/>
      </w:pPr>
      <w:rPr>
        <w:rFonts w:hint="default"/>
        <w:lang w:val="en-US" w:eastAsia="en-US" w:bidi="ar-SA"/>
      </w:rPr>
    </w:lvl>
  </w:abstractNum>
  <w:abstractNum w:abstractNumId="24" w15:restartNumberingAfterBreak="0">
    <w:nsid w:val="50D531A8"/>
    <w:multiLevelType w:val="hybridMultilevel"/>
    <w:tmpl w:val="5B3C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53EEB"/>
    <w:multiLevelType w:val="multilevel"/>
    <w:tmpl w:val="F6FA7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8E5663"/>
    <w:multiLevelType w:val="hybridMultilevel"/>
    <w:tmpl w:val="EF181A9C"/>
    <w:lvl w:ilvl="0" w:tplc="AAF612F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F0CDF"/>
    <w:multiLevelType w:val="hybridMultilevel"/>
    <w:tmpl w:val="52F26B64"/>
    <w:lvl w:ilvl="0" w:tplc="7B0628DC">
      <w:start w:val="1"/>
      <w:numFmt w:val="decimal"/>
      <w:lvlText w:val="%1."/>
      <w:lvlJc w:val="left"/>
      <w:pPr>
        <w:ind w:left="810" w:hanging="360"/>
      </w:pPr>
      <w:rPr>
        <w:i w:val="0"/>
        <w:color w:val="auto"/>
        <w:sz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15:restartNumberingAfterBreak="0">
    <w:nsid w:val="56D6073F"/>
    <w:multiLevelType w:val="multilevel"/>
    <w:tmpl w:val="5A7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36EA8"/>
    <w:multiLevelType w:val="hybridMultilevel"/>
    <w:tmpl w:val="F8A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D4770"/>
    <w:multiLevelType w:val="hybridMultilevel"/>
    <w:tmpl w:val="A9CC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D3E2E"/>
    <w:multiLevelType w:val="hybridMultilevel"/>
    <w:tmpl w:val="4D92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F6F00"/>
    <w:multiLevelType w:val="hybridMultilevel"/>
    <w:tmpl w:val="323EB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12B96"/>
    <w:multiLevelType w:val="hybridMultilevel"/>
    <w:tmpl w:val="454E49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600855"/>
    <w:multiLevelType w:val="hybridMultilevel"/>
    <w:tmpl w:val="97844C96"/>
    <w:lvl w:ilvl="0" w:tplc="B0B824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C3A74"/>
    <w:multiLevelType w:val="hybridMultilevel"/>
    <w:tmpl w:val="BB2E65B0"/>
    <w:lvl w:ilvl="0" w:tplc="A0B233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13554"/>
    <w:multiLevelType w:val="hybridMultilevel"/>
    <w:tmpl w:val="2F88C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680B20"/>
    <w:multiLevelType w:val="hybridMultilevel"/>
    <w:tmpl w:val="E8AA7A7E"/>
    <w:lvl w:ilvl="0" w:tplc="15FCD2C2">
      <w:numFmt w:val="bullet"/>
      <w:lvlText w:val=""/>
      <w:lvlJc w:val="left"/>
      <w:pPr>
        <w:ind w:left="720" w:hanging="360"/>
      </w:pPr>
      <w:rPr>
        <w:rFonts w:ascii="Symbol" w:eastAsia="Times New Roman" w:hAnsi="Symbo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87483"/>
    <w:multiLevelType w:val="multilevel"/>
    <w:tmpl w:val="379E2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147C56"/>
    <w:multiLevelType w:val="hybridMultilevel"/>
    <w:tmpl w:val="6D68B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85C16"/>
    <w:multiLevelType w:val="hybridMultilevel"/>
    <w:tmpl w:val="A0CEA91C"/>
    <w:lvl w:ilvl="0" w:tplc="C84A77E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8714A"/>
    <w:multiLevelType w:val="hybridMultilevel"/>
    <w:tmpl w:val="2384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052559">
    <w:abstractNumId w:val="11"/>
  </w:num>
  <w:num w:numId="2" w16cid:durableId="633799614">
    <w:abstractNumId w:val="7"/>
  </w:num>
  <w:num w:numId="3" w16cid:durableId="1956784350">
    <w:abstractNumId w:val="14"/>
  </w:num>
  <w:num w:numId="4" w16cid:durableId="1434397144">
    <w:abstractNumId w:val="31"/>
  </w:num>
  <w:num w:numId="5" w16cid:durableId="1967344287">
    <w:abstractNumId w:val="13"/>
  </w:num>
  <w:num w:numId="6" w16cid:durableId="364016703">
    <w:abstractNumId w:val="41"/>
  </w:num>
  <w:num w:numId="7" w16cid:durableId="1498112514">
    <w:abstractNumId w:val="21"/>
  </w:num>
  <w:num w:numId="8" w16cid:durableId="462968146">
    <w:abstractNumId w:val="9"/>
  </w:num>
  <w:num w:numId="9" w16cid:durableId="138349832">
    <w:abstractNumId w:val="19"/>
  </w:num>
  <w:num w:numId="10" w16cid:durableId="189925528">
    <w:abstractNumId w:val="22"/>
  </w:num>
  <w:num w:numId="11" w16cid:durableId="616714813">
    <w:abstractNumId w:val="32"/>
  </w:num>
  <w:num w:numId="12" w16cid:durableId="1028333235">
    <w:abstractNumId w:val="39"/>
  </w:num>
  <w:num w:numId="13" w16cid:durableId="1313756917">
    <w:abstractNumId w:val="10"/>
  </w:num>
  <w:num w:numId="14" w16cid:durableId="1331250672">
    <w:abstractNumId w:val="16"/>
  </w:num>
  <w:num w:numId="15" w16cid:durableId="282733174">
    <w:abstractNumId w:val="8"/>
  </w:num>
  <w:num w:numId="16" w16cid:durableId="1602643547">
    <w:abstractNumId w:val="30"/>
  </w:num>
  <w:num w:numId="17" w16cid:durableId="275605230">
    <w:abstractNumId w:val="18"/>
  </w:num>
  <w:num w:numId="18" w16cid:durableId="1923295790">
    <w:abstractNumId w:val="27"/>
  </w:num>
  <w:num w:numId="19" w16cid:durableId="2018187941">
    <w:abstractNumId w:val="4"/>
  </w:num>
  <w:num w:numId="20" w16cid:durableId="2049060028">
    <w:abstractNumId w:val="25"/>
  </w:num>
  <w:num w:numId="21" w16cid:durableId="73019089">
    <w:abstractNumId w:val="38"/>
  </w:num>
  <w:num w:numId="22" w16cid:durableId="963929521">
    <w:abstractNumId w:val="0"/>
  </w:num>
  <w:num w:numId="23" w16cid:durableId="1375545284">
    <w:abstractNumId w:val="27"/>
  </w:num>
  <w:num w:numId="24" w16cid:durableId="415058248">
    <w:abstractNumId w:val="12"/>
  </w:num>
  <w:num w:numId="25" w16cid:durableId="25568686">
    <w:abstractNumId w:val="35"/>
  </w:num>
  <w:num w:numId="26" w16cid:durableId="1936094181">
    <w:abstractNumId w:val="17"/>
  </w:num>
  <w:num w:numId="27" w16cid:durableId="600795396">
    <w:abstractNumId w:val="20"/>
  </w:num>
  <w:num w:numId="28" w16cid:durableId="1935169224">
    <w:abstractNumId w:val="34"/>
  </w:num>
  <w:num w:numId="29" w16cid:durableId="1561937589">
    <w:abstractNumId w:val="36"/>
  </w:num>
  <w:num w:numId="30" w16cid:durableId="727921270">
    <w:abstractNumId w:val="2"/>
  </w:num>
  <w:num w:numId="31" w16cid:durableId="1617758739">
    <w:abstractNumId w:val="33"/>
  </w:num>
  <w:num w:numId="32" w16cid:durableId="632759372">
    <w:abstractNumId w:val="37"/>
  </w:num>
  <w:num w:numId="33" w16cid:durableId="104008560">
    <w:abstractNumId w:val="1"/>
  </w:num>
  <w:num w:numId="34" w16cid:durableId="1478106257">
    <w:abstractNumId w:val="28"/>
  </w:num>
  <w:num w:numId="35" w16cid:durableId="1750078375">
    <w:abstractNumId w:val="3"/>
  </w:num>
  <w:num w:numId="36" w16cid:durableId="1016686933">
    <w:abstractNumId w:val="15"/>
  </w:num>
  <w:num w:numId="37" w16cid:durableId="1027146547">
    <w:abstractNumId w:val="23"/>
  </w:num>
  <w:num w:numId="38" w16cid:durableId="371464146">
    <w:abstractNumId w:val="40"/>
  </w:num>
  <w:num w:numId="39" w16cid:durableId="1444111161">
    <w:abstractNumId w:val="26"/>
  </w:num>
  <w:num w:numId="40" w16cid:durableId="595405578">
    <w:abstractNumId w:val="24"/>
  </w:num>
  <w:num w:numId="41" w16cid:durableId="401027642">
    <w:abstractNumId w:val="6"/>
  </w:num>
  <w:num w:numId="42" w16cid:durableId="616330835">
    <w:abstractNumId w:val="5"/>
  </w:num>
  <w:num w:numId="43" w16cid:durableId="14467733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187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xNbY0tjQyMDI1sbBQ0lEKTi0uzszPAykwqQUAsWztMSwAAAA="/>
  </w:docVars>
  <w:rsids>
    <w:rsidRoot w:val="009E08AA"/>
    <w:rsid w:val="00002788"/>
    <w:rsid w:val="00003824"/>
    <w:rsid w:val="00004539"/>
    <w:rsid w:val="00005F35"/>
    <w:rsid w:val="00005F9B"/>
    <w:rsid w:val="0000647A"/>
    <w:rsid w:val="00006B66"/>
    <w:rsid w:val="00007275"/>
    <w:rsid w:val="000077A0"/>
    <w:rsid w:val="00007B14"/>
    <w:rsid w:val="00007D99"/>
    <w:rsid w:val="000110CB"/>
    <w:rsid w:val="000114AD"/>
    <w:rsid w:val="0001217A"/>
    <w:rsid w:val="00013149"/>
    <w:rsid w:val="00013B12"/>
    <w:rsid w:val="00013CA6"/>
    <w:rsid w:val="000140D1"/>
    <w:rsid w:val="00016E28"/>
    <w:rsid w:val="00020008"/>
    <w:rsid w:val="00020474"/>
    <w:rsid w:val="00020845"/>
    <w:rsid w:val="00021B70"/>
    <w:rsid w:val="00021EB5"/>
    <w:rsid w:val="00023640"/>
    <w:rsid w:val="00025524"/>
    <w:rsid w:val="00025555"/>
    <w:rsid w:val="00026845"/>
    <w:rsid w:val="0002762E"/>
    <w:rsid w:val="00030F32"/>
    <w:rsid w:val="000311CA"/>
    <w:rsid w:val="0003266E"/>
    <w:rsid w:val="00032BBE"/>
    <w:rsid w:val="00033B02"/>
    <w:rsid w:val="00033B2B"/>
    <w:rsid w:val="00035A7C"/>
    <w:rsid w:val="0003678D"/>
    <w:rsid w:val="000379DA"/>
    <w:rsid w:val="000401E6"/>
    <w:rsid w:val="000405AD"/>
    <w:rsid w:val="000409A4"/>
    <w:rsid w:val="000410FD"/>
    <w:rsid w:val="0004215D"/>
    <w:rsid w:val="00042426"/>
    <w:rsid w:val="000439D7"/>
    <w:rsid w:val="00043BEB"/>
    <w:rsid w:val="00043C85"/>
    <w:rsid w:val="000442CF"/>
    <w:rsid w:val="00044453"/>
    <w:rsid w:val="00045E42"/>
    <w:rsid w:val="00046CE7"/>
    <w:rsid w:val="00050851"/>
    <w:rsid w:val="00050C2B"/>
    <w:rsid w:val="0005190B"/>
    <w:rsid w:val="00051DE8"/>
    <w:rsid w:val="00052146"/>
    <w:rsid w:val="000528C5"/>
    <w:rsid w:val="00052A9D"/>
    <w:rsid w:val="0005307C"/>
    <w:rsid w:val="00053CB2"/>
    <w:rsid w:val="0005467C"/>
    <w:rsid w:val="00055967"/>
    <w:rsid w:val="00055BFD"/>
    <w:rsid w:val="00055CAB"/>
    <w:rsid w:val="0005650B"/>
    <w:rsid w:val="000604B3"/>
    <w:rsid w:val="00060C12"/>
    <w:rsid w:val="000616CB"/>
    <w:rsid w:val="00061C7B"/>
    <w:rsid w:val="00062146"/>
    <w:rsid w:val="000634D5"/>
    <w:rsid w:val="0006375E"/>
    <w:rsid w:val="00063DAB"/>
    <w:rsid w:val="00065702"/>
    <w:rsid w:val="00065E7D"/>
    <w:rsid w:val="00070C23"/>
    <w:rsid w:val="00070DAA"/>
    <w:rsid w:val="000720BB"/>
    <w:rsid w:val="00072557"/>
    <w:rsid w:val="00072A16"/>
    <w:rsid w:val="00072E2B"/>
    <w:rsid w:val="0007382F"/>
    <w:rsid w:val="00074F89"/>
    <w:rsid w:val="0007608E"/>
    <w:rsid w:val="000765BA"/>
    <w:rsid w:val="00080EB3"/>
    <w:rsid w:val="000810A0"/>
    <w:rsid w:val="00082013"/>
    <w:rsid w:val="000830AE"/>
    <w:rsid w:val="00084C00"/>
    <w:rsid w:val="00084D2D"/>
    <w:rsid w:val="00085137"/>
    <w:rsid w:val="0008610E"/>
    <w:rsid w:val="0008655C"/>
    <w:rsid w:val="000923AD"/>
    <w:rsid w:val="00092E5A"/>
    <w:rsid w:val="000941F9"/>
    <w:rsid w:val="00094BD5"/>
    <w:rsid w:val="00094D91"/>
    <w:rsid w:val="00095928"/>
    <w:rsid w:val="00096C0D"/>
    <w:rsid w:val="00096E6B"/>
    <w:rsid w:val="000978A8"/>
    <w:rsid w:val="000A08E7"/>
    <w:rsid w:val="000A0E60"/>
    <w:rsid w:val="000A0F31"/>
    <w:rsid w:val="000A18D9"/>
    <w:rsid w:val="000A198C"/>
    <w:rsid w:val="000A28E7"/>
    <w:rsid w:val="000A365E"/>
    <w:rsid w:val="000A39AA"/>
    <w:rsid w:val="000A413D"/>
    <w:rsid w:val="000A41E5"/>
    <w:rsid w:val="000A478E"/>
    <w:rsid w:val="000A5521"/>
    <w:rsid w:val="000A610F"/>
    <w:rsid w:val="000A6BD3"/>
    <w:rsid w:val="000B0FCF"/>
    <w:rsid w:val="000B21CF"/>
    <w:rsid w:val="000B21F9"/>
    <w:rsid w:val="000B28D7"/>
    <w:rsid w:val="000B30BD"/>
    <w:rsid w:val="000B5883"/>
    <w:rsid w:val="000B6544"/>
    <w:rsid w:val="000B68F0"/>
    <w:rsid w:val="000B69D8"/>
    <w:rsid w:val="000B7459"/>
    <w:rsid w:val="000B75AB"/>
    <w:rsid w:val="000C336E"/>
    <w:rsid w:val="000C58DC"/>
    <w:rsid w:val="000C5906"/>
    <w:rsid w:val="000C6334"/>
    <w:rsid w:val="000C6EE4"/>
    <w:rsid w:val="000C74AA"/>
    <w:rsid w:val="000C7CB5"/>
    <w:rsid w:val="000D0249"/>
    <w:rsid w:val="000D087F"/>
    <w:rsid w:val="000D0C6E"/>
    <w:rsid w:val="000D274F"/>
    <w:rsid w:val="000D4D24"/>
    <w:rsid w:val="000D4F30"/>
    <w:rsid w:val="000D5AD0"/>
    <w:rsid w:val="000D5EC3"/>
    <w:rsid w:val="000D761D"/>
    <w:rsid w:val="000E36F4"/>
    <w:rsid w:val="000E4ABC"/>
    <w:rsid w:val="000E538F"/>
    <w:rsid w:val="000E6133"/>
    <w:rsid w:val="000E7354"/>
    <w:rsid w:val="000F12DC"/>
    <w:rsid w:val="000F22E5"/>
    <w:rsid w:val="000F29F8"/>
    <w:rsid w:val="000F2B0D"/>
    <w:rsid w:val="000F2C42"/>
    <w:rsid w:val="000F3435"/>
    <w:rsid w:val="000F3B3B"/>
    <w:rsid w:val="000F43FB"/>
    <w:rsid w:val="000F63CC"/>
    <w:rsid w:val="000F6623"/>
    <w:rsid w:val="000F6B4A"/>
    <w:rsid w:val="000F705C"/>
    <w:rsid w:val="001007FC"/>
    <w:rsid w:val="00100A20"/>
    <w:rsid w:val="0010317B"/>
    <w:rsid w:val="001036B5"/>
    <w:rsid w:val="001058E9"/>
    <w:rsid w:val="00105EA1"/>
    <w:rsid w:val="0010618A"/>
    <w:rsid w:val="0010618F"/>
    <w:rsid w:val="00106A86"/>
    <w:rsid w:val="00106EC7"/>
    <w:rsid w:val="00106F56"/>
    <w:rsid w:val="0010731C"/>
    <w:rsid w:val="00107B9F"/>
    <w:rsid w:val="00107DD8"/>
    <w:rsid w:val="00112636"/>
    <w:rsid w:val="00112AF8"/>
    <w:rsid w:val="001130C2"/>
    <w:rsid w:val="0011341C"/>
    <w:rsid w:val="00113588"/>
    <w:rsid w:val="001135CD"/>
    <w:rsid w:val="00114F54"/>
    <w:rsid w:val="0011622B"/>
    <w:rsid w:val="0011738B"/>
    <w:rsid w:val="00121BCF"/>
    <w:rsid w:val="00122018"/>
    <w:rsid w:val="00122EEF"/>
    <w:rsid w:val="00123073"/>
    <w:rsid w:val="00123159"/>
    <w:rsid w:val="00123220"/>
    <w:rsid w:val="00123C47"/>
    <w:rsid w:val="00126046"/>
    <w:rsid w:val="0012661E"/>
    <w:rsid w:val="00126D54"/>
    <w:rsid w:val="0012793E"/>
    <w:rsid w:val="00127E32"/>
    <w:rsid w:val="0013181C"/>
    <w:rsid w:val="00132191"/>
    <w:rsid w:val="00133B08"/>
    <w:rsid w:val="00134425"/>
    <w:rsid w:val="00134A90"/>
    <w:rsid w:val="0013654B"/>
    <w:rsid w:val="001375B1"/>
    <w:rsid w:val="00137772"/>
    <w:rsid w:val="00137DB1"/>
    <w:rsid w:val="001423B1"/>
    <w:rsid w:val="001432DB"/>
    <w:rsid w:val="00143AE8"/>
    <w:rsid w:val="00143D8C"/>
    <w:rsid w:val="00144374"/>
    <w:rsid w:val="00147C7D"/>
    <w:rsid w:val="00150CBB"/>
    <w:rsid w:val="00151CDB"/>
    <w:rsid w:val="00152521"/>
    <w:rsid w:val="0015320C"/>
    <w:rsid w:val="00153ACC"/>
    <w:rsid w:val="00153DF3"/>
    <w:rsid w:val="0015521E"/>
    <w:rsid w:val="0015572B"/>
    <w:rsid w:val="00157A49"/>
    <w:rsid w:val="001616F6"/>
    <w:rsid w:val="00161CEA"/>
    <w:rsid w:val="00161E94"/>
    <w:rsid w:val="00164DCE"/>
    <w:rsid w:val="00165C01"/>
    <w:rsid w:val="00166A1D"/>
    <w:rsid w:val="00166D5E"/>
    <w:rsid w:val="00167984"/>
    <w:rsid w:val="00171098"/>
    <w:rsid w:val="00172580"/>
    <w:rsid w:val="001727F2"/>
    <w:rsid w:val="00174688"/>
    <w:rsid w:val="0017509E"/>
    <w:rsid w:val="0017573E"/>
    <w:rsid w:val="00175BFE"/>
    <w:rsid w:val="001773F3"/>
    <w:rsid w:val="0018032F"/>
    <w:rsid w:val="001808C3"/>
    <w:rsid w:val="00181094"/>
    <w:rsid w:val="001816EB"/>
    <w:rsid w:val="001818E2"/>
    <w:rsid w:val="00182F6F"/>
    <w:rsid w:val="001839D1"/>
    <w:rsid w:val="00183A0F"/>
    <w:rsid w:val="00183FE9"/>
    <w:rsid w:val="00185D2E"/>
    <w:rsid w:val="00186D6C"/>
    <w:rsid w:val="00187A90"/>
    <w:rsid w:val="00190B98"/>
    <w:rsid w:val="00190EEC"/>
    <w:rsid w:val="0019151E"/>
    <w:rsid w:val="00193A5B"/>
    <w:rsid w:val="0019430A"/>
    <w:rsid w:val="00194790"/>
    <w:rsid w:val="00194A30"/>
    <w:rsid w:val="00195AA8"/>
    <w:rsid w:val="00195EB8"/>
    <w:rsid w:val="00196BD6"/>
    <w:rsid w:val="0019750D"/>
    <w:rsid w:val="0019758B"/>
    <w:rsid w:val="001A0D02"/>
    <w:rsid w:val="001A0E07"/>
    <w:rsid w:val="001A22C1"/>
    <w:rsid w:val="001A2798"/>
    <w:rsid w:val="001A27A2"/>
    <w:rsid w:val="001A2E59"/>
    <w:rsid w:val="001A3D9E"/>
    <w:rsid w:val="001A409E"/>
    <w:rsid w:val="001A452A"/>
    <w:rsid w:val="001A5045"/>
    <w:rsid w:val="001A5A01"/>
    <w:rsid w:val="001A62D1"/>
    <w:rsid w:val="001A7444"/>
    <w:rsid w:val="001B180F"/>
    <w:rsid w:val="001B1847"/>
    <w:rsid w:val="001B23F6"/>
    <w:rsid w:val="001B2B78"/>
    <w:rsid w:val="001B2FEC"/>
    <w:rsid w:val="001B6984"/>
    <w:rsid w:val="001B6F87"/>
    <w:rsid w:val="001B79AC"/>
    <w:rsid w:val="001C04C7"/>
    <w:rsid w:val="001C3BAC"/>
    <w:rsid w:val="001C4F47"/>
    <w:rsid w:val="001C5F58"/>
    <w:rsid w:val="001C6911"/>
    <w:rsid w:val="001C6B50"/>
    <w:rsid w:val="001C6BEC"/>
    <w:rsid w:val="001D0223"/>
    <w:rsid w:val="001D0434"/>
    <w:rsid w:val="001D07EA"/>
    <w:rsid w:val="001D0A9B"/>
    <w:rsid w:val="001D0DB8"/>
    <w:rsid w:val="001D1A12"/>
    <w:rsid w:val="001D1DB5"/>
    <w:rsid w:val="001D521B"/>
    <w:rsid w:val="001D5CC9"/>
    <w:rsid w:val="001D71C6"/>
    <w:rsid w:val="001E1463"/>
    <w:rsid w:val="001E17EE"/>
    <w:rsid w:val="001E1D6E"/>
    <w:rsid w:val="001E2221"/>
    <w:rsid w:val="001E243D"/>
    <w:rsid w:val="001E3DB8"/>
    <w:rsid w:val="001E6782"/>
    <w:rsid w:val="001E73D0"/>
    <w:rsid w:val="001E7533"/>
    <w:rsid w:val="001E78A3"/>
    <w:rsid w:val="001E7D3E"/>
    <w:rsid w:val="001E7F53"/>
    <w:rsid w:val="001F056E"/>
    <w:rsid w:val="001F2AD5"/>
    <w:rsid w:val="001F31C1"/>
    <w:rsid w:val="001F43BF"/>
    <w:rsid w:val="001F4BEB"/>
    <w:rsid w:val="001F5ACA"/>
    <w:rsid w:val="001F67EC"/>
    <w:rsid w:val="001F7BF9"/>
    <w:rsid w:val="0020027E"/>
    <w:rsid w:val="002005B1"/>
    <w:rsid w:val="00200B8D"/>
    <w:rsid w:val="0020174F"/>
    <w:rsid w:val="00201A66"/>
    <w:rsid w:val="00202320"/>
    <w:rsid w:val="002044CB"/>
    <w:rsid w:val="00204EFE"/>
    <w:rsid w:val="00205F27"/>
    <w:rsid w:val="002074E0"/>
    <w:rsid w:val="002076DC"/>
    <w:rsid w:val="00210453"/>
    <w:rsid w:val="00210C22"/>
    <w:rsid w:val="00211CAE"/>
    <w:rsid w:val="00212703"/>
    <w:rsid w:val="00212976"/>
    <w:rsid w:val="002130AB"/>
    <w:rsid w:val="00213129"/>
    <w:rsid w:val="0021378A"/>
    <w:rsid w:val="002142E4"/>
    <w:rsid w:val="00214ED3"/>
    <w:rsid w:val="00216253"/>
    <w:rsid w:val="002165F2"/>
    <w:rsid w:val="002173E6"/>
    <w:rsid w:val="00217455"/>
    <w:rsid w:val="0021760B"/>
    <w:rsid w:val="002201FD"/>
    <w:rsid w:val="00220B6B"/>
    <w:rsid w:val="00220BD8"/>
    <w:rsid w:val="00220F16"/>
    <w:rsid w:val="0022133C"/>
    <w:rsid w:val="00221AE5"/>
    <w:rsid w:val="002222E2"/>
    <w:rsid w:val="002229EC"/>
    <w:rsid w:val="002239F9"/>
    <w:rsid w:val="00224A78"/>
    <w:rsid w:val="00224F1E"/>
    <w:rsid w:val="00225BE0"/>
    <w:rsid w:val="00226474"/>
    <w:rsid w:val="00230AEA"/>
    <w:rsid w:val="002313C4"/>
    <w:rsid w:val="002326BF"/>
    <w:rsid w:val="002331C9"/>
    <w:rsid w:val="0023593C"/>
    <w:rsid w:val="002361C2"/>
    <w:rsid w:val="00236EE9"/>
    <w:rsid w:val="00240544"/>
    <w:rsid w:val="002405A2"/>
    <w:rsid w:val="002427EC"/>
    <w:rsid w:val="00243046"/>
    <w:rsid w:val="002431E1"/>
    <w:rsid w:val="00244A16"/>
    <w:rsid w:val="00245D5F"/>
    <w:rsid w:val="0024684C"/>
    <w:rsid w:val="00250EC8"/>
    <w:rsid w:val="00250F8F"/>
    <w:rsid w:val="00251B42"/>
    <w:rsid w:val="00252409"/>
    <w:rsid w:val="00253412"/>
    <w:rsid w:val="00255922"/>
    <w:rsid w:val="0025618B"/>
    <w:rsid w:val="00256891"/>
    <w:rsid w:val="00257F59"/>
    <w:rsid w:val="002603B7"/>
    <w:rsid w:val="00260A16"/>
    <w:rsid w:val="00260C84"/>
    <w:rsid w:val="00261684"/>
    <w:rsid w:val="00261B69"/>
    <w:rsid w:val="00262824"/>
    <w:rsid w:val="00263399"/>
    <w:rsid w:val="00263F2B"/>
    <w:rsid w:val="00265EB4"/>
    <w:rsid w:val="0026639E"/>
    <w:rsid w:val="00266797"/>
    <w:rsid w:val="00266B49"/>
    <w:rsid w:val="00266B4C"/>
    <w:rsid w:val="002673BF"/>
    <w:rsid w:val="00267528"/>
    <w:rsid w:val="00267DA7"/>
    <w:rsid w:val="00267FCD"/>
    <w:rsid w:val="00270BF6"/>
    <w:rsid w:val="00271F47"/>
    <w:rsid w:val="00272256"/>
    <w:rsid w:val="002729F1"/>
    <w:rsid w:val="00272BDD"/>
    <w:rsid w:val="00273156"/>
    <w:rsid w:val="00273D9D"/>
    <w:rsid w:val="00274C45"/>
    <w:rsid w:val="00274EBB"/>
    <w:rsid w:val="00276248"/>
    <w:rsid w:val="00276D75"/>
    <w:rsid w:val="002812E4"/>
    <w:rsid w:val="002858F5"/>
    <w:rsid w:val="00285C0B"/>
    <w:rsid w:val="00286327"/>
    <w:rsid w:val="00290D7B"/>
    <w:rsid w:val="002913DE"/>
    <w:rsid w:val="00291414"/>
    <w:rsid w:val="0029153C"/>
    <w:rsid w:val="00292EB4"/>
    <w:rsid w:val="00293207"/>
    <w:rsid w:val="00294625"/>
    <w:rsid w:val="00297693"/>
    <w:rsid w:val="002979F7"/>
    <w:rsid w:val="002A07A9"/>
    <w:rsid w:val="002A09CA"/>
    <w:rsid w:val="002A17B6"/>
    <w:rsid w:val="002A1916"/>
    <w:rsid w:val="002A2875"/>
    <w:rsid w:val="002A2BF4"/>
    <w:rsid w:val="002A61D1"/>
    <w:rsid w:val="002A6C39"/>
    <w:rsid w:val="002A7BA2"/>
    <w:rsid w:val="002A7FD7"/>
    <w:rsid w:val="002B0D50"/>
    <w:rsid w:val="002B1128"/>
    <w:rsid w:val="002B140C"/>
    <w:rsid w:val="002B1D78"/>
    <w:rsid w:val="002B3081"/>
    <w:rsid w:val="002B3B21"/>
    <w:rsid w:val="002B431C"/>
    <w:rsid w:val="002B4A5D"/>
    <w:rsid w:val="002B4AAE"/>
    <w:rsid w:val="002B6AD7"/>
    <w:rsid w:val="002C03CD"/>
    <w:rsid w:val="002C0EA5"/>
    <w:rsid w:val="002C1A2D"/>
    <w:rsid w:val="002C1BB2"/>
    <w:rsid w:val="002C1F05"/>
    <w:rsid w:val="002C3070"/>
    <w:rsid w:val="002C3441"/>
    <w:rsid w:val="002C4598"/>
    <w:rsid w:val="002C4C27"/>
    <w:rsid w:val="002C4D3C"/>
    <w:rsid w:val="002C5288"/>
    <w:rsid w:val="002C5D4C"/>
    <w:rsid w:val="002C665C"/>
    <w:rsid w:val="002D0B56"/>
    <w:rsid w:val="002D11B8"/>
    <w:rsid w:val="002D25D9"/>
    <w:rsid w:val="002D2D4C"/>
    <w:rsid w:val="002D2F7C"/>
    <w:rsid w:val="002D37AC"/>
    <w:rsid w:val="002D5DB5"/>
    <w:rsid w:val="002D5FEE"/>
    <w:rsid w:val="002D6A7D"/>
    <w:rsid w:val="002D6E8B"/>
    <w:rsid w:val="002D705D"/>
    <w:rsid w:val="002E066B"/>
    <w:rsid w:val="002E4223"/>
    <w:rsid w:val="002E4659"/>
    <w:rsid w:val="002E6118"/>
    <w:rsid w:val="002E6278"/>
    <w:rsid w:val="002E6D27"/>
    <w:rsid w:val="002F03B2"/>
    <w:rsid w:val="002F08AD"/>
    <w:rsid w:val="002F0935"/>
    <w:rsid w:val="002F0B40"/>
    <w:rsid w:val="002F0D35"/>
    <w:rsid w:val="002F1E35"/>
    <w:rsid w:val="002F501D"/>
    <w:rsid w:val="002F582B"/>
    <w:rsid w:val="002F6977"/>
    <w:rsid w:val="002F7806"/>
    <w:rsid w:val="00300907"/>
    <w:rsid w:val="00300993"/>
    <w:rsid w:val="00301EF0"/>
    <w:rsid w:val="00301FDE"/>
    <w:rsid w:val="0030291E"/>
    <w:rsid w:val="0030386F"/>
    <w:rsid w:val="0030511E"/>
    <w:rsid w:val="00306350"/>
    <w:rsid w:val="003068D2"/>
    <w:rsid w:val="00306A7D"/>
    <w:rsid w:val="00307808"/>
    <w:rsid w:val="00307D7A"/>
    <w:rsid w:val="0031074D"/>
    <w:rsid w:val="00310A59"/>
    <w:rsid w:val="0031418A"/>
    <w:rsid w:val="0031507D"/>
    <w:rsid w:val="003154C9"/>
    <w:rsid w:val="00316A1C"/>
    <w:rsid w:val="003170E4"/>
    <w:rsid w:val="00317908"/>
    <w:rsid w:val="00317AC2"/>
    <w:rsid w:val="00317EDB"/>
    <w:rsid w:val="00317F10"/>
    <w:rsid w:val="003207C2"/>
    <w:rsid w:val="00320CC2"/>
    <w:rsid w:val="0032100E"/>
    <w:rsid w:val="0032161F"/>
    <w:rsid w:val="00323B5D"/>
    <w:rsid w:val="0032420B"/>
    <w:rsid w:val="00324BE7"/>
    <w:rsid w:val="003318E3"/>
    <w:rsid w:val="00331E3E"/>
    <w:rsid w:val="00331FC0"/>
    <w:rsid w:val="00332B60"/>
    <w:rsid w:val="00333443"/>
    <w:rsid w:val="003339FD"/>
    <w:rsid w:val="003346AD"/>
    <w:rsid w:val="00334F15"/>
    <w:rsid w:val="00334F57"/>
    <w:rsid w:val="0033514F"/>
    <w:rsid w:val="00335322"/>
    <w:rsid w:val="0033579C"/>
    <w:rsid w:val="003363CB"/>
    <w:rsid w:val="0033670E"/>
    <w:rsid w:val="003370F2"/>
    <w:rsid w:val="00343216"/>
    <w:rsid w:val="00345057"/>
    <w:rsid w:val="003453A4"/>
    <w:rsid w:val="0034572D"/>
    <w:rsid w:val="00345DC9"/>
    <w:rsid w:val="00345E91"/>
    <w:rsid w:val="003503BC"/>
    <w:rsid w:val="00350409"/>
    <w:rsid w:val="00350693"/>
    <w:rsid w:val="00352D88"/>
    <w:rsid w:val="00354424"/>
    <w:rsid w:val="00354807"/>
    <w:rsid w:val="00354908"/>
    <w:rsid w:val="00355B8B"/>
    <w:rsid w:val="00356E8E"/>
    <w:rsid w:val="003575FE"/>
    <w:rsid w:val="003621C5"/>
    <w:rsid w:val="003630BE"/>
    <w:rsid w:val="00363975"/>
    <w:rsid w:val="00365017"/>
    <w:rsid w:val="003651BA"/>
    <w:rsid w:val="00365B75"/>
    <w:rsid w:val="00366D3F"/>
    <w:rsid w:val="00366F05"/>
    <w:rsid w:val="003670F9"/>
    <w:rsid w:val="00373A28"/>
    <w:rsid w:val="00375C62"/>
    <w:rsid w:val="00375FFF"/>
    <w:rsid w:val="003764C9"/>
    <w:rsid w:val="003768BA"/>
    <w:rsid w:val="003772FA"/>
    <w:rsid w:val="00380772"/>
    <w:rsid w:val="00380ED6"/>
    <w:rsid w:val="00381D7E"/>
    <w:rsid w:val="00381E4B"/>
    <w:rsid w:val="00382DB2"/>
    <w:rsid w:val="003854DC"/>
    <w:rsid w:val="00385815"/>
    <w:rsid w:val="00385858"/>
    <w:rsid w:val="00386932"/>
    <w:rsid w:val="00387C20"/>
    <w:rsid w:val="00387FCC"/>
    <w:rsid w:val="00390A99"/>
    <w:rsid w:val="00391371"/>
    <w:rsid w:val="003921E4"/>
    <w:rsid w:val="003926C7"/>
    <w:rsid w:val="00392F9B"/>
    <w:rsid w:val="003931F6"/>
    <w:rsid w:val="00394143"/>
    <w:rsid w:val="00395167"/>
    <w:rsid w:val="00396A9A"/>
    <w:rsid w:val="003A1610"/>
    <w:rsid w:val="003A1BD3"/>
    <w:rsid w:val="003A206D"/>
    <w:rsid w:val="003A283F"/>
    <w:rsid w:val="003A3220"/>
    <w:rsid w:val="003A3B7D"/>
    <w:rsid w:val="003A792B"/>
    <w:rsid w:val="003A7A6B"/>
    <w:rsid w:val="003B0FC4"/>
    <w:rsid w:val="003B19E1"/>
    <w:rsid w:val="003B2B16"/>
    <w:rsid w:val="003B2E27"/>
    <w:rsid w:val="003B2E6A"/>
    <w:rsid w:val="003B3D50"/>
    <w:rsid w:val="003B3DB9"/>
    <w:rsid w:val="003B4377"/>
    <w:rsid w:val="003B47C8"/>
    <w:rsid w:val="003B4D16"/>
    <w:rsid w:val="003B51A8"/>
    <w:rsid w:val="003B7481"/>
    <w:rsid w:val="003C0C70"/>
    <w:rsid w:val="003C1052"/>
    <w:rsid w:val="003C1269"/>
    <w:rsid w:val="003C38ED"/>
    <w:rsid w:val="003C5433"/>
    <w:rsid w:val="003C5B31"/>
    <w:rsid w:val="003C6119"/>
    <w:rsid w:val="003C6317"/>
    <w:rsid w:val="003C6A70"/>
    <w:rsid w:val="003D03E5"/>
    <w:rsid w:val="003D092F"/>
    <w:rsid w:val="003D12D6"/>
    <w:rsid w:val="003D1797"/>
    <w:rsid w:val="003D2677"/>
    <w:rsid w:val="003D3228"/>
    <w:rsid w:val="003D4460"/>
    <w:rsid w:val="003D5887"/>
    <w:rsid w:val="003D69A6"/>
    <w:rsid w:val="003D7B60"/>
    <w:rsid w:val="003D7DAC"/>
    <w:rsid w:val="003D7E95"/>
    <w:rsid w:val="003E27DB"/>
    <w:rsid w:val="003E3144"/>
    <w:rsid w:val="003E3363"/>
    <w:rsid w:val="003E38DF"/>
    <w:rsid w:val="003E3E3F"/>
    <w:rsid w:val="003E5AF1"/>
    <w:rsid w:val="003E6111"/>
    <w:rsid w:val="003E6A8B"/>
    <w:rsid w:val="003F0726"/>
    <w:rsid w:val="003F0A3B"/>
    <w:rsid w:val="003F1824"/>
    <w:rsid w:val="003F187E"/>
    <w:rsid w:val="003F24DB"/>
    <w:rsid w:val="003F2B5A"/>
    <w:rsid w:val="003F2BA6"/>
    <w:rsid w:val="003F513A"/>
    <w:rsid w:val="003F5837"/>
    <w:rsid w:val="003F5A2C"/>
    <w:rsid w:val="003F5C2F"/>
    <w:rsid w:val="003F5C3A"/>
    <w:rsid w:val="003F614A"/>
    <w:rsid w:val="003F76BE"/>
    <w:rsid w:val="003F7944"/>
    <w:rsid w:val="00401238"/>
    <w:rsid w:val="00401BF5"/>
    <w:rsid w:val="00402CCC"/>
    <w:rsid w:val="004041ED"/>
    <w:rsid w:val="00404DDC"/>
    <w:rsid w:val="00404F4B"/>
    <w:rsid w:val="0040742F"/>
    <w:rsid w:val="00407C30"/>
    <w:rsid w:val="00410A8A"/>
    <w:rsid w:val="0041201A"/>
    <w:rsid w:val="004120AB"/>
    <w:rsid w:val="00412539"/>
    <w:rsid w:val="00412B9F"/>
    <w:rsid w:val="00413827"/>
    <w:rsid w:val="00414316"/>
    <w:rsid w:val="0041458A"/>
    <w:rsid w:val="004147A9"/>
    <w:rsid w:val="004157CE"/>
    <w:rsid w:val="00415913"/>
    <w:rsid w:val="0042199F"/>
    <w:rsid w:val="004225C1"/>
    <w:rsid w:val="0042275D"/>
    <w:rsid w:val="004227B0"/>
    <w:rsid w:val="00423AD9"/>
    <w:rsid w:val="00424E68"/>
    <w:rsid w:val="00425698"/>
    <w:rsid w:val="00426254"/>
    <w:rsid w:val="0042700B"/>
    <w:rsid w:val="00427556"/>
    <w:rsid w:val="004302AE"/>
    <w:rsid w:val="00430DF5"/>
    <w:rsid w:val="00431891"/>
    <w:rsid w:val="004324EC"/>
    <w:rsid w:val="00432B88"/>
    <w:rsid w:val="00432EE6"/>
    <w:rsid w:val="00433547"/>
    <w:rsid w:val="00434E7B"/>
    <w:rsid w:val="00435B3E"/>
    <w:rsid w:val="00435D68"/>
    <w:rsid w:val="00435EAB"/>
    <w:rsid w:val="004362A9"/>
    <w:rsid w:val="00437A95"/>
    <w:rsid w:val="004401FD"/>
    <w:rsid w:val="00440B86"/>
    <w:rsid w:val="00440C5B"/>
    <w:rsid w:val="00441148"/>
    <w:rsid w:val="00441E98"/>
    <w:rsid w:val="0044224E"/>
    <w:rsid w:val="004437B3"/>
    <w:rsid w:val="00444B78"/>
    <w:rsid w:val="00445024"/>
    <w:rsid w:val="004450C8"/>
    <w:rsid w:val="00445755"/>
    <w:rsid w:val="00445A56"/>
    <w:rsid w:val="00446534"/>
    <w:rsid w:val="00446C5B"/>
    <w:rsid w:val="00447A34"/>
    <w:rsid w:val="00450323"/>
    <w:rsid w:val="0045284E"/>
    <w:rsid w:val="00452DFD"/>
    <w:rsid w:val="00452ED4"/>
    <w:rsid w:val="004531FD"/>
    <w:rsid w:val="004533B5"/>
    <w:rsid w:val="00453480"/>
    <w:rsid w:val="00453616"/>
    <w:rsid w:val="00454D41"/>
    <w:rsid w:val="004569E9"/>
    <w:rsid w:val="00457BBF"/>
    <w:rsid w:val="004601BB"/>
    <w:rsid w:val="0046046D"/>
    <w:rsid w:val="00460A03"/>
    <w:rsid w:val="00461977"/>
    <w:rsid w:val="00462A53"/>
    <w:rsid w:val="00463767"/>
    <w:rsid w:val="00465785"/>
    <w:rsid w:val="0046659A"/>
    <w:rsid w:val="00466BBD"/>
    <w:rsid w:val="00466DFE"/>
    <w:rsid w:val="004708FD"/>
    <w:rsid w:val="00474C1B"/>
    <w:rsid w:val="00475B39"/>
    <w:rsid w:val="00476DB4"/>
    <w:rsid w:val="004779A4"/>
    <w:rsid w:val="004800A0"/>
    <w:rsid w:val="004810E4"/>
    <w:rsid w:val="0048141D"/>
    <w:rsid w:val="00481CD5"/>
    <w:rsid w:val="0048411B"/>
    <w:rsid w:val="004846F3"/>
    <w:rsid w:val="00485834"/>
    <w:rsid w:val="00486AF5"/>
    <w:rsid w:val="004911F2"/>
    <w:rsid w:val="004915C1"/>
    <w:rsid w:val="00494357"/>
    <w:rsid w:val="00494BD5"/>
    <w:rsid w:val="00494CF4"/>
    <w:rsid w:val="00494E95"/>
    <w:rsid w:val="00495443"/>
    <w:rsid w:val="00496440"/>
    <w:rsid w:val="00496718"/>
    <w:rsid w:val="0049792E"/>
    <w:rsid w:val="004A0717"/>
    <w:rsid w:val="004A27FF"/>
    <w:rsid w:val="004A2E41"/>
    <w:rsid w:val="004A3081"/>
    <w:rsid w:val="004A3276"/>
    <w:rsid w:val="004A367E"/>
    <w:rsid w:val="004A3930"/>
    <w:rsid w:val="004A3E23"/>
    <w:rsid w:val="004A4917"/>
    <w:rsid w:val="004A4B42"/>
    <w:rsid w:val="004A5181"/>
    <w:rsid w:val="004A5BD6"/>
    <w:rsid w:val="004A711E"/>
    <w:rsid w:val="004A7556"/>
    <w:rsid w:val="004A7B16"/>
    <w:rsid w:val="004A7B58"/>
    <w:rsid w:val="004B00D2"/>
    <w:rsid w:val="004B0B97"/>
    <w:rsid w:val="004B1011"/>
    <w:rsid w:val="004B1743"/>
    <w:rsid w:val="004B1A59"/>
    <w:rsid w:val="004B2DD2"/>
    <w:rsid w:val="004B3723"/>
    <w:rsid w:val="004B3A9D"/>
    <w:rsid w:val="004B40E6"/>
    <w:rsid w:val="004B4324"/>
    <w:rsid w:val="004B4FF0"/>
    <w:rsid w:val="004B516F"/>
    <w:rsid w:val="004B77E6"/>
    <w:rsid w:val="004B7F56"/>
    <w:rsid w:val="004C0D34"/>
    <w:rsid w:val="004C24C6"/>
    <w:rsid w:val="004C34F1"/>
    <w:rsid w:val="004C47D3"/>
    <w:rsid w:val="004C4EAB"/>
    <w:rsid w:val="004C5145"/>
    <w:rsid w:val="004C52C7"/>
    <w:rsid w:val="004C5E5E"/>
    <w:rsid w:val="004C61C5"/>
    <w:rsid w:val="004C722A"/>
    <w:rsid w:val="004D0DBE"/>
    <w:rsid w:val="004D22F2"/>
    <w:rsid w:val="004D2A1C"/>
    <w:rsid w:val="004D358C"/>
    <w:rsid w:val="004D38FA"/>
    <w:rsid w:val="004D3931"/>
    <w:rsid w:val="004D5C69"/>
    <w:rsid w:val="004D5DCC"/>
    <w:rsid w:val="004D6463"/>
    <w:rsid w:val="004E0DCE"/>
    <w:rsid w:val="004E123E"/>
    <w:rsid w:val="004E1C0D"/>
    <w:rsid w:val="004E2DA5"/>
    <w:rsid w:val="004E324D"/>
    <w:rsid w:val="004E35E4"/>
    <w:rsid w:val="004E4266"/>
    <w:rsid w:val="004E45F5"/>
    <w:rsid w:val="004E47D4"/>
    <w:rsid w:val="004E4B3D"/>
    <w:rsid w:val="004E4BD1"/>
    <w:rsid w:val="004E57E5"/>
    <w:rsid w:val="004E59A3"/>
    <w:rsid w:val="004E6313"/>
    <w:rsid w:val="004E77EF"/>
    <w:rsid w:val="004E7CBC"/>
    <w:rsid w:val="004F07CC"/>
    <w:rsid w:val="004F1763"/>
    <w:rsid w:val="004F1E17"/>
    <w:rsid w:val="004F30FE"/>
    <w:rsid w:val="004F3270"/>
    <w:rsid w:val="004F369D"/>
    <w:rsid w:val="004F3FF5"/>
    <w:rsid w:val="004F46C0"/>
    <w:rsid w:val="004F5064"/>
    <w:rsid w:val="004F5FB9"/>
    <w:rsid w:val="004F7A57"/>
    <w:rsid w:val="004F7E28"/>
    <w:rsid w:val="004F7FC4"/>
    <w:rsid w:val="00500A2F"/>
    <w:rsid w:val="00501AB5"/>
    <w:rsid w:val="005032D3"/>
    <w:rsid w:val="00503BB4"/>
    <w:rsid w:val="0050473E"/>
    <w:rsid w:val="00504DE2"/>
    <w:rsid w:val="005072DF"/>
    <w:rsid w:val="00507947"/>
    <w:rsid w:val="0051081D"/>
    <w:rsid w:val="00511BB2"/>
    <w:rsid w:val="00511C1F"/>
    <w:rsid w:val="005127D9"/>
    <w:rsid w:val="005129F3"/>
    <w:rsid w:val="00514573"/>
    <w:rsid w:val="00515D8F"/>
    <w:rsid w:val="00517BF2"/>
    <w:rsid w:val="0052002B"/>
    <w:rsid w:val="00520183"/>
    <w:rsid w:val="00522375"/>
    <w:rsid w:val="005228F0"/>
    <w:rsid w:val="00522AB3"/>
    <w:rsid w:val="00524576"/>
    <w:rsid w:val="0052516F"/>
    <w:rsid w:val="00525958"/>
    <w:rsid w:val="005266D2"/>
    <w:rsid w:val="00526D25"/>
    <w:rsid w:val="00530555"/>
    <w:rsid w:val="0053093B"/>
    <w:rsid w:val="00530FD5"/>
    <w:rsid w:val="00532815"/>
    <w:rsid w:val="005332E9"/>
    <w:rsid w:val="00533DE7"/>
    <w:rsid w:val="00533E1E"/>
    <w:rsid w:val="0053428B"/>
    <w:rsid w:val="00535EE8"/>
    <w:rsid w:val="0053753E"/>
    <w:rsid w:val="00537A62"/>
    <w:rsid w:val="00537CB1"/>
    <w:rsid w:val="00541FAC"/>
    <w:rsid w:val="00543054"/>
    <w:rsid w:val="005448DD"/>
    <w:rsid w:val="00545805"/>
    <w:rsid w:val="00545DBF"/>
    <w:rsid w:val="00546A34"/>
    <w:rsid w:val="00546B81"/>
    <w:rsid w:val="00547CFB"/>
    <w:rsid w:val="0055099B"/>
    <w:rsid w:val="005512A0"/>
    <w:rsid w:val="00551826"/>
    <w:rsid w:val="00551CED"/>
    <w:rsid w:val="00552EC0"/>
    <w:rsid w:val="00554603"/>
    <w:rsid w:val="00554C2B"/>
    <w:rsid w:val="00554D71"/>
    <w:rsid w:val="005552D0"/>
    <w:rsid w:val="0055638E"/>
    <w:rsid w:val="0055657D"/>
    <w:rsid w:val="00562902"/>
    <w:rsid w:val="00562C2C"/>
    <w:rsid w:val="00562CCF"/>
    <w:rsid w:val="00563663"/>
    <w:rsid w:val="005644FA"/>
    <w:rsid w:val="0056475E"/>
    <w:rsid w:val="0056525E"/>
    <w:rsid w:val="00565642"/>
    <w:rsid w:val="005659DC"/>
    <w:rsid w:val="00566C37"/>
    <w:rsid w:val="00570E10"/>
    <w:rsid w:val="005715FD"/>
    <w:rsid w:val="00571ABB"/>
    <w:rsid w:val="00571B48"/>
    <w:rsid w:val="00572BB9"/>
    <w:rsid w:val="00572F22"/>
    <w:rsid w:val="00574214"/>
    <w:rsid w:val="00574ACE"/>
    <w:rsid w:val="00575C93"/>
    <w:rsid w:val="00576110"/>
    <w:rsid w:val="0057680C"/>
    <w:rsid w:val="005779DB"/>
    <w:rsid w:val="005807EE"/>
    <w:rsid w:val="00581547"/>
    <w:rsid w:val="0058159D"/>
    <w:rsid w:val="00581BF8"/>
    <w:rsid w:val="0058222F"/>
    <w:rsid w:val="00582386"/>
    <w:rsid w:val="00582F22"/>
    <w:rsid w:val="00583C15"/>
    <w:rsid w:val="00583CFC"/>
    <w:rsid w:val="00583DA3"/>
    <w:rsid w:val="00584380"/>
    <w:rsid w:val="005855AC"/>
    <w:rsid w:val="0058632B"/>
    <w:rsid w:val="00586615"/>
    <w:rsid w:val="00586648"/>
    <w:rsid w:val="00586D3B"/>
    <w:rsid w:val="00587F84"/>
    <w:rsid w:val="00590FFA"/>
    <w:rsid w:val="00592F6D"/>
    <w:rsid w:val="00592FA9"/>
    <w:rsid w:val="00594281"/>
    <w:rsid w:val="00594DAB"/>
    <w:rsid w:val="0059516B"/>
    <w:rsid w:val="005A0ABD"/>
    <w:rsid w:val="005A2120"/>
    <w:rsid w:val="005A245E"/>
    <w:rsid w:val="005A2757"/>
    <w:rsid w:val="005A2AE5"/>
    <w:rsid w:val="005A30DA"/>
    <w:rsid w:val="005A35B4"/>
    <w:rsid w:val="005A37FD"/>
    <w:rsid w:val="005A39E5"/>
    <w:rsid w:val="005A53AC"/>
    <w:rsid w:val="005A590D"/>
    <w:rsid w:val="005A60EC"/>
    <w:rsid w:val="005A658A"/>
    <w:rsid w:val="005A6DB1"/>
    <w:rsid w:val="005A7F3F"/>
    <w:rsid w:val="005B0DED"/>
    <w:rsid w:val="005B0E99"/>
    <w:rsid w:val="005B185D"/>
    <w:rsid w:val="005B36FA"/>
    <w:rsid w:val="005B4018"/>
    <w:rsid w:val="005B42CC"/>
    <w:rsid w:val="005B665A"/>
    <w:rsid w:val="005B6A58"/>
    <w:rsid w:val="005B709A"/>
    <w:rsid w:val="005B7ECB"/>
    <w:rsid w:val="005C0162"/>
    <w:rsid w:val="005C0D5C"/>
    <w:rsid w:val="005C100D"/>
    <w:rsid w:val="005C2469"/>
    <w:rsid w:val="005C2A30"/>
    <w:rsid w:val="005C30F5"/>
    <w:rsid w:val="005C3270"/>
    <w:rsid w:val="005C32A6"/>
    <w:rsid w:val="005C351C"/>
    <w:rsid w:val="005C4047"/>
    <w:rsid w:val="005C5590"/>
    <w:rsid w:val="005D1226"/>
    <w:rsid w:val="005D1CB8"/>
    <w:rsid w:val="005D246B"/>
    <w:rsid w:val="005D25DF"/>
    <w:rsid w:val="005D2662"/>
    <w:rsid w:val="005D2DE8"/>
    <w:rsid w:val="005D4A2D"/>
    <w:rsid w:val="005D4F21"/>
    <w:rsid w:val="005D5C53"/>
    <w:rsid w:val="005D60B7"/>
    <w:rsid w:val="005D6E36"/>
    <w:rsid w:val="005D7677"/>
    <w:rsid w:val="005D7F38"/>
    <w:rsid w:val="005E0291"/>
    <w:rsid w:val="005E0BEB"/>
    <w:rsid w:val="005E13BB"/>
    <w:rsid w:val="005E1798"/>
    <w:rsid w:val="005E1DDD"/>
    <w:rsid w:val="005E28E7"/>
    <w:rsid w:val="005F0F99"/>
    <w:rsid w:val="005F1563"/>
    <w:rsid w:val="005F1BAA"/>
    <w:rsid w:val="005F1D17"/>
    <w:rsid w:val="005F4F72"/>
    <w:rsid w:val="005F559A"/>
    <w:rsid w:val="005F5E24"/>
    <w:rsid w:val="005F6121"/>
    <w:rsid w:val="005F6E25"/>
    <w:rsid w:val="00600899"/>
    <w:rsid w:val="00600BA6"/>
    <w:rsid w:val="0060142F"/>
    <w:rsid w:val="00602427"/>
    <w:rsid w:val="00602B48"/>
    <w:rsid w:val="0060329A"/>
    <w:rsid w:val="00604020"/>
    <w:rsid w:val="00605C1A"/>
    <w:rsid w:val="006069D5"/>
    <w:rsid w:val="00607583"/>
    <w:rsid w:val="00607DE6"/>
    <w:rsid w:val="00612929"/>
    <w:rsid w:val="00612ACA"/>
    <w:rsid w:val="00613DCF"/>
    <w:rsid w:val="00614DC5"/>
    <w:rsid w:val="00615B39"/>
    <w:rsid w:val="006169C8"/>
    <w:rsid w:val="00621558"/>
    <w:rsid w:val="00621F84"/>
    <w:rsid w:val="00625E49"/>
    <w:rsid w:val="006265F0"/>
    <w:rsid w:val="0062679A"/>
    <w:rsid w:val="006268BE"/>
    <w:rsid w:val="00627139"/>
    <w:rsid w:val="006306C5"/>
    <w:rsid w:val="00630876"/>
    <w:rsid w:val="006314CF"/>
    <w:rsid w:val="0063217F"/>
    <w:rsid w:val="00632E5D"/>
    <w:rsid w:val="00635A3D"/>
    <w:rsid w:val="00636318"/>
    <w:rsid w:val="00636B40"/>
    <w:rsid w:val="00636D57"/>
    <w:rsid w:val="00637742"/>
    <w:rsid w:val="00637AE3"/>
    <w:rsid w:val="00637CFA"/>
    <w:rsid w:val="006448FF"/>
    <w:rsid w:val="00645FF2"/>
    <w:rsid w:val="006460DF"/>
    <w:rsid w:val="0064674D"/>
    <w:rsid w:val="006467E1"/>
    <w:rsid w:val="00650479"/>
    <w:rsid w:val="00650539"/>
    <w:rsid w:val="006508DA"/>
    <w:rsid w:val="00650B7D"/>
    <w:rsid w:val="00655A8A"/>
    <w:rsid w:val="00655E74"/>
    <w:rsid w:val="006564FC"/>
    <w:rsid w:val="006565F4"/>
    <w:rsid w:val="0065793B"/>
    <w:rsid w:val="00660C4C"/>
    <w:rsid w:val="00661371"/>
    <w:rsid w:val="00661386"/>
    <w:rsid w:val="00663B88"/>
    <w:rsid w:val="00664F92"/>
    <w:rsid w:val="00665543"/>
    <w:rsid w:val="00665BED"/>
    <w:rsid w:val="00666C2B"/>
    <w:rsid w:val="00667718"/>
    <w:rsid w:val="00667E14"/>
    <w:rsid w:val="006705C1"/>
    <w:rsid w:val="00670C7E"/>
    <w:rsid w:val="00670CFD"/>
    <w:rsid w:val="006719A2"/>
    <w:rsid w:val="00671D8A"/>
    <w:rsid w:val="00672654"/>
    <w:rsid w:val="00672BFA"/>
    <w:rsid w:val="00674F0C"/>
    <w:rsid w:val="00675282"/>
    <w:rsid w:val="00676402"/>
    <w:rsid w:val="00676C26"/>
    <w:rsid w:val="00676F5C"/>
    <w:rsid w:val="00677425"/>
    <w:rsid w:val="00677E0C"/>
    <w:rsid w:val="00677EBE"/>
    <w:rsid w:val="0068036D"/>
    <w:rsid w:val="0068160F"/>
    <w:rsid w:val="00681A85"/>
    <w:rsid w:val="0068263C"/>
    <w:rsid w:val="00683191"/>
    <w:rsid w:val="00684B57"/>
    <w:rsid w:val="00686914"/>
    <w:rsid w:val="0068763E"/>
    <w:rsid w:val="0068799F"/>
    <w:rsid w:val="006879A2"/>
    <w:rsid w:val="006879A9"/>
    <w:rsid w:val="00690C3C"/>
    <w:rsid w:val="00691A29"/>
    <w:rsid w:val="00692238"/>
    <w:rsid w:val="006932D7"/>
    <w:rsid w:val="00694136"/>
    <w:rsid w:val="006954AF"/>
    <w:rsid w:val="00695F08"/>
    <w:rsid w:val="00696A88"/>
    <w:rsid w:val="00697505"/>
    <w:rsid w:val="006A129F"/>
    <w:rsid w:val="006A4272"/>
    <w:rsid w:val="006A4A47"/>
    <w:rsid w:val="006A5548"/>
    <w:rsid w:val="006A6FFE"/>
    <w:rsid w:val="006A757E"/>
    <w:rsid w:val="006A772D"/>
    <w:rsid w:val="006A78BC"/>
    <w:rsid w:val="006B259E"/>
    <w:rsid w:val="006B2FF4"/>
    <w:rsid w:val="006B34E1"/>
    <w:rsid w:val="006B36FB"/>
    <w:rsid w:val="006B389C"/>
    <w:rsid w:val="006B514E"/>
    <w:rsid w:val="006B7DD0"/>
    <w:rsid w:val="006C3460"/>
    <w:rsid w:val="006C37C9"/>
    <w:rsid w:val="006C4E67"/>
    <w:rsid w:val="006C5AB3"/>
    <w:rsid w:val="006C620F"/>
    <w:rsid w:val="006C649A"/>
    <w:rsid w:val="006C7BC0"/>
    <w:rsid w:val="006D0488"/>
    <w:rsid w:val="006D0610"/>
    <w:rsid w:val="006D19E4"/>
    <w:rsid w:val="006D1C90"/>
    <w:rsid w:val="006D23E4"/>
    <w:rsid w:val="006D24CF"/>
    <w:rsid w:val="006D49B8"/>
    <w:rsid w:val="006D599B"/>
    <w:rsid w:val="006D6F84"/>
    <w:rsid w:val="006D7BA1"/>
    <w:rsid w:val="006E12A5"/>
    <w:rsid w:val="006E160B"/>
    <w:rsid w:val="006E2584"/>
    <w:rsid w:val="006E266F"/>
    <w:rsid w:val="006E29F7"/>
    <w:rsid w:val="006E446D"/>
    <w:rsid w:val="006E5BDD"/>
    <w:rsid w:val="006E72CE"/>
    <w:rsid w:val="006F04C8"/>
    <w:rsid w:val="006F1CF9"/>
    <w:rsid w:val="006F1DFF"/>
    <w:rsid w:val="006F32E1"/>
    <w:rsid w:val="006F3FB3"/>
    <w:rsid w:val="006F4E99"/>
    <w:rsid w:val="006F68D4"/>
    <w:rsid w:val="006F6E5A"/>
    <w:rsid w:val="006F72F9"/>
    <w:rsid w:val="00700D83"/>
    <w:rsid w:val="0070144A"/>
    <w:rsid w:val="00701C4A"/>
    <w:rsid w:val="00701C6F"/>
    <w:rsid w:val="00702832"/>
    <w:rsid w:val="00702AF8"/>
    <w:rsid w:val="00702E76"/>
    <w:rsid w:val="00702F69"/>
    <w:rsid w:val="00703AC3"/>
    <w:rsid w:val="00703FCF"/>
    <w:rsid w:val="00704F84"/>
    <w:rsid w:val="00705479"/>
    <w:rsid w:val="00705763"/>
    <w:rsid w:val="007102B7"/>
    <w:rsid w:val="00710543"/>
    <w:rsid w:val="00712A08"/>
    <w:rsid w:val="00713102"/>
    <w:rsid w:val="00714EF5"/>
    <w:rsid w:val="00714EFC"/>
    <w:rsid w:val="00715B33"/>
    <w:rsid w:val="00716FA5"/>
    <w:rsid w:val="00717708"/>
    <w:rsid w:val="00717E09"/>
    <w:rsid w:val="00720836"/>
    <w:rsid w:val="007209A5"/>
    <w:rsid w:val="00720D75"/>
    <w:rsid w:val="00721C14"/>
    <w:rsid w:val="00722DF3"/>
    <w:rsid w:val="00724AA0"/>
    <w:rsid w:val="00724F57"/>
    <w:rsid w:val="007251C6"/>
    <w:rsid w:val="0072545F"/>
    <w:rsid w:val="0072588B"/>
    <w:rsid w:val="00730E83"/>
    <w:rsid w:val="0073324F"/>
    <w:rsid w:val="0073361A"/>
    <w:rsid w:val="00733A83"/>
    <w:rsid w:val="007343C0"/>
    <w:rsid w:val="0073446B"/>
    <w:rsid w:val="007352EC"/>
    <w:rsid w:val="00736019"/>
    <w:rsid w:val="0073616C"/>
    <w:rsid w:val="00736B70"/>
    <w:rsid w:val="00736F95"/>
    <w:rsid w:val="00737558"/>
    <w:rsid w:val="00740393"/>
    <w:rsid w:val="0074042C"/>
    <w:rsid w:val="0074059E"/>
    <w:rsid w:val="00740648"/>
    <w:rsid w:val="007409D3"/>
    <w:rsid w:val="007415A2"/>
    <w:rsid w:val="0074187A"/>
    <w:rsid w:val="00744769"/>
    <w:rsid w:val="00747117"/>
    <w:rsid w:val="007518B9"/>
    <w:rsid w:val="00751E77"/>
    <w:rsid w:val="00752712"/>
    <w:rsid w:val="00753E07"/>
    <w:rsid w:val="007545AA"/>
    <w:rsid w:val="00754737"/>
    <w:rsid w:val="00754A55"/>
    <w:rsid w:val="00754E6C"/>
    <w:rsid w:val="00755259"/>
    <w:rsid w:val="007559E6"/>
    <w:rsid w:val="00756FF7"/>
    <w:rsid w:val="00757DE9"/>
    <w:rsid w:val="00761A74"/>
    <w:rsid w:val="00762C95"/>
    <w:rsid w:val="00762D94"/>
    <w:rsid w:val="0076565A"/>
    <w:rsid w:val="007668EF"/>
    <w:rsid w:val="0076704B"/>
    <w:rsid w:val="00767C06"/>
    <w:rsid w:val="007704B9"/>
    <w:rsid w:val="00770F5B"/>
    <w:rsid w:val="00772108"/>
    <w:rsid w:val="00774866"/>
    <w:rsid w:val="00776674"/>
    <w:rsid w:val="007773B9"/>
    <w:rsid w:val="00777A9D"/>
    <w:rsid w:val="00782FC6"/>
    <w:rsid w:val="007834AE"/>
    <w:rsid w:val="0078371A"/>
    <w:rsid w:val="007855B3"/>
    <w:rsid w:val="00786CC7"/>
    <w:rsid w:val="00786CF7"/>
    <w:rsid w:val="007901BB"/>
    <w:rsid w:val="00791F44"/>
    <w:rsid w:val="00792D1D"/>
    <w:rsid w:val="00795DA3"/>
    <w:rsid w:val="0079633D"/>
    <w:rsid w:val="00796771"/>
    <w:rsid w:val="00796AF8"/>
    <w:rsid w:val="007972E2"/>
    <w:rsid w:val="007974BF"/>
    <w:rsid w:val="00797FE6"/>
    <w:rsid w:val="007A0CCF"/>
    <w:rsid w:val="007A181F"/>
    <w:rsid w:val="007A3570"/>
    <w:rsid w:val="007A3F7B"/>
    <w:rsid w:val="007A5D55"/>
    <w:rsid w:val="007B0BC6"/>
    <w:rsid w:val="007B2397"/>
    <w:rsid w:val="007B2709"/>
    <w:rsid w:val="007B27E8"/>
    <w:rsid w:val="007B2848"/>
    <w:rsid w:val="007B356F"/>
    <w:rsid w:val="007B448A"/>
    <w:rsid w:val="007B4E6B"/>
    <w:rsid w:val="007B50BB"/>
    <w:rsid w:val="007B773F"/>
    <w:rsid w:val="007B7F59"/>
    <w:rsid w:val="007C1E39"/>
    <w:rsid w:val="007C3278"/>
    <w:rsid w:val="007C33E7"/>
    <w:rsid w:val="007C38AB"/>
    <w:rsid w:val="007C3BA9"/>
    <w:rsid w:val="007C49A5"/>
    <w:rsid w:val="007C4E42"/>
    <w:rsid w:val="007D0379"/>
    <w:rsid w:val="007D0D82"/>
    <w:rsid w:val="007D28D1"/>
    <w:rsid w:val="007D2EBB"/>
    <w:rsid w:val="007D3662"/>
    <w:rsid w:val="007D446E"/>
    <w:rsid w:val="007D4477"/>
    <w:rsid w:val="007D4600"/>
    <w:rsid w:val="007D4817"/>
    <w:rsid w:val="007D4D5C"/>
    <w:rsid w:val="007D54E4"/>
    <w:rsid w:val="007D6254"/>
    <w:rsid w:val="007D6379"/>
    <w:rsid w:val="007D6B26"/>
    <w:rsid w:val="007D6FB7"/>
    <w:rsid w:val="007D7040"/>
    <w:rsid w:val="007D73BC"/>
    <w:rsid w:val="007E027C"/>
    <w:rsid w:val="007E0BA2"/>
    <w:rsid w:val="007E0F19"/>
    <w:rsid w:val="007E12A6"/>
    <w:rsid w:val="007E266B"/>
    <w:rsid w:val="007E38DD"/>
    <w:rsid w:val="007E4656"/>
    <w:rsid w:val="007E4D21"/>
    <w:rsid w:val="007E4D4B"/>
    <w:rsid w:val="007E6481"/>
    <w:rsid w:val="007E6782"/>
    <w:rsid w:val="007E6E32"/>
    <w:rsid w:val="007E6E73"/>
    <w:rsid w:val="007E7298"/>
    <w:rsid w:val="007F012E"/>
    <w:rsid w:val="007F1006"/>
    <w:rsid w:val="007F2429"/>
    <w:rsid w:val="007F242C"/>
    <w:rsid w:val="007F24AA"/>
    <w:rsid w:val="007F252A"/>
    <w:rsid w:val="007F3C72"/>
    <w:rsid w:val="007F4032"/>
    <w:rsid w:val="007F45E8"/>
    <w:rsid w:val="007F5174"/>
    <w:rsid w:val="007F648E"/>
    <w:rsid w:val="007F6C34"/>
    <w:rsid w:val="007F7B34"/>
    <w:rsid w:val="007F7F7E"/>
    <w:rsid w:val="00800EFF"/>
    <w:rsid w:val="008038F4"/>
    <w:rsid w:val="00804063"/>
    <w:rsid w:val="00804A4A"/>
    <w:rsid w:val="00805F53"/>
    <w:rsid w:val="00806BDD"/>
    <w:rsid w:val="008075CA"/>
    <w:rsid w:val="008102B0"/>
    <w:rsid w:val="00810657"/>
    <w:rsid w:val="008116CC"/>
    <w:rsid w:val="00811940"/>
    <w:rsid w:val="008137D3"/>
    <w:rsid w:val="00813F47"/>
    <w:rsid w:val="00814FA1"/>
    <w:rsid w:val="00815484"/>
    <w:rsid w:val="00815A7E"/>
    <w:rsid w:val="008207CC"/>
    <w:rsid w:val="00821139"/>
    <w:rsid w:val="00821495"/>
    <w:rsid w:val="00821A18"/>
    <w:rsid w:val="00821B2F"/>
    <w:rsid w:val="00822547"/>
    <w:rsid w:val="00823C97"/>
    <w:rsid w:val="0082425D"/>
    <w:rsid w:val="0082449B"/>
    <w:rsid w:val="00825F06"/>
    <w:rsid w:val="00826F25"/>
    <w:rsid w:val="00827D6F"/>
    <w:rsid w:val="00827D99"/>
    <w:rsid w:val="008312B6"/>
    <w:rsid w:val="00833877"/>
    <w:rsid w:val="00833E1F"/>
    <w:rsid w:val="00834794"/>
    <w:rsid w:val="0083795A"/>
    <w:rsid w:val="00841C14"/>
    <w:rsid w:val="00841E54"/>
    <w:rsid w:val="00841E55"/>
    <w:rsid w:val="0084204E"/>
    <w:rsid w:val="00842369"/>
    <w:rsid w:val="008427CD"/>
    <w:rsid w:val="008432BE"/>
    <w:rsid w:val="00843C51"/>
    <w:rsid w:val="00844990"/>
    <w:rsid w:val="00844F05"/>
    <w:rsid w:val="008453A0"/>
    <w:rsid w:val="00846A2A"/>
    <w:rsid w:val="00851E16"/>
    <w:rsid w:val="008523D2"/>
    <w:rsid w:val="00853A62"/>
    <w:rsid w:val="00855582"/>
    <w:rsid w:val="0085639C"/>
    <w:rsid w:val="00856602"/>
    <w:rsid w:val="008566F8"/>
    <w:rsid w:val="0086006D"/>
    <w:rsid w:val="0086027D"/>
    <w:rsid w:val="008605DF"/>
    <w:rsid w:val="00860A81"/>
    <w:rsid w:val="00860C41"/>
    <w:rsid w:val="00861082"/>
    <w:rsid w:val="008622DB"/>
    <w:rsid w:val="008663D0"/>
    <w:rsid w:val="00867094"/>
    <w:rsid w:val="008674F0"/>
    <w:rsid w:val="00867FCC"/>
    <w:rsid w:val="0087077F"/>
    <w:rsid w:val="008727F4"/>
    <w:rsid w:val="00873588"/>
    <w:rsid w:val="00873C23"/>
    <w:rsid w:val="00874DF6"/>
    <w:rsid w:val="00875B29"/>
    <w:rsid w:val="00875C35"/>
    <w:rsid w:val="008771F9"/>
    <w:rsid w:val="008801F0"/>
    <w:rsid w:val="00880626"/>
    <w:rsid w:val="00880656"/>
    <w:rsid w:val="00881064"/>
    <w:rsid w:val="0088388B"/>
    <w:rsid w:val="0088584B"/>
    <w:rsid w:val="00886AA3"/>
    <w:rsid w:val="008905C0"/>
    <w:rsid w:val="00890E96"/>
    <w:rsid w:val="00891213"/>
    <w:rsid w:val="008918F3"/>
    <w:rsid w:val="00891DF3"/>
    <w:rsid w:val="00891F74"/>
    <w:rsid w:val="00893223"/>
    <w:rsid w:val="00893297"/>
    <w:rsid w:val="00893683"/>
    <w:rsid w:val="00893F04"/>
    <w:rsid w:val="00894AD8"/>
    <w:rsid w:val="00895D97"/>
    <w:rsid w:val="0089624C"/>
    <w:rsid w:val="0089665B"/>
    <w:rsid w:val="00896750"/>
    <w:rsid w:val="00896B75"/>
    <w:rsid w:val="008976E8"/>
    <w:rsid w:val="008A0A6D"/>
    <w:rsid w:val="008A119A"/>
    <w:rsid w:val="008A2511"/>
    <w:rsid w:val="008A3B52"/>
    <w:rsid w:val="008A420C"/>
    <w:rsid w:val="008A456A"/>
    <w:rsid w:val="008A4C1B"/>
    <w:rsid w:val="008A51CC"/>
    <w:rsid w:val="008A6033"/>
    <w:rsid w:val="008A6D71"/>
    <w:rsid w:val="008A72A4"/>
    <w:rsid w:val="008B25EB"/>
    <w:rsid w:val="008B27B4"/>
    <w:rsid w:val="008B373C"/>
    <w:rsid w:val="008B3F99"/>
    <w:rsid w:val="008B43F3"/>
    <w:rsid w:val="008B51F6"/>
    <w:rsid w:val="008B5241"/>
    <w:rsid w:val="008B576A"/>
    <w:rsid w:val="008B6187"/>
    <w:rsid w:val="008B638D"/>
    <w:rsid w:val="008B65D0"/>
    <w:rsid w:val="008B665A"/>
    <w:rsid w:val="008B6B7C"/>
    <w:rsid w:val="008B6DC1"/>
    <w:rsid w:val="008B7747"/>
    <w:rsid w:val="008B7DE7"/>
    <w:rsid w:val="008C197B"/>
    <w:rsid w:val="008C5077"/>
    <w:rsid w:val="008C5658"/>
    <w:rsid w:val="008C56CB"/>
    <w:rsid w:val="008C7B23"/>
    <w:rsid w:val="008D151D"/>
    <w:rsid w:val="008D199D"/>
    <w:rsid w:val="008D3E11"/>
    <w:rsid w:val="008D3F28"/>
    <w:rsid w:val="008D47A8"/>
    <w:rsid w:val="008D48A8"/>
    <w:rsid w:val="008E020B"/>
    <w:rsid w:val="008E0B54"/>
    <w:rsid w:val="008E1739"/>
    <w:rsid w:val="008E1A18"/>
    <w:rsid w:val="008E1F75"/>
    <w:rsid w:val="008E25DC"/>
    <w:rsid w:val="008E2756"/>
    <w:rsid w:val="008E2DCF"/>
    <w:rsid w:val="008E3133"/>
    <w:rsid w:val="008E35A8"/>
    <w:rsid w:val="008E3A57"/>
    <w:rsid w:val="008E3F82"/>
    <w:rsid w:val="008E47B7"/>
    <w:rsid w:val="008E613E"/>
    <w:rsid w:val="008E76AC"/>
    <w:rsid w:val="008F06C5"/>
    <w:rsid w:val="008F1488"/>
    <w:rsid w:val="008F3672"/>
    <w:rsid w:val="008F36DB"/>
    <w:rsid w:val="008F3E2E"/>
    <w:rsid w:val="008F4065"/>
    <w:rsid w:val="008F5BB1"/>
    <w:rsid w:val="008F615E"/>
    <w:rsid w:val="008F643C"/>
    <w:rsid w:val="008F7536"/>
    <w:rsid w:val="009002F0"/>
    <w:rsid w:val="009002F9"/>
    <w:rsid w:val="009006F8"/>
    <w:rsid w:val="0090193B"/>
    <w:rsid w:val="0090209E"/>
    <w:rsid w:val="00902D07"/>
    <w:rsid w:val="0090485F"/>
    <w:rsid w:val="0090789D"/>
    <w:rsid w:val="00907EB9"/>
    <w:rsid w:val="009110C6"/>
    <w:rsid w:val="009112E2"/>
    <w:rsid w:val="00911D44"/>
    <w:rsid w:val="00912316"/>
    <w:rsid w:val="00912CE1"/>
    <w:rsid w:val="00913C5C"/>
    <w:rsid w:val="00914FE8"/>
    <w:rsid w:val="00915E5D"/>
    <w:rsid w:val="009164A3"/>
    <w:rsid w:val="009173EB"/>
    <w:rsid w:val="00917654"/>
    <w:rsid w:val="00917DD0"/>
    <w:rsid w:val="00920933"/>
    <w:rsid w:val="00920A72"/>
    <w:rsid w:val="00922628"/>
    <w:rsid w:val="00922705"/>
    <w:rsid w:val="00923F10"/>
    <w:rsid w:val="0092464D"/>
    <w:rsid w:val="00924A00"/>
    <w:rsid w:val="00924D29"/>
    <w:rsid w:val="00926D17"/>
    <w:rsid w:val="00926F40"/>
    <w:rsid w:val="009277CD"/>
    <w:rsid w:val="00927F49"/>
    <w:rsid w:val="00930150"/>
    <w:rsid w:val="00930E12"/>
    <w:rsid w:val="00930FCC"/>
    <w:rsid w:val="009310FE"/>
    <w:rsid w:val="00931B98"/>
    <w:rsid w:val="0093244B"/>
    <w:rsid w:val="00933A7A"/>
    <w:rsid w:val="00933B04"/>
    <w:rsid w:val="00935513"/>
    <w:rsid w:val="0093726D"/>
    <w:rsid w:val="00940C6A"/>
    <w:rsid w:val="009410C0"/>
    <w:rsid w:val="00941503"/>
    <w:rsid w:val="009423B9"/>
    <w:rsid w:val="00944A88"/>
    <w:rsid w:val="009506F2"/>
    <w:rsid w:val="009515FE"/>
    <w:rsid w:val="00952E36"/>
    <w:rsid w:val="00954425"/>
    <w:rsid w:val="00954B5F"/>
    <w:rsid w:val="00954C9F"/>
    <w:rsid w:val="009555B3"/>
    <w:rsid w:val="00955852"/>
    <w:rsid w:val="00956107"/>
    <w:rsid w:val="00956213"/>
    <w:rsid w:val="00957704"/>
    <w:rsid w:val="00957FDB"/>
    <w:rsid w:val="0096004D"/>
    <w:rsid w:val="00960388"/>
    <w:rsid w:val="00962AC5"/>
    <w:rsid w:val="00964D79"/>
    <w:rsid w:val="00964F06"/>
    <w:rsid w:val="00965B86"/>
    <w:rsid w:val="0096676B"/>
    <w:rsid w:val="00966B2C"/>
    <w:rsid w:val="00966C52"/>
    <w:rsid w:val="00966EAD"/>
    <w:rsid w:val="009679C5"/>
    <w:rsid w:val="009701C2"/>
    <w:rsid w:val="00971562"/>
    <w:rsid w:val="00972295"/>
    <w:rsid w:val="00973416"/>
    <w:rsid w:val="00974930"/>
    <w:rsid w:val="009753C1"/>
    <w:rsid w:val="00976067"/>
    <w:rsid w:val="0097624B"/>
    <w:rsid w:val="0097628F"/>
    <w:rsid w:val="00977290"/>
    <w:rsid w:val="0097749C"/>
    <w:rsid w:val="00980507"/>
    <w:rsid w:val="00980760"/>
    <w:rsid w:val="009824DE"/>
    <w:rsid w:val="0098266F"/>
    <w:rsid w:val="00982988"/>
    <w:rsid w:val="00982F71"/>
    <w:rsid w:val="0098334C"/>
    <w:rsid w:val="00983DA6"/>
    <w:rsid w:val="009842D0"/>
    <w:rsid w:val="009843D1"/>
    <w:rsid w:val="00985C31"/>
    <w:rsid w:val="00985ECE"/>
    <w:rsid w:val="00986162"/>
    <w:rsid w:val="00986906"/>
    <w:rsid w:val="009877E2"/>
    <w:rsid w:val="00990CA9"/>
    <w:rsid w:val="009924D9"/>
    <w:rsid w:val="009933BA"/>
    <w:rsid w:val="0099390A"/>
    <w:rsid w:val="00993962"/>
    <w:rsid w:val="009943C9"/>
    <w:rsid w:val="00994416"/>
    <w:rsid w:val="009948AC"/>
    <w:rsid w:val="009975AE"/>
    <w:rsid w:val="009A0C9F"/>
    <w:rsid w:val="009A1BC5"/>
    <w:rsid w:val="009A31BE"/>
    <w:rsid w:val="009A3A1F"/>
    <w:rsid w:val="009A4F41"/>
    <w:rsid w:val="009A5B85"/>
    <w:rsid w:val="009A5F89"/>
    <w:rsid w:val="009A6691"/>
    <w:rsid w:val="009A674F"/>
    <w:rsid w:val="009A734A"/>
    <w:rsid w:val="009B19F9"/>
    <w:rsid w:val="009B1D76"/>
    <w:rsid w:val="009B23EF"/>
    <w:rsid w:val="009B2C54"/>
    <w:rsid w:val="009B3F02"/>
    <w:rsid w:val="009B3FE5"/>
    <w:rsid w:val="009B462C"/>
    <w:rsid w:val="009B6A42"/>
    <w:rsid w:val="009B6C65"/>
    <w:rsid w:val="009B74C8"/>
    <w:rsid w:val="009B7B6B"/>
    <w:rsid w:val="009C184C"/>
    <w:rsid w:val="009C190C"/>
    <w:rsid w:val="009D122E"/>
    <w:rsid w:val="009D2A28"/>
    <w:rsid w:val="009D2EEB"/>
    <w:rsid w:val="009D3283"/>
    <w:rsid w:val="009D3D36"/>
    <w:rsid w:val="009D473C"/>
    <w:rsid w:val="009D4822"/>
    <w:rsid w:val="009D53E0"/>
    <w:rsid w:val="009D5D90"/>
    <w:rsid w:val="009D71B8"/>
    <w:rsid w:val="009E0315"/>
    <w:rsid w:val="009E0686"/>
    <w:rsid w:val="009E08AA"/>
    <w:rsid w:val="009E1042"/>
    <w:rsid w:val="009E16C6"/>
    <w:rsid w:val="009E2309"/>
    <w:rsid w:val="009E24C0"/>
    <w:rsid w:val="009E2E42"/>
    <w:rsid w:val="009E40FF"/>
    <w:rsid w:val="009E4E7A"/>
    <w:rsid w:val="009E4FD4"/>
    <w:rsid w:val="009E515F"/>
    <w:rsid w:val="009E52FB"/>
    <w:rsid w:val="009E703A"/>
    <w:rsid w:val="009E7996"/>
    <w:rsid w:val="009E7C4E"/>
    <w:rsid w:val="009F0590"/>
    <w:rsid w:val="009F06AB"/>
    <w:rsid w:val="009F1DE1"/>
    <w:rsid w:val="009F2BDE"/>
    <w:rsid w:val="009F315E"/>
    <w:rsid w:val="009F57D3"/>
    <w:rsid w:val="009F7293"/>
    <w:rsid w:val="009F7990"/>
    <w:rsid w:val="00A011B3"/>
    <w:rsid w:val="00A0229C"/>
    <w:rsid w:val="00A03498"/>
    <w:rsid w:val="00A038B4"/>
    <w:rsid w:val="00A04374"/>
    <w:rsid w:val="00A04A56"/>
    <w:rsid w:val="00A054D1"/>
    <w:rsid w:val="00A06149"/>
    <w:rsid w:val="00A06739"/>
    <w:rsid w:val="00A06F88"/>
    <w:rsid w:val="00A10FA2"/>
    <w:rsid w:val="00A111B2"/>
    <w:rsid w:val="00A11A7E"/>
    <w:rsid w:val="00A14A05"/>
    <w:rsid w:val="00A16040"/>
    <w:rsid w:val="00A16357"/>
    <w:rsid w:val="00A16A5B"/>
    <w:rsid w:val="00A17D1E"/>
    <w:rsid w:val="00A21F5D"/>
    <w:rsid w:val="00A2490C"/>
    <w:rsid w:val="00A253D9"/>
    <w:rsid w:val="00A25F32"/>
    <w:rsid w:val="00A26949"/>
    <w:rsid w:val="00A26AEF"/>
    <w:rsid w:val="00A27B47"/>
    <w:rsid w:val="00A30028"/>
    <w:rsid w:val="00A34970"/>
    <w:rsid w:val="00A35005"/>
    <w:rsid w:val="00A35B27"/>
    <w:rsid w:val="00A35FD1"/>
    <w:rsid w:val="00A36B10"/>
    <w:rsid w:val="00A37CE6"/>
    <w:rsid w:val="00A4053D"/>
    <w:rsid w:val="00A42EF8"/>
    <w:rsid w:val="00A42F91"/>
    <w:rsid w:val="00A4300D"/>
    <w:rsid w:val="00A43DF2"/>
    <w:rsid w:val="00A445D4"/>
    <w:rsid w:val="00A45BD1"/>
    <w:rsid w:val="00A47C5C"/>
    <w:rsid w:val="00A50287"/>
    <w:rsid w:val="00A50BC7"/>
    <w:rsid w:val="00A5194D"/>
    <w:rsid w:val="00A52260"/>
    <w:rsid w:val="00A523F8"/>
    <w:rsid w:val="00A53C6E"/>
    <w:rsid w:val="00A541D8"/>
    <w:rsid w:val="00A546DB"/>
    <w:rsid w:val="00A569D6"/>
    <w:rsid w:val="00A57436"/>
    <w:rsid w:val="00A619DF"/>
    <w:rsid w:val="00A61EE9"/>
    <w:rsid w:val="00A62024"/>
    <w:rsid w:val="00A6237D"/>
    <w:rsid w:val="00A62A7E"/>
    <w:rsid w:val="00A632CD"/>
    <w:rsid w:val="00A636A2"/>
    <w:rsid w:val="00A63821"/>
    <w:rsid w:val="00A648BC"/>
    <w:rsid w:val="00A6536A"/>
    <w:rsid w:val="00A655DE"/>
    <w:rsid w:val="00A65886"/>
    <w:rsid w:val="00A65B7F"/>
    <w:rsid w:val="00A66FD6"/>
    <w:rsid w:val="00A7219B"/>
    <w:rsid w:val="00A73F07"/>
    <w:rsid w:val="00A74043"/>
    <w:rsid w:val="00A74C3E"/>
    <w:rsid w:val="00A75FB5"/>
    <w:rsid w:val="00A7622D"/>
    <w:rsid w:val="00A806B8"/>
    <w:rsid w:val="00A80C35"/>
    <w:rsid w:val="00A8229C"/>
    <w:rsid w:val="00A8326D"/>
    <w:rsid w:val="00A856F0"/>
    <w:rsid w:val="00A87005"/>
    <w:rsid w:val="00A878CC"/>
    <w:rsid w:val="00A92254"/>
    <w:rsid w:val="00A925F6"/>
    <w:rsid w:val="00A9448E"/>
    <w:rsid w:val="00A95994"/>
    <w:rsid w:val="00A962CA"/>
    <w:rsid w:val="00A96C71"/>
    <w:rsid w:val="00A97BD3"/>
    <w:rsid w:val="00A97E09"/>
    <w:rsid w:val="00AA03E8"/>
    <w:rsid w:val="00AA0642"/>
    <w:rsid w:val="00AA07F1"/>
    <w:rsid w:val="00AA138E"/>
    <w:rsid w:val="00AA14FB"/>
    <w:rsid w:val="00AA1565"/>
    <w:rsid w:val="00AA36BB"/>
    <w:rsid w:val="00AA58C9"/>
    <w:rsid w:val="00AA5902"/>
    <w:rsid w:val="00AA6209"/>
    <w:rsid w:val="00AB039F"/>
    <w:rsid w:val="00AB16F4"/>
    <w:rsid w:val="00AB1FE1"/>
    <w:rsid w:val="00AB207F"/>
    <w:rsid w:val="00AB4689"/>
    <w:rsid w:val="00AB56B6"/>
    <w:rsid w:val="00AB6CB1"/>
    <w:rsid w:val="00AB730A"/>
    <w:rsid w:val="00AC08E6"/>
    <w:rsid w:val="00AC4D8F"/>
    <w:rsid w:val="00AC5ED8"/>
    <w:rsid w:val="00AC6269"/>
    <w:rsid w:val="00AC7068"/>
    <w:rsid w:val="00AD0134"/>
    <w:rsid w:val="00AD1571"/>
    <w:rsid w:val="00AD1677"/>
    <w:rsid w:val="00AD182D"/>
    <w:rsid w:val="00AD185D"/>
    <w:rsid w:val="00AD1C8A"/>
    <w:rsid w:val="00AD3536"/>
    <w:rsid w:val="00AD39D1"/>
    <w:rsid w:val="00AD3ECB"/>
    <w:rsid w:val="00AD417A"/>
    <w:rsid w:val="00AD5439"/>
    <w:rsid w:val="00AD580F"/>
    <w:rsid w:val="00AD69FC"/>
    <w:rsid w:val="00AD7523"/>
    <w:rsid w:val="00AD75EE"/>
    <w:rsid w:val="00AE058C"/>
    <w:rsid w:val="00AE0FE5"/>
    <w:rsid w:val="00AE102B"/>
    <w:rsid w:val="00AE10BF"/>
    <w:rsid w:val="00AE1ACD"/>
    <w:rsid w:val="00AE393F"/>
    <w:rsid w:val="00AE45B6"/>
    <w:rsid w:val="00AE4801"/>
    <w:rsid w:val="00AE710D"/>
    <w:rsid w:val="00AE7D92"/>
    <w:rsid w:val="00AF134B"/>
    <w:rsid w:val="00AF23F7"/>
    <w:rsid w:val="00AF2460"/>
    <w:rsid w:val="00AF4C88"/>
    <w:rsid w:val="00AF4D97"/>
    <w:rsid w:val="00AF4FEF"/>
    <w:rsid w:val="00AF54C5"/>
    <w:rsid w:val="00B00133"/>
    <w:rsid w:val="00B008D5"/>
    <w:rsid w:val="00B01773"/>
    <w:rsid w:val="00B021F5"/>
    <w:rsid w:val="00B03515"/>
    <w:rsid w:val="00B043BB"/>
    <w:rsid w:val="00B05C6A"/>
    <w:rsid w:val="00B068C1"/>
    <w:rsid w:val="00B074E9"/>
    <w:rsid w:val="00B07F0F"/>
    <w:rsid w:val="00B10BD5"/>
    <w:rsid w:val="00B11B46"/>
    <w:rsid w:val="00B12C20"/>
    <w:rsid w:val="00B12D4D"/>
    <w:rsid w:val="00B142F2"/>
    <w:rsid w:val="00B146D1"/>
    <w:rsid w:val="00B160D0"/>
    <w:rsid w:val="00B1673F"/>
    <w:rsid w:val="00B17161"/>
    <w:rsid w:val="00B17FBA"/>
    <w:rsid w:val="00B2075C"/>
    <w:rsid w:val="00B20C29"/>
    <w:rsid w:val="00B22224"/>
    <w:rsid w:val="00B227D3"/>
    <w:rsid w:val="00B22F33"/>
    <w:rsid w:val="00B2334D"/>
    <w:rsid w:val="00B2335B"/>
    <w:rsid w:val="00B25426"/>
    <w:rsid w:val="00B25F71"/>
    <w:rsid w:val="00B2690D"/>
    <w:rsid w:val="00B26DE4"/>
    <w:rsid w:val="00B316E8"/>
    <w:rsid w:val="00B3249E"/>
    <w:rsid w:val="00B335D4"/>
    <w:rsid w:val="00B340D7"/>
    <w:rsid w:val="00B35B7F"/>
    <w:rsid w:val="00B371AB"/>
    <w:rsid w:val="00B411D7"/>
    <w:rsid w:val="00B412D9"/>
    <w:rsid w:val="00B41807"/>
    <w:rsid w:val="00B41CC4"/>
    <w:rsid w:val="00B42E58"/>
    <w:rsid w:val="00B43224"/>
    <w:rsid w:val="00B440B2"/>
    <w:rsid w:val="00B46927"/>
    <w:rsid w:val="00B46C47"/>
    <w:rsid w:val="00B476DD"/>
    <w:rsid w:val="00B503F3"/>
    <w:rsid w:val="00B50815"/>
    <w:rsid w:val="00B5239A"/>
    <w:rsid w:val="00B52654"/>
    <w:rsid w:val="00B52893"/>
    <w:rsid w:val="00B53598"/>
    <w:rsid w:val="00B5627C"/>
    <w:rsid w:val="00B5690B"/>
    <w:rsid w:val="00B570EE"/>
    <w:rsid w:val="00B57875"/>
    <w:rsid w:val="00B602AA"/>
    <w:rsid w:val="00B60369"/>
    <w:rsid w:val="00B61683"/>
    <w:rsid w:val="00B62F90"/>
    <w:rsid w:val="00B64366"/>
    <w:rsid w:val="00B64BE2"/>
    <w:rsid w:val="00B6505B"/>
    <w:rsid w:val="00B66170"/>
    <w:rsid w:val="00B666EE"/>
    <w:rsid w:val="00B6691D"/>
    <w:rsid w:val="00B66935"/>
    <w:rsid w:val="00B67143"/>
    <w:rsid w:val="00B67C30"/>
    <w:rsid w:val="00B71878"/>
    <w:rsid w:val="00B71E4D"/>
    <w:rsid w:val="00B7281A"/>
    <w:rsid w:val="00B73F40"/>
    <w:rsid w:val="00B7634C"/>
    <w:rsid w:val="00B810D6"/>
    <w:rsid w:val="00B82734"/>
    <w:rsid w:val="00B831AC"/>
    <w:rsid w:val="00B8412E"/>
    <w:rsid w:val="00B84F2E"/>
    <w:rsid w:val="00B859D3"/>
    <w:rsid w:val="00B85F45"/>
    <w:rsid w:val="00B90C6B"/>
    <w:rsid w:val="00B918C3"/>
    <w:rsid w:val="00B925A1"/>
    <w:rsid w:val="00B92F64"/>
    <w:rsid w:val="00B96D53"/>
    <w:rsid w:val="00B97419"/>
    <w:rsid w:val="00BA0C54"/>
    <w:rsid w:val="00BA0E84"/>
    <w:rsid w:val="00BA1262"/>
    <w:rsid w:val="00BA1B02"/>
    <w:rsid w:val="00BA3C31"/>
    <w:rsid w:val="00BA7CE9"/>
    <w:rsid w:val="00BB0D07"/>
    <w:rsid w:val="00BB1B7E"/>
    <w:rsid w:val="00BB1CEE"/>
    <w:rsid w:val="00BB23ED"/>
    <w:rsid w:val="00BB2D79"/>
    <w:rsid w:val="00BB3560"/>
    <w:rsid w:val="00BB3FEA"/>
    <w:rsid w:val="00BB47D6"/>
    <w:rsid w:val="00BB71A4"/>
    <w:rsid w:val="00BB7736"/>
    <w:rsid w:val="00BB7A42"/>
    <w:rsid w:val="00BC03AB"/>
    <w:rsid w:val="00BC1674"/>
    <w:rsid w:val="00BC2348"/>
    <w:rsid w:val="00BC56DE"/>
    <w:rsid w:val="00BC6536"/>
    <w:rsid w:val="00BC6E2E"/>
    <w:rsid w:val="00BC7270"/>
    <w:rsid w:val="00BC7D7D"/>
    <w:rsid w:val="00BD03A5"/>
    <w:rsid w:val="00BD0C97"/>
    <w:rsid w:val="00BD11CB"/>
    <w:rsid w:val="00BD2879"/>
    <w:rsid w:val="00BD2ECC"/>
    <w:rsid w:val="00BD4225"/>
    <w:rsid w:val="00BD4717"/>
    <w:rsid w:val="00BD4BB5"/>
    <w:rsid w:val="00BD4F0C"/>
    <w:rsid w:val="00BD5086"/>
    <w:rsid w:val="00BD6801"/>
    <w:rsid w:val="00BD6FBC"/>
    <w:rsid w:val="00BE0681"/>
    <w:rsid w:val="00BE0C4C"/>
    <w:rsid w:val="00BE0F93"/>
    <w:rsid w:val="00BE1BE0"/>
    <w:rsid w:val="00BE22C9"/>
    <w:rsid w:val="00BE2F35"/>
    <w:rsid w:val="00BE3F01"/>
    <w:rsid w:val="00BE44E2"/>
    <w:rsid w:val="00BE4608"/>
    <w:rsid w:val="00BE4C62"/>
    <w:rsid w:val="00BE58E9"/>
    <w:rsid w:val="00BE5C4A"/>
    <w:rsid w:val="00BE6E04"/>
    <w:rsid w:val="00BE75FD"/>
    <w:rsid w:val="00BE77CD"/>
    <w:rsid w:val="00BF063E"/>
    <w:rsid w:val="00BF06EC"/>
    <w:rsid w:val="00BF11F7"/>
    <w:rsid w:val="00BF1530"/>
    <w:rsid w:val="00BF1A51"/>
    <w:rsid w:val="00BF223F"/>
    <w:rsid w:val="00BF27A7"/>
    <w:rsid w:val="00BF34AC"/>
    <w:rsid w:val="00BF3E6D"/>
    <w:rsid w:val="00BF3EAC"/>
    <w:rsid w:val="00BF409F"/>
    <w:rsid w:val="00BF44B7"/>
    <w:rsid w:val="00BF47EF"/>
    <w:rsid w:val="00BF659F"/>
    <w:rsid w:val="00BF741B"/>
    <w:rsid w:val="00BF7A96"/>
    <w:rsid w:val="00BF7FAD"/>
    <w:rsid w:val="00C01EC3"/>
    <w:rsid w:val="00C02043"/>
    <w:rsid w:val="00C0299F"/>
    <w:rsid w:val="00C03BF9"/>
    <w:rsid w:val="00C05AF7"/>
    <w:rsid w:val="00C05B39"/>
    <w:rsid w:val="00C0695C"/>
    <w:rsid w:val="00C06E06"/>
    <w:rsid w:val="00C07119"/>
    <w:rsid w:val="00C07162"/>
    <w:rsid w:val="00C077BB"/>
    <w:rsid w:val="00C100CB"/>
    <w:rsid w:val="00C103E3"/>
    <w:rsid w:val="00C1069B"/>
    <w:rsid w:val="00C10D0A"/>
    <w:rsid w:val="00C11E51"/>
    <w:rsid w:val="00C136C8"/>
    <w:rsid w:val="00C139EF"/>
    <w:rsid w:val="00C14769"/>
    <w:rsid w:val="00C15767"/>
    <w:rsid w:val="00C1634D"/>
    <w:rsid w:val="00C169AD"/>
    <w:rsid w:val="00C17B07"/>
    <w:rsid w:val="00C228EF"/>
    <w:rsid w:val="00C22F16"/>
    <w:rsid w:val="00C31800"/>
    <w:rsid w:val="00C31A40"/>
    <w:rsid w:val="00C32186"/>
    <w:rsid w:val="00C32235"/>
    <w:rsid w:val="00C323AD"/>
    <w:rsid w:val="00C328F1"/>
    <w:rsid w:val="00C32E14"/>
    <w:rsid w:val="00C34659"/>
    <w:rsid w:val="00C34C13"/>
    <w:rsid w:val="00C35543"/>
    <w:rsid w:val="00C355A2"/>
    <w:rsid w:val="00C36A37"/>
    <w:rsid w:val="00C372A1"/>
    <w:rsid w:val="00C37D03"/>
    <w:rsid w:val="00C405B0"/>
    <w:rsid w:val="00C42710"/>
    <w:rsid w:val="00C4316E"/>
    <w:rsid w:val="00C458ED"/>
    <w:rsid w:val="00C4601B"/>
    <w:rsid w:val="00C477FB"/>
    <w:rsid w:val="00C513AD"/>
    <w:rsid w:val="00C51E6D"/>
    <w:rsid w:val="00C52092"/>
    <w:rsid w:val="00C530E9"/>
    <w:rsid w:val="00C531A3"/>
    <w:rsid w:val="00C55550"/>
    <w:rsid w:val="00C55830"/>
    <w:rsid w:val="00C558B4"/>
    <w:rsid w:val="00C55AE1"/>
    <w:rsid w:val="00C55D57"/>
    <w:rsid w:val="00C56526"/>
    <w:rsid w:val="00C57879"/>
    <w:rsid w:val="00C619C5"/>
    <w:rsid w:val="00C62DBD"/>
    <w:rsid w:val="00C63589"/>
    <w:rsid w:val="00C638F8"/>
    <w:rsid w:val="00C63923"/>
    <w:rsid w:val="00C63FE2"/>
    <w:rsid w:val="00C6567F"/>
    <w:rsid w:val="00C65A7C"/>
    <w:rsid w:val="00C66037"/>
    <w:rsid w:val="00C6614B"/>
    <w:rsid w:val="00C6617D"/>
    <w:rsid w:val="00C67768"/>
    <w:rsid w:val="00C67D1B"/>
    <w:rsid w:val="00C67EEF"/>
    <w:rsid w:val="00C67F17"/>
    <w:rsid w:val="00C70402"/>
    <w:rsid w:val="00C70C6C"/>
    <w:rsid w:val="00C7120C"/>
    <w:rsid w:val="00C71336"/>
    <w:rsid w:val="00C7212F"/>
    <w:rsid w:val="00C72630"/>
    <w:rsid w:val="00C73DD6"/>
    <w:rsid w:val="00C73FF0"/>
    <w:rsid w:val="00C7471F"/>
    <w:rsid w:val="00C74EED"/>
    <w:rsid w:val="00C7566E"/>
    <w:rsid w:val="00C76841"/>
    <w:rsid w:val="00C8040E"/>
    <w:rsid w:val="00C80965"/>
    <w:rsid w:val="00C80AB3"/>
    <w:rsid w:val="00C8297D"/>
    <w:rsid w:val="00C82BA5"/>
    <w:rsid w:val="00C82F8F"/>
    <w:rsid w:val="00C83E4B"/>
    <w:rsid w:val="00C8489D"/>
    <w:rsid w:val="00C84CB2"/>
    <w:rsid w:val="00C85AF7"/>
    <w:rsid w:val="00C869E5"/>
    <w:rsid w:val="00C872C5"/>
    <w:rsid w:val="00C873B2"/>
    <w:rsid w:val="00C91DD1"/>
    <w:rsid w:val="00C935CF"/>
    <w:rsid w:val="00C951F6"/>
    <w:rsid w:val="00C95E85"/>
    <w:rsid w:val="00C969FD"/>
    <w:rsid w:val="00C96A52"/>
    <w:rsid w:val="00C96D99"/>
    <w:rsid w:val="00C973B6"/>
    <w:rsid w:val="00C97E14"/>
    <w:rsid w:val="00CA034D"/>
    <w:rsid w:val="00CA1A12"/>
    <w:rsid w:val="00CA1B9B"/>
    <w:rsid w:val="00CA240E"/>
    <w:rsid w:val="00CA2917"/>
    <w:rsid w:val="00CA36FC"/>
    <w:rsid w:val="00CA3774"/>
    <w:rsid w:val="00CA3809"/>
    <w:rsid w:val="00CA3A01"/>
    <w:rsid w:val="00CA3BB6"/>
    <w:rsid w:val="00CA7633"/>
    <w:rsid w:val="00CA763A"/>
    <w:rsid w:val="00CA7F15"/>
    <w:rsid w:val="00CB1F3E"/>
    <w:rsid w:val="00CB22B8"/>
    <w:rsid w:val="00CB2C3D"/>
    <w:rsid w:val="00CB2D39"/>
    <w:rsid w:val="00CB2E64"/>
    <w:rsid w:val="00CB64F5"/>
    <w:rsid w:val="00CB6694"/>
    <w:rsid w:val="00CB6BB3"/>
    <w:rsid w:val="00CC04E7"/>
    <w:rsid w:val="00CC05FA"/>
    <w:rsid w:val="00CC0BA3"/>
    <w:rsid w:val="00CC0C5F"/>
    <w:rsid w:val="00CC104B"/>
    <w:rsid w:val="00CC1A5C"/>
    <w:rsid w:val="00CC29CC"/>
    <w:rsid w:val="00CC2E55"/>
    <w:rsid w:val="00CC3589"/>
    <w:rsid w:val="00CC3677"/>
    <w:rsid w:val="00CC3DCB"/>
    <w:rsid w:val="00CC41F6"/>
    <w:rsid w:val="00CC5162"/>
    <w:rsid w:val="00CC7459"/>
    <w:rsid w:val="00CC7BDE"/>
    <w:rsid w:val="00CD0ACF"/>
    <w:rsid w:val="00CD1C4E"/>
    <w:rsid w:val="00CD366E"/>
    <w:rsid w:val="00CD3BC2"/>
    <w:rsid w:val="00CD48AC"/>
    <w:rsid w:val="00CD6278"/>
    <w:rsid w:val="00CD6691"/>
    <w:rsid w:val="00CD75B3"/>
    <w:rsid w:val="00CE0835"/>
    <w:rsid w:val="00CE0BBB"/>
    <w:rsid w:val="00CE3861"/>
    <w:rsid w:val="00CE4032"/>
    <w:rsid w:val="00CE5824"/>
    <w:rsid w:val="00CF09FE"/>
    <w:rsid w:val="00CF19D9"/>
    <w:rsid w:val="00CF1A5F"/>
    <w:rsid w:val="00CF2031"/>
    <w:rsid w:val="00CF215F"/>
    <w:rsid w:val="00CF44FD"/>
    <w:rsid w:val="00CF4677"/>
    <w:rsid w:val="00CF588C"/>
    <w:rsid w:val="00D01131"/>
    <w:rsid w:val="00D0406D"/>
    <w:rsid w:val="00D04E78"/>
    <w:rsid w:val="00D04F9D"/>
    <w:rsid w:val="00D072DE"/>
    <w:rsid w:val="00D10EE2"/>
    <w:rsid w:val="00D1126C"/>
    <w:rsid w:val="00D11666"/>
    <w:rsid w:val="00D11FCA"/>
    <w:rsid w:val="00D12472"/>
    <w:rsid w:val="00D135A9"/>
    <w:rsid w:val="00D13771"/>
    <w:rsid w:val="00D140C8"/>
    <w:rsid w:val="00D144FC"/>
    <w:rsid w:val="00D145C1"/>
    <w:rsid w:val="00D14DF9"/>
    <w:rsid w:val="00D15C85"/>
    <w:rsid w:val="00D15D7F"/>
    <w:rsid w:val="00D16A8E"/>
    <w:rsid w:val="00D175E6"/>
    <w:rsid w:val="00D17E1C"/>
    <w:rsid w:val="00D20259"/>
    <w:rsid w:val="00D2031B"/>
    <w:rsid w:val="00D2097B"/>
    <w:rsid w:val="00D211EC"/>
    <w:rsid w:val="00D21B27"/>
    <w:rsid w:val="00D222D0"/>
    <w:rsid w:val="00D22720"/>
    <w:rsid w:val="00D233D8"/>
    <w:rsid w:val="00D24CA1"/>
    <w:rsid w:val="00D24D62"/>
    <w:rsid w:val="00D250F9"/>
    <w:rsid w:val="00D26D98"/>
    <w:rsid w:val="00D27932"/>
    <w:rsid w:val="00D315E9"/>
    <w:rsid w:val="00D325D1"/>
    <w:rsid w:val="00D32F87"/>
    <w:rsid w:val="00D35AD0"/>
    <w:rsid w:val="00D35C20"/>
    <w:rsid w:val="00D37F3C"/>
    <w:rsid w:val="00D402E9"/>
    <w:rsid w:val="00D404AB"/>
    <w:rsid w:val="00D40C22"/>
    <w:rsid w:val="00D42632"/>
    <w:rsid w:val="00D42741"/>
    <w:rsid w:val="00D448E4"/>
    <w:rsid w:val="00D44F37"/>
    <w:rsid w:val="00D46E5E"/>
    <w:rsid w:val="00D472F4"/>
    <w:rsid w:val="00D47A4C"/>
    <w:rsid w:val="00D5036B"/>
    <w:rsid w:val="00D5093B"/>
    <w:rsid w:val="00D537A0"/>
    <w:rsid w:val="00D53829"/>
    <w:rsid w:val="00D54DBF"/>
    <w:rsid w:val="00D55AF2"/>
    <w:rsid w:val="00D55B64"/>
    <w:rsid w:val="00D57F2C"/>
    <w:rsid w:val="00D57FBE"/>
    <w:rsid w:val="00D6077D"/>
    <w:rsid w:val="00D60C50"/>
    <w:rsid w:val="00D6113D"/>
    <w:rsid w:val="00D6237B"/>
    <w:rsid w:val="00D63055"/>
    <w:rsid w:val="00D63563"/>
    <w:rsid w:val="00D648CB"/>
    <w:rsid w:val="00D64C5D"/>
    <w:rsid w:val="00D64E53"/>
    <w:rsid w:val="00D6617C"/>
    <w:rsid w:val="00D70B45"/>
    <w:rsid w:val="00D718AD"/>
    <w:rsid w:val="00D718DC"/>
    <w:rsid w:val="00D72288"/>
    <w:rsid w:val="00D74144"/>
    <w:rsid w:val="00D753BA"/>
    <w:rsid w:val="00D75965"/>
    <w:rsid w:val="00D76C09"/>
    <w:rsid w:val="00D77855"/>
    <w:rsid w:val="00D7796E"/>
    <w:rsid w:val="00D810FF"/>
    <w:rsid w:val="00D81875"/>
    <w:rsid w:val="00D81F10"/>
    <w:rsid w:val="00D83A08"/>
    <w:rsid w:val="00D84230"/>
    <w:rsid w:val="00D84633"/>
    <w:rsid w:val="00D84824"/>
    <w:rsid w:val="00D84970"/>
    <w:rsid w:val="00D860FB"/>
    <w:rsid w:val="00D86D78"/>
    <w:rsid w:val="00D87278"/>
    <w:rsid w:val="00D90378"/>
    <w:rsid w:val="00D90DFC"/>
    <w:rsid w:val="00D91A73"/>
    <w:rsid w:val="00D924A8"/>
    <w:rsid w:val="00D92DB9"/>
    <w:rsid w:val="00D96EA0"/>
    <w:rsid w:val="00D97295"/>
    <w:rsid w:val="00DA0000"/>
    <w:rsid w:val="00DA120E"/>
    <w:rsid w:val="00DA23B3"/>
    <w:rsid w:val="00DA32B9"/>
    <w:rsid w:val="00DA4459"/>
    <w:rsid w:val="00DA46D1"/>
    <w:rsid w:val="00DA4E32"/>
    <w:rsid w:val="00DA4E3D"/>
    <w:rsid w:val="00DA50E7"/>
    <w:rsid w:val="00DA6713"/>
    <w:rsid w:val="00DA721A"/>
    <w:rsid w:val="00DA7B96"/>
    <w:rsid w:val="00DB0067"/>
    <w:rsid w:val="00DB06EF"/>
    <w:rsid w:val="00DB13A1"/>
    <w:rsid w:val="00DB1F0D"/>
    <w:rsid w:val="00DB2B6F"/>
    <w:rsid w:val="00DB2D35"/>
    <w:rsid w:val="00DB53B0"/>
    <w:rsid w:val="00DB583F"/>
    <w:rsid w:val="00DB5A90"/>
    <w:rsid w:val="00DB6125"/>
    <w:rsid w:val="00DC0B66"/>
    <w:rsid w:val="00DC11A3"/>
    <w:rsid w:val="00DC11BC"/>
    <w:rsid w:val="00DC1C94"/>
    <w:rsid w:val="00DC1D2F"/>
    <w:rsid w:val="00DC1D40"/>
    <w:rsid w:val="00DC1EC1"/>
    <w:rsid w:val="00DC2570"/>
    <w:rsid w:val="00DC2B25"/>
    <w:rsid w:val="00DC4D3E"/>
    <w:rsid w:val="00DC7179"/>
    <w:rsid w:val="00DC7306"/>
    <w:rsid w:val="00DC731F"/>
    <w:rsid w:val="00DC7D7A"/>
    <w:rsid w:val="00DD02B3"/>
    <w:rsid w:val="00DD0529"/>
    <w:rsid w:val="00DD0F89"/>
    <w:rsid w:val="00DD2449"/>
    <w:rsid w:val="00DD2B4F"/>
    <w:rsid w:val="00DD2CF9"/>
    <w:rsid w:val="00DD3620"/>
    <w:rsid w:val="00DD565B"/>
    <w:rsid w:val="00DD5C7D"/>
    <w:rsid w:val="00DD5FB1"/>
    <w:rsid w:val="00DD673E"/>
    <w:rsid w:val="00DD6FD5"/>
    <w:rsid w:val="00DE1889"/>
    <w:rsid w:val="00DE19B2"/>
    <w:rsid w:val="00DE2455"/>
    <w:rsid w:val="00DE34E7"/>
    <w:rsid w:val="00DE5737"/>
    <w:rsid w:val="00DE57F4"/>
    <w:rsid w:val="00DE6154"/>
    <w:rsid w:val="00DE6361"/>
    <w:rsid w:val="00DE6D55"/>
    <w:rsid w:val="00DE7165"/>
    <w:rsid w:val="00DF063E"/>
    <w:rsid w:val="00DF218D"/>
    <w:rsid w:val="00DF2903"/>
    <w:rsid w:val="00DF2AC2"/>
    <w:rsid w:val="00DF2AD6"/>
    <w:rsid w:val="00DF3AA1"/>
    <w:rsid w:val="00DF6000"/>
    <w:rsid w:val="00DF62E0"/>
    <w:rsid w:val="00E0048E"/>
    <w:rsid w:val="00E0182A"/>
    <w:rsid w:val="00E02D09"/>
    <w:rsid w:val="00E03A46"/>
    <w:rsid w:val="00E0453A"/>
    <w:rsid w:val="00E05C1E"/>
    <w:rsid w:val="00E065EE"/>
    <w:rsid w:val="00E117CF"/>
    <w:rsid w:val="00E125B7"/>
    <w:rsid w:val="00E12831"/>
    <w:rsid w:val="00E129ED"/>
    <w:rsid w:val="00E140DA"/>
    <w:rsid w:val="00E1470D"/>
    <w:rsid w:val="00E14CE4"/>
    <w:rsid w:val="00E16CA9"/>
    <w:rsid w:val="00E16DF5"/>
    <w:rsid w:val="00E16E53"/>
    <w:rsid w:val="00E178D5"/>
    <w:rsid w:val="00E17C2B"/>
    <w:rsid w:val="00E212BC"/>
    <w:rsid w:val="00E219E4"/>
    <w:rsid w:val="00E231BC"/>
    <w:rsid w:val="00E236E6"/>
    <w:rsid w:val="00E24178"/>
    <w:rsid w:val="00E248B6"/>
    <w:rsid w:val="00E250EC"/>
    <w:rsid w:val="00E25C72"/>
    <w:rsid w:val="00E26212"/>
    <w:rsid w:val="00E26534"/>
    <w:rsid w:val="00E26815"/>
    <w:rsid w:val="00E26A81"/>
    <w:rsid w:val="00E26F74"/>
    <w:rsid w:val="00E2757F"/>
    <w:rsid w:val="00E31243"/>
    <w:rsid w:val="00E321ED"/>
    <w:rsid w:val="00E322D9"/>
    <w:rsid w:val="00E32DB7"/>
    <w:rsid w:val="00E33AD2"/>
    <w:rsid w:val="00E33EF8"/>
    <w:rsid w:val="00E351AD"/>
    <w:rsid w:val="00E3620F"/>
    <w:rsid w:val="00E36302"/>
    <w:rsid w:val="00E43FAE"/>
    <w:rsid w:val="00E45CB2"/>
    <w:rsid w:val="00E45D7A"/>
    <w:rsid w:val="00E47694"/>
    <w:rsid w:val="00E504B1"/>
    <w:rsid w:val="00E52C9C"/>
    <w:rsid w:val="00E54D46"/>
    <w:rsid w:val="00E5577B"/>
    <w:rsid w:val="00E558C0"/>
    <w:rsid w:val="00E559E2"/>
    <w:rsid w:val="00E56378"/>
    <w:rsid w:val="00E565D5"/>
    <w:rsid w:val="00E60D2D"/>
    <w:rsid w:val="00E611E2"/>
    <w:rsid w:val="00E6174D"/>
    <w:rsid w:val="00E6192D"/>
    <w:rsid w:val="00E62039"/>
    <w:rsid w:val="00E6244C"/>
    <w:rsid w:val="00E62501"/>
    <w:rsid w:val="00E62E78"/>
    <w:rsid w:val="00E63780"/>
    <w:rsid w:val="00E644D0"/>
    <w:rsid w:val="00E65F9A"/>
    <w:rsid w:val="00E67259"/>
    <w:rsid w:val="00E6729E"/>
    <w:rsid w:val="00E67AA7"/>
    <w:rsid w:val="00E67E1F"/>
    <w:rsid w:val="00E67F7F"/>
    <w:rsid w:val="00E70BB5"/>
    <w:rsid w:val="00E71C9A"/>
    <w:rsid w:val="00E723CF"/>
    <w:rsid w:val="00E75A3E"/>
    <w:rsid w:val="00E760E1"/>
    <w:rsid w:val="00E7799E"/>
    <w:rsid w:val="00E77EC9"/>
    <w:rsid w:val="00E80ECE"/>
    <w:rsid w:val="00E80EE2"/>
    <w:rsid w:val="00E840F6"/>
    <w:rsid w:val="00E84D10"/>
    <w:rsid w:val="00E86015"/>
    <w:rsid w:val="00E867D9"/>
    <w:rsid w:val="00E877C4"/>
    <w:rsid w:val="00E877E5"/>
    <w:rsid w:val="00E879D0"/>
    <w:rsid w:val="00E90D4C"/>
    <w:rsid w:val="00E910A1"/>
    <w:rsid w:val="00E91C36"/>
    <w:rsid w:val="00E9254E"/>
    <w:rsid w:val="00E93B49"/>
    <w:rsid w:val="00E93C19"/>
    <w:rsid w:val="00E93FBB"/>
    <w:rsid w:val="00E9449D"/>
    <w:rsid w:val="00E946C6"/>
    <w:rsid w:val="00E954F6"/>
    <w:rsid w:val="00E967BC"/>
    <w:rsid w:val="00E97DB5"/>
    <w:rsid w:val="00EA0E95"/>
    <w:rsid w:val="00EA1F92"/>
    <w:rsid w:val="00EA36EA"/>
    <w:rsid w:val="00EA40F4"/>
    <w:rsid w:val="00EA441B"/>
    <w:rsid w:val="00EA5FA8"/>
    <w:rsid w:val="00EA6593"/>
    <w:rsid w:val="00EA76D5"/>
    <w:rsid w:val="00EB0BD4"/>
    <w:rsid w:val="00EB1FE5"/>
    <w:rsid w:val="00EB354A"/>
    <w:rsid w:val="00EB4031"/>
    <w:rsid w:val="00EB45EB"/>
    <w:rsid w:val="00EB4609"/>
    <w:rsid w:val="00EB4CB6"/>
    <w:rsid w:val="00EB52BA"/>
    <w:rsid w:val="00EB5964"/>
    <w:rsid w:val="00EB5A06"/>
    <w:rsid w:val="00EB737D"/>
    <w:rsid w:val="00EC016E"/>
    <w:rsid w:val="00EC1A1C"/>
    <w:rsid w:val="00EC1FD0"/>
    <w:rsid w:val="00EC2027"/>
    <w:rsid w:val="00EC21C2"/>
    <w:rsid w:val="00EC3B16"/>
    <w:rsid w:val="00EC3C5D"/>
    <w:rsid w:val="00EC4333"/>
    <w:rsid w:val="00EC4E1F"/>
    <w:rsid w:val="00EC5951"/>
    <w:rsid w:val="00EC611C"/>
    <w:rsid w:val="00EC6394"/>
    <w:rsid w:val="00EC6CC1"/>
    <w:rsid w:val="00ED0D0C"/>
    <w:rsid w:val="00ED0E5B"/>
    <w:rsid w:val="00ED1585"/>
    <w:rsid w:val="00ED23D1"/>
    <w:rsid w:val="00ED41CA"/>
    <w:rsid w:val="00ED5D6A"/>
    <w:rsid w:val="00ED6B4B"/>
    <w:rsid w:val="00ED769E"/>
    <w:rsid w:val="00EE0F81"/>
    <w:rsid w:val="00EE100A"/>
    <w:rsid w:val="00EE1F1E"/>
    <w:rsid w:val="00EE215C"/>
    <w:rsid w:val="00EE2397"/>
    <w:rsid w:val="00EE275E"/>
    <w:rsid w:val="00EE2964"/>
    <w:rsid w:val="00EE2969"/>
    <w:rsid w:val="00EE31C8"/>
    <w:rsid w:val="00EE3647"/>
    <w:rsid w:val="00EE4060"/>
    <w:rsid w:val="00EE4167"/>
    <w:rsid w:val="00EE4463"/>
    <w:rsid w:val="00EE44AD"/>
    <w:rsid w:val="00EE4D39"/>
    <w:rsid w:val="00EE5517"/>
    <w:rsid w:val="00EE626B"/>
    <w:rsid w:val="00EE651F"/>
    <w:rsid w:val="00EE732E"/>
    <w:rsid w:val="00EE7EFD"/>
    <w:rsid w:val="00EF01BF"/>
    <w:rsid w:val="00EF0AED"/>
    <w:rsid w:val="00EF112A"/>
    <w:rsid w:val="00EF116C"/>
    <w:rsid w:val="00EF1343"/>
    <w:rsid w:val="00EF13B2"/>
    <w:rsid w:val="00EF29B1"/>
    <w:rsid w:val="00EF3575"/>
    <w:rsid w:val="00EF3ED0"/>
    <w:rsid w:val="00EF40CD"/>
    <w:rsid w:val="00EF5987"/>
    <w:rsid w:val="00EF6615"/>
    <w:rsid w:val="00EF72C7"/>
    <w:rsid w:val="00EF785C"/>
    <w:rsid w:val="00EF7A06"/>
    <w:rsid w:val="00F0081D"/>
    <w:rsid w:val="00F0164D"/>
    <w:rsid w:val="00F01D71"/>
    <w:rsid w:val="00F031DD"/>
    <w:rsid w:val="00F032BF"/>
    <w:rsid w:val="00F050D9"/>
    <w:rsid w:val="00F05B06"/>
    <w:rsid w:val="00F060BD"/>
    <w:rsid w:val="00F06DC5"/>
    <w:rsid w:val="00F10A4F"/>
    <w:rsid w:val="00F10AB0"/>
    <w:rsid w:val="00F1132C"/>
    <w:rsid w:val="00F11AAA"/>
    <w:rsid w:val="00F11C0A"/>
    <w:rsid w:val="00F12E4D"/>
    <w:rsid w:val="00F13682"/>
    <w:rsid w:val="00F13A66"/>
    <w:rsid w:val="00F14638"/>
    <w:rsid w:val="00F14B87"/>
    <w:rsid w:val="00F14BD4"/>
    <w:rsid w:val="00F16167"/>
    <w:rsid w:val="00F16993"/>
    <w:rsid w:val="00F16A4E"/>
    <w:rsid w:val="00F17D25"/>
    <w:rsid w:val="00F21246"/>
    <w:rsid w:val="00F228D1"/>
    <w:rsid w:val="00F24C5B"/>
    <w:rsid w:val="00F25229"/>
    <w:rsid w:val="00F25541"/>
    <w:rsid w:val="00F25D3F"/>
    <w:rsid w:val="00F26239"/>
    <w:rsid w:val="00F26D4A"/>
    <w:rsid w:val="00F2753B"/>
    <w:rsid w:val="00F30A13"/>
    <w:rsid w:val="00F31A08"/>
    <w:rsid w:val="00F32061"/>
    <w:rsid w:val="00F3234F"/>
    <w:rsid w:val="00F3264E"/>
    <w:rsid w:val="00F3391A"/>
    <w:rsid w:val="00F33AD4"/>
    <w:rsid w:val="00F3434E"/>
    <w:rsid w:val="00F34CA8"/>
    <w:rsid w:val="00F34D34"/>
    <w:rsid w:val="00F35BA7"/>
    <w:rsid w:val="00F35F98"/>
    <w:rsid w:val="00F36B19"/>
    <w:rsid w:val="00F37EFE"/>
    <w:rsid w:val="00F40046"/>
    <w:rsid w:val="00F406A2"/>
    <w:rsid w:val="00F41B0B"/>
    <w:rsid w:val="00F42B21"/>
    <w:rsid w:val="00F43593"/>
    <w:rsid w:val="00F43889"/>
    <w:rsid w:val="00F43911"/>
    <w:rsid w:val="00F43D55"/>
    <w:rsid w:val="00F44C49"/>
    <w:rsid w:val="00F459D6"/>
    <w:rsid w:val="00F45CBA"/>
    <w:rsid w:val="00F46E9A"/>
    <w:rsid w:val="00F47FC3"/>
    <w:rsid w:val="00F5140B"/>
    <w:rsid w:val="00F5390C"/>
    <w:rsid w:val="00F54AC7"/>
    <w:rsid w:val="00F552F1"/>
    <w:rsid w:val="00F553EF"/>
    <w:rsid w:val="00F55562"/>
    <w:rsid w:val="00F55CD9"/>
    <w:rsid w:val="00F56362"/>
    <w:rsid w:val="00F57B84"/>
    <w:rsid w:val="00F60CBA"/>
    <w:rsid w:val="00F62C9B"/>
    <w:rsid w:val="00F6368B"/>
    <w:rsid w:val="00F63DD0"/>
    <w:rsid w:val="00F647CF"/>
    <w:rsid w:val="00F66A70"/>
    <w:rsid w:val="00F66FA1"/>
    <w:rsid w:val="00F71C0A"/>
    <w:rsid w:val="00F71CA1"/>
    <w:rsid w:val="00F728BE"/>
    <w:rsid w:val="00F72A9C"/>
    <w:rsid w:val="00F72D02"/>
    <w:rsid w:val="00F75B66"/>
    <w:rsid w:val="00F76665"/>
    <w:rsid w:val="00F77DCC"/>
    <w:rsid w:val="00F805E2"/>
    <w:rsid w:val="00F8123D"/>
    <w:rsid w:val="00F8177C"/>
    <w:rsid w:val="00F84344"/>
    <w:rsid w:val="00F84F0D"/>
    <w:rsid w:val="00F86E97"/>
    <w:rsid w:val="00F87279"/>
    <w:rsid w:val="00F87BC5"/>
    <w:rsid w:val="00F9050B"/>
    <w:rsid w:val="00F905B3"/>
    <w:rsid w:val="00F90985"/>
    <w:rsid w:val="00F911C0"/>
    <w:rsid w:val="00F918D0"/>
    <w:rsid w:val="00F92F70"/>
    <w:rsid w:val="00F92FEB"/>
    <w:rsid w:val="00F936F3"/>
    <w:rsid w:val="00F939E0"/>
    <w:rsid w:val="00F93C2D"/>
    <w:rsid w:val="00F9468E"/>
    <w:rsid w:val="00F9514E"/>
    <w:rsid w:val="00F95EAE"/>
    <w:rsid w:val="00F97211"/>
    <w:rsid w:val="00F97842"/>
    <w:rsid w:val="00F97C32"/>
    <w:rsid w:val="00FA044E"/>
    <w:rsid w:val="00FA0D50"/>
    <w:rsid w:val="00FA1C0C"/>
    <w:rsid w:val="00FA26EC"/>
    <w:rsid w:val="00FA4381"/>
    <w:rsid w:val="00FA4ABC"/>
    <w:rsid w:val="00FA52B4"/>
    <w:rsid w:val="00FA61A6"/>
    <w:rsid w:val="00FA730C"/>
    <w:rsid w:val="00FB0A14"/>
    <w:rsid w:val="00FB0EF5"/>
    <w:rsid w:val="00FB1664"/>
    <w:rsid w:val="00FB1D66"/>
    <w:rsid w:val="00FB3075"/>
    <w:rsid w:val="00FB36FF"/>
    <w:rsid w:val="00FB3D4A"/>
    <w:rsid w:val="00FB636F"/>
    <w:rsid w:val="00FB6852"/>
    <w:rsid w:val="00FB6E72"/>
    <w:rsid w:val="00FB7ED1"/>
    <w:rsid w:val="00FC0E18"/>
    <w:rsid w:val="00FC17AF"/>
    <w:rsid w:val="00FC1838"/>
    <w:rsid w:val="00FC1B8C"/>
    <w:rsid w:val="00FC2ECA"/>
    <w:rsid w:val="00FC2ED8"/>
    <w:rsid w:val="00FC3A63"/>
    <w:rsid w:val="00FC4415"/>
    <w:rsid w:val="00FC4494"/>
    <w:rsid w:val="00FC6B15"/>
    <w:rsid w:val="00FC7664"/>
    <w:rsid w:val="00FC7DAC"/>
    <w:rsid w:val="00FD1BC2"/>
    <w:rsid w:val="00FD1CB5"/>
    <w:rsid w:val="00FD26F9"/>
    <w:rsid w:val="00FD295E"/>
    <w:rsid w:val="00FD2A56"/>
    <w:rsid w:val="00FD2D17"/>
    <w:rsid w:val="00FD3CC4"/>
    <w:rsid w:val="00FD3DBE"/>
    <w:rsid w:val="00FD608C"/>
    <w:rsid w:val="00FD69F9"/>
    <w:rsid w:val="00FD7453"/>
    <w:rsid w:val="00FD7845"/>
    <w:rsid w:val="00FE1B54"/>
    <w:rsid w:val="00FE411F"/>
    <w:rsid w:val="00FE552B"/>
    <w:rsid w:val="00FE58D2"/>
    <w:rsid w:val="00FE7A38"/>
    <w:rsid w:val="00FE7ADA"/>
    <w:rsid w:val="00FF08BA"/>
    <w:rsid w:val="00FF245C"/>
    <w:rsid w:val="00FF3895"/>
    <w:rsid w:val="00FF3ED6"/>
    <w:rsid w:val="00FF3F31"/>
    <w:rsid w:val="00FF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F343690"/>
  <w15:docId w15:val="{84C4A299-D777-46AB-AC5A-D1C6127F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89"/>
    <w:rPr>
      <w:sz w:val="24"/>
      <w:szCs w:val="24"/>
    </w:rPr>
  </w:style>
  <w:style w:type="paragraph" w:styleId="Heading1">
    <w:name w:val="heading 1"/>
    <w:basedOn w:val="Normal"/>
    <w:next w:val="Normal"/>
    <w:link w:val="Heading1Char"/>
    <w:qFormat/>
    <w:locked/>
    <w:rsid w:val="00626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D0F89"/>
    <w:pPr>
      <w:keepNext/>
      <w:spacing w:before="240" w:after="60"/>
      <w:outlineLvl w:val="1"/>
    </w:pPr>
    <w:rPr>
      <w:b/>
      <w:bCs/>
      <w:i/>
      <w:iCs/>
      <w:sz w:val="28"/>
      <w:szCs w:val="28"/>
    </w:rPr>
  </w:style>
  <w:style w:type="paragraph" w:styleId="Heading3">
    <w:name w:val="heading 3"/>
    <w:basedOn w:val="Normal"/>
    <w:next w:val="Normal"/>
    <w:link w:val="Heading3Char"/>
    <w:semiHidden/>
    <w:unhideWhenUsed/>
    <w:qFormat/>
    <w:locked/>
    <w:rsid w:val="005332E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D0F89"/>
    <w:pPr>
      <w:framePr w:w="7920" w:h="1980" w:hRule="exact" w:hSpace="180" w:wrap="auto" w:hAnchor="page" w:xAlign="center" w:yAlign="bottom"/>
      <w:ind w:left="2880"/>
    </w:pPr>
    <w:rPr>
      <w:rFonts w:ascii="Courier New" w:hAnsi="Courier New"/>
      <w:caps/>
    </w:rPr>
  </w:style>
  <w:style w:type="paragraph" w:styleId="Header">
    <w:name w:val="header"/>
    <w:basedOn w:val="Normal"/>
    <w:rsid w:val="00DD0F89"/>
    <w:pPr>
      <w:tabs>
        <w:tab w:val="center" w:pos="4320"/>
        <w:tab w:val="right" w:pos="8640"/>
      </w:tabs>
    </w:pPr>
  </w:style>
  <w:style w:type="paragraph" w:styleId="Footer">
    <w:name w:val="footer"/>
    <w:basedOn w:val="Normal"/>
    <w:link w:val="FooterChar"/>
    <w:uiPriority w:val="99"/>
    <w:rsid w:val="00DD0F89"/>
    <w:pPr>
      <w:tabs>
        <w:tab w:val="center" w:pos="4320"/>
        <w:tab w:val="right" w:pos="8640"/>
      </w:tabs>
    </w:pPr>
  </w:style>
  <w:style w:type="character" w:styleId="PageNumber">
    <w:name w:val="page number"/>
    <w:basedOn w:val="DefaultParagraphFont"/>
    <w:rsid w:val="00DD0F89"/>
    <w:rPr>
      <w:rFonts w:cs="Times New Roman"/>
    </w:rPr>
  </w:style>
  <w:style w:type="paragraph" w:styleId="NormalWeb">
    <w:name w:val="Normal (Web)"/>
    <w:basedOn w:val="Normal"/>
    <w:uiPriority w:val="99"/>
    <w:rsid w:val="00DD0F89"/>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rsid w:val="00DD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sid w:val="00DD0F89"/>
    <w:pPr>
      <w:jc w:val="both"/>
    </w:pPr>
    <w:rPr>
      <w:sz w:val="20"/>
    </w:rPr>
  </w:style>
  <w:style w:type="paragraph" w:styleId="BalloonText">
    <w:name w:val="Balloon Text"/>
    <w:basedOn w:val="Normal"/>
    <w:semiHidden/>
    <w:rsid w:val="00DD0F89"/>
    <w:rPr>
      <w:rFonts w:ascii="Tahoma" w:hAnsi="Tahoma" w:cs="Tahoma"/>
      <w:sz w:val="16"/>
      <w:szCs w:val="16"/>
    </w:rPr>
  </w:style>
  <w:style w:type="character" w:styleId="Hyperlink">
    <w:name w:val="Hyperlink"/>
    <w:basedOn w:val="DefaultParagraphFont"/>
    <w:rsid w:val="00DD0F89"/>
    <w:rPr>
      <w:rFonts w:cs="Times New Roman"/>
      <w:color w:val="0000FF"/>
      <w:u w:val="single"/>
    </w:rPr>
  </w:style>
  <w:style w:type="paragraph" w:customStyle="1" w:styleId="msoaccenttext">
    <w:name w:val="msoaccenttext"/>
    <w:rsid w:val="004E0DCE"/>
    <w:pPr>
      <w:spacing w:line="300" w:lineRule="auto"/>
    </w:pPr>
    <w:rPr>
      <w:rFonts w:ascii="Franklin Gothic Heavy" w:hAnsi="Franklin Gothic Heavy"/>
      <w:color w:val="000000"/>
      <w:kern w:val="28"/>
      <w:sz w:val="18"/>
      <w:szCs w:val="18"/>
    </w:rPr>
  </w:style>
  <w:style w:type="paragraph" w:customStyle="1" w:styleId="aaChartAnalysis">
    <w:name w:val="aaChartAnalysis"/>
    <w:basedOn w:val="Normal"/>
    <w:rsid w:val="004E0DCE"/>
    <w:pPr>
      <w:spacing w:after="120"/>
    </w:pPr>
    <w:rPr>
      <w:color w:val="000000"/>
      <w:kern w:val="28"/>
      <w:sz w:val="20"/>
      <w:szCs w:val="20"/>
    </w:rPr>
  </w:style>
  <w:style w:type="paragraph" w:customStyle="1" w:styleId="aaChartTitle">
    <w:name w:val="aaChartTitle"/>
    <w:basedOn w:val="Normal"/>
    <w:rsid w:val="00E32DB7"/>
    <w:pPr>
      <w:spacing w:after="120" w:line="283" w:lineRule="auto"/>
    </w:pPr>
    <w:rPr>
      <w:b/>
      <w:bCs/>
      <w:color w:val="000000"/>
      <w:kern w:val="28"/>
      <w:sz w:val="22"/>
      <w:szCs w:val="22"/>
    </w:rPr>
  </w:style>
  <w:style w:type="character" w:customStyle="1" w:styleId="phone1">
    <w:name w:val="phone1"/>
    <w:basedOn w:val="DefaultParagraphFont"/>
    <w:rsid w:val="00EE100A"/>
    <w:rPr>
      <w:rFonts w:cs="Times New Roman"/>
      <w:sz w:val="26"/>
      <w:szCs w:val="26"/>
    </w:rPr>
  </w:style>
  <w:style w:type="character" w:customStyle="1" w:styleId="title1">
    <w:name w:val="title1"/>
    <w:basedOn w:val="DefaultParagraphFont"/>
    <w:rsid w:val="00EE100A"/>
    <w:rPr>
      <w:rFonts w:cs="Times New Roman"/>
    </w:rPr>
  </w:style>
  <w:style w:type="character" w:customStyle="1" w:styleId="department1">
    <w:name w:val="department1"/>
    <w:basedOn w:val="DefaultParagraphFont"/>
    <w:rsid w:val="00EE100A"/>
    <w:rPr>
      <w:rFonts w:cs="Times New Roman"/>
    </w:rPr>
  </w:style>
  <w:style w:type="character" w:customStyle="1" w:styleId="email1">
    <w:name w:val="email1"/>
    <w:basedOn w:val="DefaultParagraphFont"/>
    <w:rsid w:val="00EE100A"/>
    <w:rPr>
      <w:rFonts w:cs="Times New Roman"/>
    </w:rPr>
  </w:style>
  <w:style w:type="character" w:styleId="FollowedHyperlink">
    <w:name w:val="FollowedHyperlink"/>
    <w:basedOn w:val="DefaultParagraphFont"/>
    <w:rsid w:val="002C03CD"/>
    <w:rPr>
      <w:rFonts w:cs="Times New Roman"/>
      <w:color w:val="800080"/>
      <w:u w:val="single"/>
    </w:rPr>
  </w:style>
  <w:style w:type="paragraph" w:styleId="FootnoteText">
    <w:name w:val="footnote text"/>
    <w:basedOn w:val="Normal"/>
    <w:link w:val="FootnoteTextChar"/>
    <w:rsid w:val="0042700B"/>
    <w:rPr>
      <w:sz w:val="20"/>
      <w:szCs w:val="20"/>
    </w:rPr>
  </w:style>
  <w:style w:type="character" w:customStyle="1" w:styleId="FootnoteTextChar">
    <w:name w:val="Footnote Text Char"/>
    <w:basedOn w:val="DefaultParagraphFont"/>
    <w:link w:val="FootnoteText"/>
    <w:rsid w:val="0042700B"/>
  </w:style>
  <w:style w:type="character" w:styleId="FootnoteReference">
    <w:name w:val="footnote reference"/>
    <w:basedOn w:val="DefaultParagraphFont"/>
    <w:rsid w:val="0042700B"/>
    <w:rPr>
      <w:vertAlign w:val="superscript"/>
    </w:rPr>
  </w:style>
  <w:style w:type="paragraph" w:styleId="EndnoteText">
    <w:name w:val="endnote text"/>
    <w:basedOn w:val="Normal"/>
    <w:link w:val="EndnoteTextChar"/>
    <w:rsid w:val="0078371A"/>
    <w:rPr>
      <w:sz w:val="20"/>
      <w:szCs w:val="20"/>
    </w:rPr>
  </w:style>
  <w:style w:type="character" w:customStyle="1" w:styleId="EndnoteTextChar">
    <w:name w:val="Endnote Text Char"/>
    <w:basedOn w:val="DefaultParagraphFont"/>
    <w:link w:val="EndnoteText"/>
    <w:rsid w:val="0078371A"/>
  </w:style>
  <w:style w:type="character" w:styleId="EndnoteReference">
    <w:name w:val="endnote reference"/>
    <w:basedOn w:val="DefaultParagraphFont"/>
    <w:rsid w:val="0078371A"/>
    <w:rPr>
      <w:vertAlign w:val="superscript"/>
    </w:rPr>
  </w:style>
  <w:style w:type="paragraph" w:styleId="ListParagraph">
    <w:name w:val="List Paragraph"/>
    <w:basedOn w:val="Normal"/>
    <w:uiPriority w:val="34"/>
    <w:qFormat/>
    <w:rsid w:val="003453A4"/>
    <w:pPr>
      <w:ind w:left="720"/>
      <w:contextualSpacing/>
    </w:pPr>
  </w:style>
  <w:style w:type="character" w:customStyle="1" w:styleId="HTMLPreformattedChar">
    <w:name w:val="HTML Preformatted Char"/>
    <w:basedOn w:val="DefaultParagraphFont"/>
    <w:link w:val="HTMLPreformatted"/>
    <w:rsid w:val="005A590D"/>
    <w:rPr>
      <w:rFonts w:ascii="Arial Unicode MS" w:eastAsia="Arial Unicode MS" w:hAnsi="Arial Unicode MS" w:cs="Arial Unicode MS"/>
    </w:rPr>
  </w:style>
  <w:style w:type="character" w:customStyle="1" w:styleId="FooterChar">
    <w:name w:val="Footer Char"/>
    <w:basedOn w:val="DefaultParagraphFont"/>
    <w:link w:val="Footer"/>
    <w:uiPriority w:val="99"/>
    <w:rsid w:val="00AE7D92"/>
    <w:rPr>
      <w:sz w:val="24"/>
      <w:szCs w:val="24"/>
    </w:rPr>
  </w:style>
  <w:style w:type="character" w:styleId="CommentReference">
    <w:name w:val="annotation reference"/>
    <w:basedOn w:val="DefaultParagraphFont"/>
    <w:uiPriority w:val="99"/>
    <w:unhideWhenUsed/>
    <w:rsid w:val="007B448A"/>
    <w:rPr>
      <w:sz w:val="16"/>
      <w:szCs w:val="16"/>
    </w:rPr>
  </w:style>
  <w:style w:type="paragraph" w:styleId="CommentText">
    <w:name w:val="annotation text"/>
    <w:basedOn w:val="Normal"/>
    <w:link w:val="CommentTextChar"/>
    <w:uiPriority w:val="99"/>
    <w:unhideWhenUsed/>
    <w:rsid w:val="007B448A"/>
    <w:rPr>
      <w:sz w:val="20"/>
      <w:szCs w:val="20"/>
    </w:rPr>
  </w:style>
  <w:style w:type="character" w:customStyle="1" w:styleId="CommentTextChar">
    <w:name w:val="Comment Text Char"/>
    <w:basedOn w:val="DefaultParagraphFont"/>
    <w:link w:val="CommentText"/>
    <w:uiPriority w:val="99"/>
    <w:rsid w:val="007B448A"/>
  </w:style>
  <w:style w:type="paragraph" w:styleId="CommentSubject">
    <w:name w:val="annotation subject"/>
    <w:basedOn w:val="CommentText"/>
    <w:next w:val="CommentText"/>
    <w:link w:val="CommentSubjectChar"/>
    <w:semiHidden/>
    <w:unhideWhenUsed/>
    <w:rsid w:val="007B448A"/>
    <w:rPr>
      <w:b/>
      <w:bCs/>
    </w:rPr>
  </w:style>
  <w:style w:type="character" w:customStyle="1" w:styleId="CommentSubjectChar">
    <w:name w:val="Comment Subject Char"/>
    <w:basedOn w:val="CommentTextChar"/>
    <w:link w:val="CommentSubject"/>
    <w:semiHidden/>
    <w:rsid w:val="007B448A"/>
    <w:rPr>
      <w:b/>
      <w:bCs/>
    </w:rPr>
  </w:style>
  <w:style w:type="character" w:customStyle="1" w:styleId="Heading1Char">
    <w:name w:val="Heading 1 Char"/>
    <w:basedOn w:val="DefaultParagraphFont"/>
    <w:link w:val="Heading1"/>
    <w:rsid w:val="0062679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704F84"/>
    <w:rPr>
      <w:sz w:val="24"/>
      <w:szCs w:val="24"/>
    </w:rPr>
  </w:style>
  <w:style w:type="paragraph" w:customStyle="1" w:styleId="Default">
    <w:name w:val="Default"/>
    <w:rsid w:val="009E0686"/>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324BE7"/>
    <w:pPr>
      <w:widowControl w:val="0"/>
      <w:autoSpaceDE w:val="0"/>
      <w:autoSpaceDN w:val="0"/>
    </w:pPr>
    <w:rPr>
      <w:rFonts w:eastAsia="Arial"/>
      <w:sz w:val="22"/>
      <w:szCs w:val="22"/>
    </w:rPr>
  </w:style>
  <w:style w:type="character" w:customStyle="1" w:styleId="Heading3Char">
    <w:name w:val="Heading 3 Char"/>
    <w:basedOn w:val="DefaultParagraphFont"/>
    <w:link w:val="Heading3"/>
    <w:semiHidden/>
    <w:rsid w:val="005332E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249912">
      <w:bodyDiv w:val="1"/>
      <w:marLeft w:val="0"/>
      <w:marRight w:val="0"/>
      <w:marTop w:val="0"/>
      <w:marBottom w:val="0"/>
      <w:divBdr>
        <w:top w:val="none" w:sz="0" w:space="0" w:color="auto"/>
        <w:left w:val="none" w:sz="0" w:space="0" w:color="auto"/>
        <w:bottom w:val="none" w:sz="0" w:space="0" w:color="auto"/>
        <w:right w:val="none" w:sz="0" w:space="0" w:color="auto"/>
      </w:divBdr>
    </w:div>
    <w:div w:id="5988386">
      <w:bodyDiv w:val="1"/>
      <w:marLeft w:val="0"/>
      <w:marRight w:val="0"/>
      <w:marTop w:val="0"/>
      <w:marBottom w:val="0"/>
      <w:divBdr>
        <w:top w:val="none" w:sz="0" w:space="0" w:color="auto"/>
        <w:left w:val="none" w:sz="0" w:space="0" w:color="auto"/>
        <w:bottom w:val="none" w:sz="0" w:space="0" w:color="auto"/>
        <w:right w:val="none" w:sz="0" w:space="0" w:color="auto"/>
      </w:divBdr>
    </w:div>
    <w:div w:id="285337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3913323">
          <w:marLeft w:val="0"/>
          <w:marRight w:val="0"/>
          <w:marTop w:val="0"/>
          <w:marBottom w:val="0"/>
          <w:divBdr>
            <w:top w:val="none" w:sz="0" w:space="0" w:color="auto"/>
            <w:left w:val="none" w:sz="0" w:space="0" w:color="auto"/>
            <w:bottom w:val="none" w:sz="0" w:space="0" w:color="auto"/>
            <w:right w:val="none" w:sz="0" w:space="0" w:color="auto"/>
          </w:divBdr>
          <w:divsChild>
            <w:div w:id="1502238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670524">
      <w:bodyDiv w:val="1"/>
      <w:marLeft w:val="0"/>
      <w:marRight w:val="0"/>
      <w:marTop w:val="0"/>
      <w:marBottom w:val="0"/>
      <w:divBdr>
        <w:top w:val="none" w:sz="0" w:space="0" w:color="auto"/>
        <w:left w:val="none" w:sz="0" w:space="0" w:color="auto"/>
        <w:bottom w:val="none" w:sz="0" w:space="0" w:color="auto"/>
        <w:right w:val="none" w:sz="0" w:space="0" w:color="auto"/>
      </w:divBdr>
    </w:div>
    <w:div w:id="46994704">
      <w:bodyDiv w:val="1"/>
      <w:marLeft w:val="0"/>
      <w:marRight w:val="0"/>
      <w:marTop w:val="0"/>
      <w:marBottom w:val="0"/>
      <w:divBdr>
        <w:top w:val="none" w:sz="0" w:space="0" w:color="auto"/>
        <w:left w:val="none" w:sz="0" w:space="0" w:color="auto"/>
        <w:bottom w:val="none" w:sz="0" w:space="0" w:color="auto"/>
        <w:right w:val="none" w:sz="0" w:space="0" w:color="auto"/>
      </w:divBdr>
    </w:div>
    <w:div w:id="68237916">
      <w:bodyDiv w:val="1"/>
      <w:marLeft w:val="0"/>
      <w:marRight w:val="0"/>
      <w:marTop w:val="0"/>
      <w:marBottom w:val="0"/>
      <w:divBdr>
        <w:top w:val="none" w:sz="0" w:space="0" w:color="auto"/>
        <w:left w:val="none" w:sz="0" w:space="0" w:color="auto"/>
        <w:bottom w:val="none" w:sz="0" w:space="0" w:color="auto"/>
        <w:right w:val="none" w:sz="0" w:space="0" w:color="auto"/>
      </w:divBdr>
    </w:div>
    <w:div w:id="70129626">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84154626">
      <w:bodyDiv w:val="1"/>
      <w:marLeft w:val="0"/>
      <w:marRight w:val="0"/>
      <w:marTop w:val="0"/>
      <w:marBottom w:val="0"/>
      <w:divBdr>
        <w:top w:val="none" w:sz="0" w:space="0" w:color="auto"/>
        <w:left w:val="none" w:sz="0" w:space="0" w:color="auto"/>
        <w:bottom w:val="none" w:sz="0" w:space="0" w:color="auto"/>
        <w:right w:val="none" w:sz="0" w:space="0" w:color="auto"/>
      </w:divBdr>
    </w:div>
    <w:div w:id="92477960">
      <w:bodyDiv w:val="1"/>
      <w:marLeft w:val="0"/>
      <w:marRight w:val="0"/>
      <w:marTop w:val="0"/>
      <w:marBottom w:val="0"/>
      <w:divBdr>
        <w:top w:val="none" w:sz="0" w:space="0" w:color="auto"/>
        <w:left w:val="none" w:sz="0" w:space="0" w:color="auto"/>
        <w:bottom w:val="none" w:sz="0" w:space="0" w:color="auto"/>
        <w:right w:val="none" w:sz="0" w:space="0" w:color="auto"/>
      </w:divBdr>
    </w:div>
    <w:div w:id="112093560">
      <w:bodyDiv w:val="1"/>
      <w:marLeft w:val="0"/>
      <w:marRight w:val="0"/>
      <w:marTop w:val="0"/>
      <w:marBottom w:val="0"/>
      <w:divBdr>
        <w:top w:val="none" w:sz="0" w:space="0" w:color="auto"/>
        <w:left w:val="none" w:sz="0" w:space="0" w:color="auto"/>
        <w:bottom w:val="none" w:sz="0" w:space="0" w:color="auto"/>
        <w:right w:val="none" w:sz="0" w:space="0" w:color="auto"/>
      </w:divBdr>
    </w:div>
    <w:div w:id="123885566">
      <w:bodyDiv w:val="1"/>
      <w:marLeft w:val="0"/>
      <w:marRight w:val="0"/>
      <w:marTop w:val="0"/>
      <w:marBottom w:val="0"/>
      <w:divBdr>
        <w:top w:val="none" w:sz="0" w:space="0" w:color="auto"/>
        <w:left w:val="none" w:sz="0" w:space="0" w:color="auto"/>
        <w:bottom w:val="none" w:sz="0" w:space="0" w:color="auto"/>
        <w:right w:val="none" w:sz="0" w:space="0" w:color="auto"/>
      </w:divBdr>
    </w:div>
    <w:div w:id="149178194">
      <w:bodyDiv w:val="1"/>
      <w:marLeft w:val="0"/>
      <w:marRight w:val="0"/>
      <w:marTop w:val="0"/>
      <w:marBottom w:val="0"/>
      <w:divBdr>
        <w:top w:val="none" w:sz="0" w:space="0" w:color="auto"/>
        <w:left w:val="none" w:sz="0" w:space="0" w:color="auto"/>
        <w:bottom w:val="none" w:sz="0" w:space="0" w:color="auto"/>
        <w:right w:val="none" w:sz="0" w:space="0" w:color="auto"/>
      </w:divBdr>
    </w:div>
    <w:div w:id="150099864">
      <w:bodyDiv w:val="1"/>
      <w:marLeft w:val="0"/>
      <w:marRight w:val="0"/>
      <w:marTop w:val="0"/>
      <w:marBottom w:val="0"/>
      <w:divBdr>
        <w:top w:val="none" w:sz="0" w:space="0" w:color="auto"/>
        <w:left w:val="none" w:sz="0" w:space="0" w:color="auto"/>
        <w:bottom w:val="none" w:sz="0" w:space="0" w:color="auto"/>
        <w:right w:val="none" w:sz="0" w:space="0" w:color="auto"/>
      </w:divBdr>
    </w:div>
    <w:div w:id="192113451">
      <w:bodyDiv w:val="1"/>
      <w:marLeft w:val="0"/>
      <w:marRight w:val="0"/>
      <w:marTop w:val="0"/>
      <w:marBottom w:val="0"/>
      <w:divBdr>
        <w:top w:val="none" w:sz="0" w:space="0" w:color="auto"/>
        <w:left w:val="none" w:sz="0" w:space="0" w:color="auto"/>
        <w:bottom w:val="none" w:sz="0" w:space="0" w:color="auto"/>
        <w:right w:val="none" w:sz="0" w:space="0" w:color="auto"/>
      </w:divBdr>
    </w:div>
    <w:div w:id="195436320">
      <w:bodyDiv w:val="1"/>
      <w:marLeft w:val="0"/>
      <w:marRight w:val="0"/>
      <w:marTop w:val="0"/>
      <w:marBottom w:val="0"/>
      <w:divBdr>
        <w:top w:val="none" w:sz="0" w:space="0" w:color="auto"/>
        <w:left w:val="none" w:sz="0" w:space="0" w:color="auto"/>
        <w:bottom w:val="none" w:sz="0" w:space="0" w:color="auto"/>
        <w:right w:val="none" w:sz="0" w:space="0" w:color="auto"/>
      </w:divBdr>
    </w:div>
    <w:div w:id="244996868">
      <w:bodyDiv w:val="1"/>
      <w:marLeft w:val="0"/>
      <w:marRight w:val="0"/>
      <w:marTop w:val="0"/>
      <w:marBottom w:val="0"/>
      <w:divBdr>
        <w:top w:val="none" w:sz="0" w:space="0" w:color="auto"/>
        <w:left w:val="none" w:sz="0" w:space="0" w:color="auto"/>
        <w:bottom w:val="none" w:sz="0" w:space="0" w:color="auto"/>
        <w:right w:val="none" w:sz="0" w:space="0" w:color="auto"/>
      </w:divBdr>
    </w:div>
    <w:div w:id="326714689">
      <w:bodyDiv w:val="1"/>
      <w:marLeft w:val="0"/>
      <w:marRight w:val="0"/>
      <w:marTop w:val="0"/>
      <w:marBottom w:val="0"/>
      <w:divBdr>
        <w:top w:val="none" w:sz="0" w:space="0" w:color="auto"/>
        <w:left w:val="none" w:sz="0" w:space="0" w:color="auto"/>
        <w:bottom w:val="none" w:sz="0" w:space="0" w:color="auto"/>
        <w:right w:val="none" w:sz="0" w:space="0" w:color="auto"/>
      </w:divBdr>
    </w:div>
    <w:div w:id="345449241">
      <w:bodyDiv w:val="1"/>
      <w:marLeft w:val="0"/>
      <w:marRight w:val="0"/>
      <w:marTop w:val="0"/>
      <w:marBottom w:val="0"/>
      <w:divBdr>
        <w:top w:val="none" w:sz="0" w:space="0" w:color="auto"/>
        <w:left w:val="none" w:sz="0" w:space="0" w:color="auto"/>
        <w:bottom w:val="none" w:sz="0" w:space="0" w:color="auto"/>
        <w:right w:val="none" w:sz="0" w:space="0" w:color="auto"/>
      </w:divBdr>
    </w:div>
    <w:div w:id="367338209">
      <w:bodyDiv w:val="1"/>
      <w:marLeft w:val="0"/>
      <w:marRight w:val="0"/>
      <w:marTop w:val="0"/>
      <w:marBottom w:val="0"/>
      <w:divBdr>
        <w:top w:val="none" w:sz="0" w:space="0" w:color="auto"/>
        <w:left w:val="none" w:sz="0" w:space="0" w:color="auto"/>
        <w:bottom w:val="none" w:sz="0" w:space="0" w:color="auto"/>
        <w:right w:val="none" w:sz="0" w:space="0" w:color="auto"/>
      </w:divBdr>
    </w:div>
    <w:div w:id="377703763">
      <w:bodyDiv w:val="1"/>
      <w:marLeft w:val="0"/>
      <w:marRight w:val="0"/>
      <w:marTop w:val="0"/>
      <w:marBottom w:val="0"/>
      <w:divBdr>
        <w:top w:val="none" w:sz="0" w:space="0" w:color="auto"/>
        <w:left w:val="none" w:sz="0" w:space="0" w:color="auto"/>
        <w:bottom w:val="none" w:sz="0" w:space="0" w:color="auto"/>
        <w:right w:val="none" w:sz="0" w:space="0" w:color="auto"/>
      </w:divBdr>
    </w:div>
    <w:div w:id="392390691">
      <w:bodyDiv w:val="1"/>
      <w:marLeft w:val="0"/>
      <w:marRight w:val="0"/>
      <w:marTop w:val="0"/>
      <w:marBottom w:val="0"/>
      <w:divBdr>
        <w:top w:val="none" w:sz="0" w:space="0" w:color="auto"/>
        <w:left w:val="none" w:sz="0" w:space="0" w:color="auto"/>
        <w:bottom w:val="none" w:sz="0" w:space="0" w:color="auto"/>
        <w:right w:val="none" w:sz="0" w:space="0" w:color="auto"/>
      </w:divBdr>
    </w:div>
    <w:div w:id="398794201">
      <w:bodyDiv w:val="1"/>
      <w:marLeft w:val="0"/>
      <w:marRight w:val="0"/>
      <w:marTop w:val="0"/>
      <w:marBottom w:val="0"/>
      <w:divBdr>
        <w:top w:val="none" w:sz="0" w:space="0" w:color="auto"/>
        <w:left w:val="none" w:sz="0" w:space="0" w:color="auto"/>
        <w:bottom w:val="none" w:sz="0" w:space="0" w:color="auto"/>
        <w:right w:val="none" w:sz="0" w:space="0" w:color="auto"/>
      </w:divBdr>
    </w:div>
    <w:div w:id="405759374">
      <w:bodyDiv w:val="1"/>
      <w:marLeft w:val="0"/>
      <w:marRight w:val="0"/>
      <w:marTop w:val="0"/>
      <w:marBottom w:val="0"/>
      <w:divBdr>
        <w:top w:val="none" w:sz="0" w:space="0" w:color="auto"/>
        <w:left w:val="none" w:sz="0" w:space="0" w:color="auto"/>
        <w:bottom w:val="none" w:sz="0" w:space="0" w:color="auto"/>
        <w:right w:val="none" w:sz="0" w:space="0" w:color="auto"/>
      </w:divBdr>
    </w:div>
    <w:div w:id="411390983">
      <w:bodyDiv w:val="1"/>
      <w:marLeft w:val="0"/>
      <w:marRight w:val="0"/>
      <w:marTop w:val="0"/>
      <w:marBottom w:val="0"/>
      <w:divBdr>
        <w:top w:val="none" w:sz="0" w:space="0" w:color="auto"/>
        <w:left w:val="none" w:sz="0" w:space="0" w:color="auto"/>
        <w:bottom w:val="none" w:sz="0" w:space="0" w:color="auto"/>
        <w:right w:val="none" w:sz="0" w:space="0" w:color="auto"/>
      </w:divBdr>
    </w:div>
    <w:div w:id="414014151">
      <w:bodyDiv w:val="1"/>
      <w:marLeft w:val="0"/>
      <w:marRight w:val="0"/>
      <w:marTop w:val="0"/>
      <w:marBottom w:val="0"/>
      <w:divBdr>
        <w:top w:val="none" w:sz="0" w:space="0" w:color="auto"/>
        <w:left w:val="none" w:sz="0" w:space="0" w:color="auto"/>
        <w:bottom w:val="none" w:sz="0" w:space="0" w:color="auto"/>
        <w:right w:val="none" w:sz="0" w:space="0" w:color="auto"/>
      </w:divBdr>
    </w:div>
    <w:div w:id="441994294">
      <w:bodyDiv w:val="1"/>
      <w:marLeft w:val="0"/>
      <w:marRight w:val="0"/>
      <w:marTop w:val="0"/>
      <w:marBottom w:val="0"/>
      <w:divBdr>
        <w:top w:val="none" w:sz="0" w:space="0" w:color="auto"/>
        <w:left w:val="none" w:sz="0" w:space="0" w:color="auto"/>
        <w:bottom w:val="none" w:sz="0" w:space="0" w:color="auto"/>
        <w:right w:val="none" w:sz="0" w:space="0" w:color="auto"/>
      </w:divBdr>
    </w:div>
    <w:div w:id="469908158">
      <w:bodyDiv w:val="1"/>
      <w:marLeft w:val="0"/>
      <w:marRight w:val="0"/>
      <w:marTop w:val="0"/>
      <w:marBottom w:val="0"/>
      <w:divBdr>
        <w:top w:val="none" w:sz="0" w:space="0" w:color="auto"/>
        <w:left w:val="none" w:sz="0" w:space="0" w:color="auto"/>
        <w:bottom w:val="none" w:sz="0" w:space="0" w:color="auto"/>
        <w:right w:val="none" w:sz="0" w:space="0" w:color="auto"/>
      </w:divBdr>
    </w:div>
    <w:div w:id="488136514">
      <w:bodyDiv w:val="1"/>
      <w:marLeft w:val="0"/>
      <w:marRight w:val="0"/>
      <w:marTop w:val="0"/>
      <w:marBottom w:val="0"/>
      <w:divBdr>
        <w:top w:val="none" w:sz="0" w:space="0" w:color="auto"/>
        <w:left w:val="none" w:sz="0" w:space="0" w:color="auto"/>
        <w:bottom w:val="none" w:sz="0" w:space="0" w:color="auto"/>
        <w:right w:val="none" w:sz="0" w:space="0" w:color="auto"/>
      </w:divBdr>
    </w:div>
    <w:div w:id="537738395">
      <w:bodyDiv w:val="1"/>
      <w:marLeft w:val="0"/>
      <w:marRight w:val="0"/>
      <w:marTop w:val="0"/>
      <w:marBottom w:val="0"/>
      <w:divBdr>
        <w:top w:val="none" w:sz="0" w:space="0" w:color="auto"/>
        <w:left w:val="none" w:sz="0" w:space="0" w:color="auto"/>
        <w:bottom w:val="none" w:sz="0" w:space="0" w:color="auto"/>
        <w:right w:val="none" w:sz="0" w:space="0" w:color="auto"/>
      </w:divBdr>
    </w:div>
    <w:div w:id="540629251">
      <w:bodyDiv w:val="1"/>
      <w:marLeft w:val="0"/>
      <w:marRight w:val="0"/>
      <w:marTop w:val="0"/>
      <w:marBottom w:val="0"/>
      <w:divBdr>
        <w:top w:val="none" w:sz="0" w:space="0" w:color="auto"/>
        <w:left w:val="none" w:sz="0" w:space="0" w:color="auto"/>
        <w:bottom w:val="none" w:sz="0" w:space="0" w:color="auto"/>
        <w:right w:val="none" w:sz="0" w:space="0" w:color="auto"/>
      </w:divBdr>
    </w:div>
    <w:div w:id="594945717">
      <w:bodyDiv w:val="1"/>
      <w:marLeft w:val="0"/>
      <w:marRight w:val="0"/>
      <w:marTop w:val="0"/>
      <w:marBottom w:val="0"/>
      <w:divBdr>
        <w:top w:val="none" w:sz="0" w:space="0" w:color="auto"/>
        <w:left w:val="none" w:sz="0" w:space="0" w:color="auto"/>
        <w:bottom w:val="none" w:sz="0" w:space="0" w:color="auto"/>
        <w:right w:val="none" w:sz="0" w:space="0" w:color="auto"/>
      </w:divBdr>
    </w:div>
    <w:div w:id="604074703">
      <w:bodyDiv w:val="1"/>
      <w:marLeft w:val="0"/>
      <w:marRight w:val="0"/>
      <w:marTop w:val="0"/>
      <w:marBottom w:val="0"/>
      <w:divBdr>
        <w:top w:val="none" w:sz="0" w:space="0" w:color="auto"/>
        <w:left w:val="none" w:sz="0" w:space="0" w:color="auto"/>
        <w:bottom w:val="none" w:sz="0" w:space="0" w:color="auto"/>
        <w:right w:val="none" w:sz="0" w:space="0" w:color="auto"/>
      </w:divBdr>
    </w:div>
    <w:div w:id="612975318">
      <w:bodyDiv w:val="1"/>
      <w:marLeft w:val="0"/>
      <w:marRight w:val="0"/>
      <w:marTop w:val="0"/>
      <w:marBottom w:val="0"/>
      <w:divBdr>
        <w:top w:val="none" w:sz="0" w:space="0" w:color="auto"/>
        <w:left w:val="none" w:sz="0" w:space="0" w:color="auto"/>
        <w:bottom w:val="none" w:sz="0" w:space="0" w:color="auto"/>
        <w:right w:val="none" w:sz="0" w:space="0" w:color="auto"/>
      </w:divBdr>
    </w:div>
    <w:div w:id="616378744">
      <w:bodyDiv w:val="1"/>
      <w:marLeft w:val="0"/>
      <w:marRight w:val="0"/>
      <w:marTop w:val="0"/>
      <w:marBottom w:val="0"/>
      <w:divBdr>
        <w:top w:val="none" w:sz="0" w:space="0" w:color="auto"/>
        <w:left w:val="none" w:sz="0" w:space="0" w:color="auto"/>
        <w:bottom w:val="none" w:sz="0" w:space="0" w:color="auto"/>
        <w:right w:val="none" w:sz="0" w:space="0" w:color="auto"/>
      </w:divBdr>
    </w:div>
    <w:div w:id="625814395">
      <w:bodyDiv w:val="1"/>
      <w:marLeft w:val="0"/>
      <w:marRight w:val="0"/>
      <w:marTop w:val="0"/>
      <w:marBottom w:val="0"/>
      <w:divBdr>
        <w:top w:val="none" w:sz="0" w:space="0" w:color="auto"/>
        <w:left w:val="none" w:sz="0" w:space="0" w:color="auto"/>
        <w:bottom w:val="none" w:sz="0" w:space="0" w:color="auto"/>
        <w:right w:val="none" w:sz="0" w:space="0" w:color="auto"/>
      </w:divBdr>
    </w:div>
    <w:div w:id="670066547">
      <w:bodyDiv w:val="1"/>
      <w:marLeft w:val="0"/>
      <w:marRight w:val="0"/>
      <w:marTop w:val="0"/>
      <w:marBottom w:val="0"/>
      <w:divBdr>
        <w:top w:val="none" w:sz="0" w:space="0" w:color="auto"/>
        <w:left w:val="none" w:sz="0" w:space="0" w:color="auto"/>
        <w:bottom w:val="none" w:sz="0" w:space="0" w:color="auto"/>
        <w:right w:val="none" w:sz="0" w:space="0" w:color="auto"/>
      </w:divBdr>
    </w:div>
    <w:div w:id="677469773">
      <w:bodyDiv w:val="1"/>
      <w:marLeft w:val="0"/>
      <w:marRight w:val="0"/>
      <w:marTop w:val="0"/>
      <w:marBottom w:val="0"/>
      <w:divBdr>
        <w:top w:val="none" w:sz="0" w:space="0" w:color="auto"/>
        <w:left w:val="none" w:sz="0" w:space="0" w:color="auto"/>
        <w:bottom w:val="none" w:sz="0" w:space="0" w:color="auto"/>
        <w:right w:val="none" w:sz="0" w:space="0" w:color="auto"/>
      </w:divBdr>
    </w:div>
    <w:div w:id="681469384">
      <w:bodyDiv w:val="1"/>
      <w:marLeft w:val="0"/>
      <w:marRight w:val="0"/>
      <w:marTop w:val="0"/>
      <w:marBottom w:val="0"/>
      <w:divBdr>
        <w:top w:val="none" w:sz="0" w:space="0" w:color="auto"/>
        <w:left w:val="none" w:sz="0" w:space="0" w:color="auto"/>
        <w:bottom w:val="none" w:sz="0" w:space="0" w:color="auto"/>
        <w:right w:val="none" w:sz="0" w:space="0" w:color="auto"/>
      </w:divBdr>
    </w:div>
    <w:div w:id="685131619">
      <w:bodyDiv w:val="1"/>
      <w:marLeft w:val="0"/>
      <w:marRight w:val="0"/>
      <w:marTop w:val="0"/>
      <w:marBottom w:val="0"/>
      <w:divBdr>
        <w:top w:val="none" w:sz="0" w:space="0" w:color="auto"/>
        <w:left w:val="none" w:sz="0" w:space="0" w:color="auto"/>
        <w:bottom w:val="none" w:sz="0" w:space="0" w:color="auto"/>
        <w:right w:val="none" w:sz="0" w:space="0" w:color="auto"/>
      </w:divBdr>
    </w:div>
    <w:div w:id="688264861">
      <w:bodyDiv w:val="1"/>
      <w:marLeft w:val="0"/>
      <w:marRight w:val="0"/>
      <w:marTop w:val="0"/>
      <w:marBottom w:val="0"/>
      <w:divBdr>
        <w:top w:val="none" w:sz="0" w:space="0" w:color="auto"/>
        <w:left w:val="none" w:sz="0" w:space="0" w:color="auto"/>
        <w:bottom w:val="none" w:sz="0" w:space="0" w:color="auto"/>
        <w:right w:val="none" w:sz="0" w:space="0" w:color="auto"/>
      </w:divBdr>
    </w:div>
    <w:div w:id="690304830">
      <w:bodyDiv w:val="1"/>
      <w:marLeft w:val="0"/>
      <w:marRight w:val="0"/>
      <w:marTop w:val="0"/>
      <w:marBottom w:val="0"/>
      <w:divBdr>
        <w:top w:val="none" w:sz="0" w:space="0" w:color="auto"/>
        <w:left w:val="none" w:sz="0" w:space="0" w:color="auto"/>
        <w:bottom w:val="none" w:sz="0" w:space="0" w:color="auto"/>
        <w:right w:val="none" w:sz="0" w:space="0" w:color="auto"/>
      </w:divBdr>
    </w:div>
    <w:div w:id="693579766">
      <w:bodyDiv w:val="1"/>
      <w:marLeft w:val="0"/>
      <w:marRight w:val="0"/>
      <w:marTop w:val="0"/>
      <w:marBottom w:val="0"/>
      <w:divBdr>
        <w:top w:val="none" w:sz="0" w:space="0" w:color="auto"/>
        <w:left w:val="none" w:sz="0" w:space="0" w:color="auto"/>
        <w:bottom w:val="none" w:sz="0" w:space="0" w:color="auto"/>
        <w:right w:val="none" w:sz="0" w:space="0" w:color="auto"/>
      </w:divBdr>
    </w:div>
    <w:div w:id="740173449">
      <w:bodyDiv w:val="1"/>
      <w:marLeft w:val="0"/>
      <w:marRight w:val="0"/>
      <w:marTop w:val="0"/>
      <w:marBottom w:val="0"/>
      <w:divBdr>
        <w:top w:val="none" w:sz="0" w:space="0" w:color="auto"/>
        <w:left w:val="none" w:sz="0" w:space="0" w:color="auto"/>
        <w:bottom w:val="none" w:sz="0" w:space="0" w:color="auto"/>
        <w:right w:val="none" w:sz="0" w:space="0" w:color="auto"/>
      </w:divBdr>
    </w:div>
    <w:div w:id="838543846">
      <w:bodyDiv w:val="1"/>
      <w:marLeft w:val="0"/>
      <w:marRight w:val="0"/>
      <w:marTop w:val="0"/>
      <w:marBottom w:val="0"/>
      <w:divBdr>
        <w:top w:val="none" w:sz="0" w:space="0" w:color="auto"/>
        <w:left w:val="none" w:sz="0" w:space="0" w:color="auto"/>
        <w:bottom w:val="none" w:sz="0" w:space="0" w:color="auto"/>
        <w:right w:val="none" w:sz="0" w:space="0" w:color="auto"/>
      </w:divBdr>
    </w:div>
    <w:div w:id="853496851">
      <w:bodyDiv w:val="1"/>
      <w:marLeft w:val="0"/>
      <w:marRight w:val="0"/>
      <w:marTop w:val="0"/>
      <w:marBottom w:val="0"/>
      <w:divBdr>
        <w:top w:val="none" w:sz="0" w:space="0" w:color="auto"/>
        <w:left w:val="none" w:sz="0" w:space="0" w:color="auto"/>
        <w:bottom w:val="none" w:sz="0" w:space="0" w:color="auto"/>
        <w:right w:val="none" w:sz="0" w:space="0" w:color="auto"/>
      </w:divBdr>
    </w:div>
    <w:div w:id="859198281">
      <w:bodyDiv w:val="1"/>
      <w:marLeft w:val="0"/>
      <w:marRight w:val="0"/>
      <w:marTop w:val="0"/>
      <w:marBottom w:val="0"/>
      <w:divBdr>
        <w:top w:val="none" w:sz="0" w:space="0" w:color="auto"/>
        <w:left w:val="none" w:sz="0" w:space="0" w:color="auto"/>
        <w:bottom w:val="none" w:sz="0" w:space="0" w:color="auto"/>
        <w:right w:val="none" w:sz="0" w:space="0" w:color="auto"/>
      </w:divBdr>
    </w:div>
    <w:div w:id="861086843">
      <w:bodyDiv w:val="1"/>
      <w:marLeft w:val="0"/>
      <w:marRight w:val="0"/>
      <w:marTop w:val="0"/>
      <w:marBottom w:val="0"/>
      <w:divBdr>
        <w:top w:val="none" w:sz="0" w:space="0" w:color="auto"/>
        <w:left w:val="none" w:sz="0" w:space="0" w:color="auto"/>
        <w:bottom w:val="none" w:sz="0" w:space="0" w:color="auto"/>
        <w:right w:val="none" w:sz="0" w:space="0" w:color="auto"/>
      </w:divBdr>
    </w:div>
    <w:div w:id="886181120">
      <w:bodyDiv w:val="1"/>
      <w:marLeft w:val="0"/>
      <w:marRight w:val="0"/>
      <w:marTop w:val="0"/>
      <w:marBottom w:val="0"/>
      <w:divBdr>
        <w:top w:val="none" w:sz="0" w:space="0" w:color="auto"/>
        <w:left w:val="none" w:sz="0" w:space="0" w:color="auto"/>
        <w:bottom w:val="none" w:sz="0" w:space="0" w:color="auto"/>
        <w:right w:val="none" w:sz="0" w:space="0" w:color="auto"/>
      </w:divBdr>
    </w:div>
    <w:div w:id="927664680">
      <w:bodyDiv w:val="1"/>
      <w:marLeft w:val="0"/>
      <w:marRight w:val="0"/>
      <w:marTop w:val="0"/>
      <w:marBottom w:val="0"/>
      <w:divBdr>
        <w:top w:val="none" w:sz="0" w:space="0" w:color="auto"/>
        <w:left w:val="none" w:sz="0" w:space="0" w:color="auto"/>
        <w:bottom w:val="none" w:sz="0" w:space="0" w:color="auto"/>
        <w:right w:val="none" w:sz="0" w:space="0" w:color="auto"/>
      </w:divBdr>
    </w:div>
    <w:div w:id="938755184">
      <w:bodyDiv w:val="1"/>
      <w:marLeft w:val="0"/>
      <w:marRight w:val="0"/>
      <w:marTop w:val="0"/>
      <w:marBottom w:val="0"/>
      <w:divBdr>
        <w:top w:val="none" w:sz="0" w:space="0" w:color="auto"/>
        <w:left w:val="none" w:sz="0" w:space="0" w:color="auto"/>
        <w:bottom w:val="none" w:sz="0" w:space="0" w:color="auto"/>
        <w:right w:val="none" w:sz="0" w:space="0" w:color="auto"/>
      </w:divBdr>
    </w:div>
    <w:div w:id="944847466">
      <w:bodyDiv w:val="1"/>
      <w:marLeft w:val="0"/>
      <w:marRight w:val="0"/>
      <w:marTop w:val="0"/>
      <w:marBottom w:val="0"/>
      <w:divBdr>
        <w:top w:val="none" w:sz="0" w:space="0" w:color="auto"/>
        <w:left w:val="none" w:sz="0" w:space="0" w:color="auto"/>
        <w:bottom w:val="none" w:sz="0" w:space="0" w:color="auto"/>
        <w:right w:val="none" w:sz="0" w:space="0" w:color="auto"/>
      </w:divBdr>
    </w:div>
    <w:div w:id="1014696536">
      <w:bodyDiv w:val="1"/>
      <w:marLeft w:val="0"/>
      <w:marRight w:val="0"/>
      <w:marTop w:val="0"/>
      <w:marBottom w:val="0"/>
      <w:divBdr>
        <w:top w:val="none" w:sz="0" w:space="0" w:color="auto"/>
        <w:left w:val="none" w:sz="0" w:space="0" w:color="auto"/>
        <w:bottom w:val="none" w:sz="0" w:space="0" w:color="auto"/>
        <w:right w:val="none" w:sz="0" w:space="0" w:color="auto"/>
      </w:divBdr>
    </w:div>
    <w:div w:id="1021012556">
      <w:bodyDiv w:val="1"/>
      <w:marLeft w:val="0"/>
      <w:marRight w:val="0"/>
      <w:marTop w:val="0"/>
      <w:marBottom w:val="0"/>
      <w:divBdr>
        <w:top w:val="none" w:sz="0" w:space="0" w:color="auto"/>
        <w:left w:val="none" w:sz="0" w:space="0" w:color="auto"/>
        <w:bottom w:val="none" w:sz="0" w:space="0" w:color="auto"/>
        <w:right w:val="none" w:sz="0" w:space="0" w:color="auto"/>
      </w:divBdr>
    </w:div>
    <w:div w:id="1028331278">
      <w:bodyDiv w:val="1"/>
      <w:marLeft w:val="0"/>
      <w:marRight w:val="0"/>
      <w:marTop w:val="0"/>
      <w:marBottom w:val="0"/>
      <w:divBdr>
        <w:top w:val="none" w:sz="0" w:space="0" w:color="auto"/>
        <w:left w:val="none" w:sz="0" w:space="0" w:color="auto"/>
        <w:bottom w:val="none" w:sz="0" w:space="0" w:color="auto"/>
        <w:right w:val="none" w:sz="0" w:space="0" w:color="auto"/>
      </w:divBdr>
    </w:div>
    <w:div w:id="1036739156">
      <w:bodyDiv w:val="1"/>
      <w:marLeft w:val="0"/>
      <w:marRight w:val="0"/>
      <w:marTop w:val="0"/>
      <w:marBottom w:val="0"/>
      <w:divBdr>
        <w:top w:val="none" w:sz="0" w:space="0" w:color="auto"/>
        <w:left w:val="none" w:sz="0" w:space="0" w:color="auto"/>
        <w:bottom w:val="none" w:sz="0" w:space="0" w:color="auto"/>
        <w:right w:val="none" w:sz="0" w:space="0" w:color="auto"/>
      </w:divBdr>
    </w:div>
    <w:div w:id="1077947128">
      <w:bodyDiv w:val="1"/>
      <w:marLeft w:val="0"/>
      <w:marRight w:val="0"/>
      <w:marTop w:val="0"/>
      <w:marBottom w:val="0"/>
      <w:divBdr>
        <w:top w:val="none" w:sz="0" w:space="0" w:color="auto"/>
        <w:left w:val="none" w:sz="0" w:space="0" w:color="auto"/>
        <w:bottom w:val="none" w:sz="0" w:space="0" w:color="auto"/>
        <w:right w:val="none" w:sz="0" w:space="0" w:color="auto"/>
      </w:divBdr>
    </w:div>
    <w:div w:id="1097215276">
      <w:bodyDiv w:val="1"/>
      <w:marLeft w:val="0"/>
      <w:marRight w:val="0"/>
      <w:marTop w:val="0"/>
      <w:marBottom w:val="0"/>
      <w:divBdr>
        <w:top w:val="none" w:sz="0" w:space="0" w:color="auto"/>
        <w:left w:val="none" w:sz="0" w:space="0" w:color="auto"/>
        <w:bottom w:val="none" w:sz="0" w:space="0" w:color="auto"/>
        <w:right w:val="none" w:sz="0" w:space="0" w:color="auto"/>
      </w:divBdr>
    </w:div>
    <w:div w:id="1161890191">
      <w:bodyDiv w:val="1"/>
      <w:marLeft w:val="0"/>
      <w:marRight w:val="0"/>
      <w:marTop w:val="0"/>
      <w:marBottom w:val="0"/>
      <w:divBdr>
        <w:top w:val="none" w:sz="0" w:space="0" w:color="auto"/>
        <w:left w:val="none" w:sz="0" w:space="0" w:color="auto"/>
        <w:bottom w:val="none" w:sz="0" w:space="0" w:color="auto"/>
        <w:right w:val="none" w:sz="0" w:space="0" w:color="auto"/>
      </w:divBdr>
    </w:div>
    <w:div w:id="1183393486">
      <w:bodyDiv w:val="1"/>
      <w:marLeft w:val="0"/>
      <w:marRight w:val="0"/>
      <w:marTop w:val="0"/>
      <w:marBottom w:val="0"/>
      <w:divBdr>
        <w:top w:val="none" w:sz="0" w:space="0" w:color="auto"/>
        <w:left w:val="none" w:sz="0" w:space="0" w:color="auto"/>
        <w:bottom w:val="none" w:sz="0" w:space="0" w:color="auto"/>
        <w:right w:val="none" w:sz="0" w:space="0" w:color="auto"/>
      </w:divBdr>
    </w:div>
    <w:div w:id="1188103453">
      <w:bodyDiv w:val="1"/>
      <w:marLeft w:val="0"/>
      <w:marRight w:val="0"/>
      <w:marTop w:val="0"/>
      <w:marBottom w:val="0"/>
      <w:divBdr>
        <w:top w:val="none" w:sz="0" w:space="0" w:color="auto"/>
        <w:left w:val="none" w:sz="0" w:space="0" w:color="auto"/>
        <w:bottom w:val="none" w:sz="0" w:space="0" w:color="auto"/>
        <w:right w:val="none" w:sz="0" w:space="0" w:color="auto"/>
      </w:divBdr>
    </w:div>
    <w:div w:id="1210994095">
      <w:bodyDiv w:val="1"/>
      <w:marLeft w:val="0"/>
      <w:marRight w:val="0"/>
      <w:marTop w:val="0"/>
      <w:marBottom w:val="0"/>
      <w:divBdr>
        <w:top w:val="none" w:sz="0" w:space="0" w:color="auto"/>
        <w:left w:val="none" w:sz="0" w:space="0" w:color="auto"/>
        <w:bottom w:val="none" w:sz="0" w:space="0" w:color="auto"/>
        <w:right w:val="none" w:sz="0" w:space="0" w:color="auto"/>
      </w:divBdr>
    </w:div>
    <w:div w:id="1236207019">
      <w:bodyDiv w:val="1"/>
      <w:marLeft w:val="0"/>
      <w:marRight w:val="0"/>
      <w:marTop w:val="0"/>
      <w:marBottom w:val="0"/>
      <w:divBdr>
        <w:top w:val="none" w:sz="0" w:space="0" w:color="auto"/>
        <w:left w:val="none" w:sz="0" w:space="0" w:color="auto"/>
        <w:bottom w:val="none" w:sz="0" w:space="0" w:color="auto"/>
        <w:right w:val="none" w:sz="0" w:space="0" w:color="auto"/>
      </w:divBdr>
    </w:div>
    <w:div w:id="1250503957">
      <w:bodyDiv w:val="1"/>
      <w:marLeft w:val="0"/>
      <w:marRight w:val="0"/>
      <w:marTop w:val="0"/>
      <w:marBottom w:val="0"/>
      <w:divBdr>
        <w:top w:val="none" w:sz="0" w:space="0" w:color="auto"/>
        <w:left w:val="none" w:sz="0" w:space="0" w:color="auto"/>
        <w:bottom w:val="none" w:sz="0" w:space="0" w:color="auto"/>
        <w:right w:val="none" w:sz="0" w:space="0" w:color="auto"/>
      </w:divBdr>
    </w:div>
    <w:div w:id="1293944270">
      <w:bodyDiv w:val="1"/>
      <w:marLeft w:val="0"/>
      <w:marRight w:val="0"/>
      <w:marTop w:val="0"/>
      <w:marBottom w:val="0"/>
      <w:divBdr>
        <w:top w:val="none" w:sz="0" w:space="0" w:color="auto"/>
        <w:left w:val="none" w:sz="0" w:space="0" w:color="auto"/>
        <w:bottom w:val="none" w:sz="0" w:space="0" w:color="auto"/>
        <w:right w:val="none" w:sz="0" w:space="0" w:color="auto"/>
      </w:divBdr>
    </w:div>
    <w:div w:id="1323119519">
      <w:bodyDiv w:val="1"/>
      <w:marLeft w:val="0"/>
      <w:marRight w:val="0"/>
      <w:marTop w:val="0"/>
      <w:marBottom w:val="0"/>
      <w:divBdr>
        <w:top w:val="none" w:sz="0" w:space="0" w:color="auto"/>
        <w:left w:val="none" w:sz="0" w:space="0" w:color="auto"/>
        <w:bottom w:val="none" w:sz="0" w:space="0" w:color="auto"/>
        <w:right w:val="none" w:sz="0" w:space="0" w:color="auto"/>
      </w:divBdr>
    </w:div>
    <w:div w:id="1334603676">
      <w:bodyDiv w:val="1"/>
      <w:marLeft w:val="0"/>
      <w:marRight w:val="0"/>
      <w:marTop w:val="0"/>
      <w:marBottom w:val="0"/>
      <w:divBdr>
        <w:top w:val="none" w:sz="0" w:space="0" w:color="auto"/>
        <w:left w:val="none" w:sz="0" w:space="0" w:color="auto"/>
        <w:bottom w:val="none" w:sz="0" w:space="0" w:color="auto"/>
        <w:right w:val="none" w:sz="0" w:space="0" w:color="auto"/>
      </w:divBdr>
    </w:div>
    <w:div w:id="1335915112">
      <w:bodyDiv w:val="1"/>
      <w:marLeft w:val="0"/>
      <w:marRight w:val="0"/>
      <w:marTop w:val="0"/>
      <w:marBottom w:val="0"/>
      <w:divBdr>
        <w:top w:val="none" w:sz="0" w:space="0" w:color="auto"/>
        <w:left w:val="none" w:sz="0" w:space="0" w:color="auto"/>
        <w:bottom w:val="none" w:sz="0" w:space="0" w:color="auto"/>
        <w:right w:val="none" w:sz="0" w:space="0" w:color="auto"/>
      </w:divBdr>
    </w:div>
    <w:div w:id="1338196746">
      <w:bodyDiv w:val="1"/>
      <w:marLeft w:val="0"/>
      <w:marRight w:val="0"/>
      <w:marTop w:val="0"/>
      <w:marBottom w:val="0"/>
      <w:divBdr>
        <w:top w:val="none" w:sz="0" w:space="0" w:color="auto"/>
        <w:left w:val="none" w:sz="0" w:space="0" w:color="auto"/>
        <w:bottom w:val="none" w:sz="0" w:space="0" w:color="auto"/>
        <w:right w:val="none" w:sz="0" w:space="0" w:color="auto"/>
      </w:divBdr>
    </w:div>
    <w:div w:id="1345865716">
      <w:bodyDiv w:val="1"/>
      <w:marLeft w:val="0"/>
      <w:marRight w:val="0"/>
      <w:marTop w:val="0"/>
      <w:marBottom w:val="0"/>
      <w:divBdr>
        <w:top w:val="none" w:sz="0" w:space="0" w:color="auto"/>
        <w:left w:val="none" w:sz="0" w:space="0" w:color="auto"/>
        <w:bottom w:val="none" w:sz="0" w:space="0" w:color="auto"/>
        <w:right w:val="none" w:sz="0" w:space="0" w:color="auto"/>
      </w:divBdr>
    </w:div>
    <w:div w:id="1346593123">
      <w:bodyDiv w:val="1"/>
      <w:marLeft w:val="0"/>
      <w:marRight w:val="0"/>
      <w:marTop w:val="0"/>
      <w:marBottom w:val="0"/>
      <w:divBdr>
        <w:top w:val="none" w:sz="0" w:space="0" w:color="auto"/>
        <w:left w:val="none" w:sz="0" w:space="0" w:color="auto"/>
        <w:bottom w:val="none" w:sz="0" w:space="0" w:color="auto"/>
        <w:right w:val="none" w:sz="0" w:space="0" w:color="auto"/>
      </w:divBdr>
    </w:div>
    <w:div w:id="1389691248">
      <w:bodyDiv w:val="1"/>
      <w:marLeft w:val="0"/>
      <w:marRight w:val="0"/>
      <w:marTop w:val="0"/>
      <w:marBottom w:val="0"/>
      <w:divBdr>
        <w:top w:val="none" w:sz="0" w:space="0" w:color="auto"/>
        <w:left w:val="none" w:sz="0" w:space="0" w:color="auto"/>
        <w:bottom w:val="none" w:sz="0" w:space="0" w:color="auto"/>
        <w:right w:val="none" w:sz="0" w:space="0" w:color="auto"/>
      </w:divBdr>
    </w:div>
    <w:div w:id="1394114488">
      <w:bodyDiv w:val="1"/>
      <w:marLeft w:val="0"/>
      <w:marRight w:val="0"/>
      <w:marTop w:val="0"/>
      <w:marBottom w:val="0"/>
      <w:divBdr>
        <w:top w:val="none" w:sz="0" w:space="0" w:color="auto"/>
        <w:left w:val="none" w:sz="0" w:space="0" w:color="auto"/>
        <w:bottom w:val="none" w:sz="0" w:space="0" w:color="auto"/>
        <w:right w:val="none" w:sz="0" w:space="0" w:color="auto"/>
      </w:divBdr>
    </w:div>
    <w:div w:id="1396396510">
      <w:bodyDiv w:val="1"/>
      <w:marLeft w:val="0"/>
      <w:marRight w:val="0"/>
      <w:marTop w:val="0"/>
      <w:marBottom w:val="0"/>
      <w:divBdr>
        <w:top w:val="none" w:sz="0" w:space="0" w:color="auto"/>
        <w:left w:val="none" w:sz="0" w:space="0" w:color="auto"/>
        <w:bottom w:val="none" w:sz="0" w:space="0" w:color="auto"/>
        <w:right w:val="none" w:sz="0" w:space="0" w:color="auto"/>
      </w:divBdr>
    </w:div>
    <w:div w:id="1424839278">
      <w:bodyDiv w:val="1"/>
      <w:marLeft w:val="0"/>
      <w:marRight w:val="0"/>
      <w:marTop w:val="0"/>
      <w:marBottom w:val="0"/>
      <w:divBdr>
        <w:top w:val="none" w:sz="0" w:space="0" w:color="auto"/>
        <w:left w:val="none" w:sz="0" w:space="0" w:color="auto"/>
        <w:bottom w:val="none" w:sz="0" w:space="0" w:color="auto"/>
        <w:right w:val="none" w:sz="0" w:space="0" w:color="auto"/>
      </w:divBdr>
    </w:div>
    <w:div w:id="1453474959">
      <w:bodyDiv w:val="1"/>
      <w:marLeft w:val="0"/>
      <w:marRight w:val="0"/>
      <w:marTop w:val="0"/>
      <w:marBottom w:val="0"/>
      <w:divBdr>
        <w:top w:val="none" w:sz="0" w:space="0" w:color="auto"/>
        <w:left w:val="none" w:sz="0" w:space="0" w:color="auto"/>
        <w:bottom w:val="none" w:sz="0" w:space="0" w:color="auto"/>
        <w:right w:val="none" w:sz="0" w:space="0" w:color="auto"/>
      </w:divBdr>
    </w:div>
    <w:div w:id="1479881186">
      <w:bodyDiv w:val="1"/>
      <w:marLeft w:val="0"/>
      <w:marRight w:val="0"/>
      <w:marTop w:val="0"/>
      <w:marBottom w:val="0"/>
      <w:divBdr>
        <w:top w:val="none" w:sz="0" w:space="0" w:color="auto"/>
        <w:left w:val="none" w:sz="0" w:space="0" w:color="auto"/>
        <w:bottom w:val="none" w:sz="0" w:space="0" w:color="auto"/>
        <w:right w:val="none" w:sz="0" w:space="0" w:color="auto"/>
      </w:divBdr>
    </w:div>
    <w:div w:id="1488739726">
      <w:bodyDiv w:val="1"/>
      <w:marLeft w:val="0"/>
      <w:marRight w:val="0"/>
      <w:marTop w:val="0"/>
      <w:marBottom w:val="0"/>
      <w:divBdr>
        <w:top w:val="none" w:sz="0" w:space="0" w:color="auto"/>
        <w:left w:val="none" w:sz="0" w:space="0" w:color="auto"/>
        <w:bottom w:val="none" w:sz="0" w:space="0" w:color="auto"/>
        <w:right w:val="none" w:sz="0" w:space="0" w:color="auto"/>
      </w:divBdr>
    </w:div>
    <w:div w:id="1489974277">
      <w:bodyDiv w:val="1"/>
      <w:marLeft w:val="0"/>
      <w:marRight w:val="0"/>
      <w:marTop w:val="0"/>
      <w:marBottom w:val="0"/>
      <w:divBdr>
        <w:top w:val="none" w:sz="0" w:space="0" w:color="auto"/>
        <w:left w:val="none" w:sz="0" w:space="0" w:color="auto"/>
        <w:bottom w:val="none" w:sz="0" w:space="0" w:color="auto"/>
        <w:right w:val="none" w:sz="0" w:space="0" w:color="auto"/>
      </w:divBdr>
    </w:div>
    <w:div w:id="1514690201">
      <w:bodyDiv w:val="1"/>
      <w:marLeft w:val="0"/>
      <w:marRight w:val="0"/>
      <w:marTop w:val="0"/>
      <w:marBottom w:val="0"/>
      <w:divBdr>
        <w:top w:val="none" w:sz="0" w:space="0" w:color="auto"/>
        <w:left w:val="none" w:sz="0" w:space="0" w:color="auto"/>
        <w:bottom w:val="none" w:sz="0" w:space="0" w:color="auto"/>
        <w:right w:val="none" w:sz="0" w:space="0" w:color="auto"/>
      </w:divBdr>
    </w:div>
    <w:div w:id="1539901425">
      <w:bodyDiv w:val="1"/>
      <w:marLeft w:val="0"/>
      <w:marRight w:val="0"/>
      <w:marTop w:val="0"/>
      <w:marBottom w:val="0"/>
      <w:divBdr>
        <w:top w:val="none" w:sz="0" w:space="0" w:color="auto"/>
        <w:left w:val="none" w:sz="0" w:space="0" w:color="auto"/>
        <w:bottom w:val="none" w:sz="0" w:space="0" w:color="auto"/>
        <w:right w:val="none" w:sz="0" w:space="0" w:color="auto"/>
      </w:divBdr>
    </w:div>
    <w:div w:id="1552309436">
      <w:bodyDiv w:val="1"/>
      <w:marLeft w:val="0"/>
      <w:marRight w:val="0"/>
      <w:marTop w:val="0"/>
      <w:marBottom w:val="0"/>
      <w:divBdr>
        <w:top w:val="none" w:sz="0" w:space="0" w:color="auto"/>
        <w:left w:val="none" w:sz="0" w:space="0" w:color="auto"/>
        <w:bottom w:val="none" w:sz="0" w:space="0" w:color="auto"/>
        <w:right w:val="none" w:sz="0" w:space="0" w:color="auto"/>
      </w:divBdr>
    </w:div>
    <w:div w:id="1652900375">
      <w:bodyDiv w:val="1"/>
      <w:marLeft w:val="0"/>
      <w:marRight w:val="0"/>
      <w:marTop w:val="0"/>
      <w:marBottom w:val="0"/>
      <w:divBdr>
        <w:top w:val="none" w:sz="0" w:space="0" w:color="auto"/>
        <w:left w:val="none" w:sz="0" w:space="0" w:color="auto"/>
        <w:bottom w:val="none" w:sz="0" w:space="0" w:color="auto"/>
        <w:right w:val="none" w:sz="0" w:space="0" w:color="auto"/>
      </w:divBdr>
    </w:div>
    <w:div w:id="1669018168">
      <w:bodyDiv w:val="1"/>
      <w:marLeft w:val="0"/>
      <w:marRight w:val="0"/>
      <w:marTop w:val="0"/>
      <w:marBottom w:val="0"/>
      <w:divBdr>
        <w:top w:val="none" w:sz="0" w:space="0" w:color="auto"/>
        <w:left w:val="none" w:sz="0" w:space="0" w:color="auto"/>
        <w:bottom w:val="none" w:sz="0" w:space="0" w:color="auto"/>
        <w:right w:val="none" w:sz="0" w:space="0" w:color="auto"/>
      </w:divBdr>
    </w:div>
    <w:div w:id="1676225193">
      <w:bodyDiv w:val="1"/>
      <w:marLeft w:val="0"/>
      <w:marRight w:val="0"/>
      <w:marTop w:val="0"/>
      <w:marBottom w:val="0"/>
      <w:divBdr>
        <w:top w:val="none" w:sz="0" w:space="0" w:color="auto"/>
        <w:left w:val="none" w:sz="0" w:space="0" w:color="auto"/>
        <w:bottom w:val="none" w:sz="0" w:space="0" w:color="auto"/>
        <w:right w:val="none" w:sz="0" w:space="0" w:color="auto"/>
      </w:divBdr>
    </w:div>
    <w:div w:id="1701928575">
      <w:bodyDiv w:val="1"/>
      <w:marLeft w:val="0"/>
      <w:marRight w:val="0"/>
      <w:marTop w:val="0"/>
      <w:marBottom w:val="0"/>
      <w:divBdr>
        <w:top w:val="none" w:sz="0" w:space="0" w:color="auto"/>
        <w:left w:val="none" w:sz="0" w:space="0" w:color="auto"/>
        <w:bottom w:val="none" w:sz="0" w:space="0" w:color="auto"/>
        <w:right w:val="none" w:sz="0" w:space="0" w:color="auto"/>
      </w:divBdr>
    </w:div>
    <w:div w:id="1708409006">
      <w:bodyDiv w:val="1"/>
      <w:marLeft w:val="0"/>
      <w:marRight w:val="0"/>
      <w:marTop w:val="0"/>
      <w:marBottom w:val="0"/>
      <w:divBdr>
        <w:top w:val="none" w:sz="0" w:space="0" w:color="auto"/>
        <w:left w:val="none" w:sz="0" w:space="0" w:color="auto"/>
        <w:bottom w:val="none" w:sz="0" w:space="0" w:color="auto"/>
        <w:right w:val="none" w:sz="0" w:space="0" w:color="auto"/>
      </w:divBdr>
    </w:div>
    <w:div w:id="1726174839">
      <w:bodyDiv w:val="1"/>
      <w:marLeft w:val="0"/>
      <w:marRight w:val="0"/>
      <w:marTop w:val="0"/>
      <w:marBottom w:val="0"/>
      <w:divBdr>
        <w:top w:val="none" w:sz="0" w:space="0" w:color="auto"/>
        <w:left w:val="none" w:sz="0" w:space="0" w:color="auto"/>
        <w:bottom w:val="none" w:sz="0" w:space="0" w:color="auto"/>
        <w:right w:val="none" w:sz="0" w:space="0" w:color="auto"/>
      </w:divBdr>
    </w:div>
    <w:div w:id="1731884871">
      <w:bodyDiv w:val="1"/>
      <w:marLeft w:val="0"/>
      <w:marRight w:val="0"/>
      <w:marTop w:val="0"/>
      <w:marBottom w:val="0"/>
      <w:divBdr>
        <w:top w:val="none" w:sz="0" w:space="0" w:color="auto"/>
        <w:left w:val="none" w:sz="0" w:space="0" w:color="auto"/>
        <w:bottom w:val="none" w:sz="0" w:space="0" w:color="auto"/>
        <w:right w:val="none" w:sz="0" w:space="0" w:color="auto"/>
      </w:divBdr>
    </w:div>
    <w:div w:id="1747190641">
      <w:bodyDiv w:val="1"/>
      <w:marLeft w:val="0"/>
      <w:marRight w:val="0"/>
      <w:marTop w:val="0"/>
      <w:marBottom w:val="0"/>
      <w:divBdr>
        <w:top w:val="none" w:sz="0" w:space="0" w:color="auto"/>
        <w:left w:val="none" w:sz="0" w:space="0" w:color="auto"/>
        <w:bottom w:val="none" w:sz="0" w:space="0" w:color="auto"/>
        <w:right w:val="none" w:sz="0" w:space="0" w:color="auto"/>
      </w:divBdr>
    </w:div>
    <w:div w:id="1753969629">
      <w:bodyDiv w:val="1"/>
      <w:marLeft w:val="0"/>
      <w:marRight w:val="0"/>
      <w:marTop w:val="0"/>
      <w:marBottom w:val="0"/>
      <w:divBdr>
        <w:top w:val="none" w:sz="0" w:space="0" w:color="auto"/>
        <w:left w:val="none" w:sz="0" w:space="0" w:color="auto"/>
        <w:bottom w:val="none" w:sz="0" w:space="0" w:color="auto"/>
        <w:right w:val="none" w:sz="0" w:space="0" w:color="auto"/>
      </w:divBdr>
    </w:div>
    <w:div w:id="1760908768">
      <w:bodyDiv w:val="1"/>
      <w:marLeft w:val="0"/>
      <w:marRight w:val="0"/>
      <w:marTop w:val="0"/>
      <w:marBottom w:val="0"/>
      <w:divBdr>
        <w:top w:val="none" w:sz="0" w:space="0" w:color="auto"/>
        <w:left w:val="none" w:sz="0" w:space="0" w:color="auto"/>
        <w:bottom w:val="none" w:sz="0" w:space="0" w:color="auto"/>
        <w:right w:val="none" w:sz="0" w:space="0" w:color="auto"/>
      </w:divBdr>
    </w:div>
    <w:div w:id="1768385943">
      <w:bodyDiv w:val="1"/>
      <w:marLeft w:val="0"/>
      <w:marRight w:val="0"/>
      <w:marTop w:val="0"/>
      <w:marBottom w:val="0"/>
      <w:divBdr>
        <w:top w:val="none" w:sz="0" w:space="0" w:color="auto"/>
        <w:left w:val="none" w:sz="0" w:space="0" w:color="auto"/>
        <w:bottom w:val="none" w:sz="0" w:space="0" w:color="auto"/>
        <w:right w:val="none" w:sz="0" w:space="0" w:color="auto"/>
      </w:divBdr>
    </w:div>
    <w:div w:id="1789742945">
      <w:bodyDiv w:val="1"/>
      <w:marLeft w:val="0"/>
      <w:marRight w:val="0"/>
      <w:marTop w:val="0"/>
      <w:marBottom w:val="0"/>
      <w:divBdr>
        <w:top w:val="none" w:sz="0" w:space="0" w:color="auto"/>
        <w:left w:val="none" w:sz="0" w:space="0" w:color="auto"/>
        <w:bottom w:val="none" w:sz="0" w:space="0" w:color="auto"/>
        <w:right w:val="none" w:sz="0" w:space="0" w:color="auto"/>
      </w:divBdr>
    </w:div>
    <w:div w:id="1804152245">
      <w:bodyDiv w:val="1"/>
      <w:marLeft w:val="0"/>
      <w:marRight w:val="0"/>
      <w:marTop w:val="0"/>
      <w:marBottom w:val="0"/>
      <w:divBdr>
        <w:top w:val="none" w:sz="0" w:space="0" w:color="auto"/>
        <w:left w:val="none" w:sz="0" w:space="0" w:color="auto"/>
        <w:bottom w:val="none" w:sz="0" w:space="0" w:color="auto"/>
        <w:right w:val="none" w:sz="0" w:space="0" w:color="auto"/>
      </w:divBdr>
    </w:div>
    <w:div w:id="1810395869">
      <w:bodyDiv w:val="1"/>
      <w:marLeft w:val="0"/>
      <w:marRight w:val="0"/>
      <w:marTop w:val="0"/>
      <w:marBottom w:val="0"/>
      <w:divBdr>
        <w:top w:val="none" w:sz="0" w:space="0" w:color="auto"/>
        <w:left w:val="none" w:sz="0" w:space="0" w:color="auto"/>
        <w:bottom w:val="none" w:sz="0" w:space="0" w:color="auto"/>
        <w:right w:val="none" w:sz="0" w:space="0" w:color="auto"/>
      </w:divBdr>
    </w:div>
    <w:div w:id="1815871673">
      <w:bodyDiv w:val="1"/>
      <w:marLeft w:val="0"/>
      <w:marRight w:val="0"/>
      <w:marTop w:val="0"/>
      <w:marBottom w:val="0"/>
      <w:divBdr>
        <w:top w:val="none" w:sz="0" w:space="0" w:color="auto"/>
        <w:left w:val="none" w:sz="0" w:space="0" w:color="auto"/>
        <w:bottom w:val="none" w:sz="0" w:space="0" w:color="auto"/>
        <w:right w:val="none" w:sz="0" w:space="0" w:color="auto"/>
      </w:divBdr>
    </w:div>
    <w:div w:id="1863126830">
      <w:bodyDiv w:val="1"/>
      <w:marLeft w:val="0"/>
      <w:marRight w:val="0"/>
      <w:marTop w:val="0"/>
      <w:marBottom w:val="0"/>
      <w:divBdr>
        <w:top w:val="none" w:sz="0" w:space="0" w:color="auto"/>
        <w:left w:val="none" w:sz="0" w:space="0" w:color="auto"/>
        <w:bottom w:val="none" w:sz="0" w:space="0" w:color="auto"/>
        <w:right w:val="none" w:sz="0" w:space="0" w:color="auto"/>
      </w:divBdr>
    </w:div>
    <w:div w:id="1869372372">
      <w:bodyDiv w:val="1"/>
      <w:marLeft w:val="0"/>
      <w:marRight w:val="0"/>
      <w:marTop w:val="0"/>
      <w:marBottom w:val="0"/>
      <w:divBdr>
        <w:top w:val="none" w:sz="0" w:space="0" w:color="auto"/>
        <w:left w:val="none" w:sz="0" w:space="0" w:color="auto"/>
        <w:bottom w:val="none" w:sz="0" w:space="0" w:color="auto"/>
        <w:right w:val="none" w:sz="0" w:space="0" w:color="auto"/>
      </w:divBdr>
    </w:div>
    <w:div w:id="1877501639">
      <w:bodyDiv w:val="1"/>
      <w:marLeft w:val="0"/>
      <w:marRight w:val="0"/>
      <w:marTop w:val="0"/>
      <w:marBottom w:val="0"/>
      <w:divBdr>
        <w:top w:val="none" w:sz="0" w:space="0" w:color="auto"/>
        <w:left w:val="none" w:sz="0" w:space="0" w:color="auto"/>
        <w:bottom w:val="none" w:sz="0" w:space="0" w:color="auto"/>
        <w:right w:val="none" w:sz="0" w:space="0" w:color="auto"/>
      </w:divBdr>
    </w:div>
    <w:div w:id="1899516382">
      <w:bodyDiv w:val="1"/>
      <w:marLeft w:val="0"/>
      <w:marRight w:val="0"/>
      <w:marTop w:val="0"/>
      <w:marBottom w:val="0"/>
      <w:divBdr>
        <w:top w:val="none" w:sz="0" w:space="0" w:color="auto"/>
        <w:left w:val="none" w:sz="0" w:space="0" w:color="auto"/>
        <w:bottom w:val="none" w:sz="0" w:space="0" w:color="auto"/>
        <w:right w:val="none" w:sz="0" w:space="0" w:color="auto"/>
      </w:divBdr>
    </w:div>
    <w:div w:id="1904486132">
      <w:bodyDiv w:val="1"/>
      <w:marLeft w:val="0"/>
      <w:marRight w:val="0"/>
      <w:marTop w:val="0"/>
      <w:marBottom w:val="0"/>
      <w:divBdr>
        <w:top w:val="none" w:sz="0" w:space="0" w:color="auto"/>
        <w:left w:val="none" w:sz="0" w:space="0" w:color="auto"/>
        <w:bottom w:val="none" w:sz="0" w:space="0" w:color="auto"/>
        <w:right w:val="none" w:sz="0" w:space="0" w:color="auto"/>
      </w:divBdr>
    </w:div>
    <w:div w:id="1905333195">
      <w:bodyDiv w:val="1"/>
      <w:marLeft w:val="0"/>
      <w:marRight w:val="0"/>
      <w:marTop w:val="0"/>
      <w:marBottom w:val="0"/>
      <w:divBdr>
        <w:top w:val="none" w:sz="0" w:space="0" w:color="auto"/>
        <w:left w:val="none" w:sz="0" w:space="0" w:color="auto"/>
        <w:bottom w:val="none" w:sz="0" w:space="0" w:color="auto"/>
        <w:right w:val="none" w:sz="0" w:space="0" w:color="auto"/>
      </w:divBdr>
    </w:div>
    <w:div w:id="1911229262">
      <w:bodyDiv w:val="1"/>
      <w:marLeft w:val="0"/>
      <w:marRight w:val="0"/>
      <w:marTop w:val="0"/>
      <w:marBottom w:val="0"/>
      <w:divBdr>
        <w:top w:val="none" w:sz="0" w:space="0" w:color="auto"/>
        <w:left w:val="none" w:sz="0" w:space="0" w:color="auto"/>
        <w:bottom w:val="none" w:sz="0" w:space="0" w:color="auto"/>
        <w:right w:val="none" w:sz="0" w:space="0" w:color="auto"/>
      </w:divBdr>
    </w:div>
    <w:div w:id="1916164166">
      <w:bodyDiv w:val="1"/>
      <w:marLeft w:val="0"/>
      <w:marRight w:val="0"/>
      <w:marTop w:val="0"/>
      <w:marBottom w:val="0"/>
      <w:divBdr>
        <w:top w:val="none" w:sz="0" w:space="0" w:color="auto"/>
        <w:left w:val="none" w:sz="0" w:space="0" w:color="auto"/>
        <w:bottom w:val="none" w:sz="0" w:space="0" w:color="auto"/>
        <w:right w:val="none" w:sz="0" w:space="0" w:color="auto"/>
      </w:divBdr>
    </w:div>
    <w:div w:id="1935821368">
      <w:bodyDiv w:val="1"/>
      <w:marLeft w:val="0"/>
      <w:marRight w:val="0"/>
      <w:marTop w:val="0"/>
      <w:marBottom w:val="0"/>
      <w:divBdr>
        <w:top w:val="none" w:sz="0" w:space="0" w:color="auto"/>
        <w:left w:val="none" w:sz="0" w:space="0" w:color="auto"/>
        <w:bottom w:val="none" w:sz="0" w:space="0" w:color="auto"/>
        <w:right w:val="none" w:sz="0" w:space="0" w:color="auto"/>
      </w:divBdr>
    </w:div>
    <w:div w:id="1949072869">
      <w:bodyDiv w:val="1"/>
      <w:marLeft w:val="0"/>
      <w:marRight w:val="0"/>
      <w:marTop w:val="0"/>
      <w:marBottom w:val="0"/>
      <w:divBdr>
        <w:top w:val="none" w:sz="0" w:space="0" w:color="auto"/>
        <w:left w:val="none" w:sz="0" w:space="0" w:color="auto"/>
        <w:bottom w:val="none" w:sz="0" w:space="0" w:color="auto"/>
        <w:right w:val="none" w:sz="0" w:space="0" w:color="auto"/>
      </w:divBdr>
    </w:div>
    <w:div w:id="1957981375">
      <w:bodyDiv w:val="1"/>
      <w:marLeft w:val="0"/>
      <w:marRight w:val="0"/>
      <w:marTop w:val="0"/>
      <w:marBottom w:val="0"/>
      <w:divBdr>
        <w:top w:val="none" w:sz="0" w:space="0" w:color="auto"/>
        <w:left w:val="none" w:sz="0" w:space="0" w:color="auto"/>
        <w:bottom w:val="none" w:sz="0" w:space="0" w:color="auto"/>
        <w:right w:val="none" w:sz="0" w:space="0" w:color="auto"/>
      </w:divBdr>
    </w:div>
    <w:div w:id="1983998743">
      <w:bodyDiv w:val="1"/>
      <w:marLeft w:val="0"/>
      <w:marRight w:val="0"/>
      <w:marTop w:val="0"/>
      <w:marBottom w:val="0"/>
      <w:divBdr>
        <w:top w:val="none" w:sz="0" w:space="0" w:color="auto"/>
        <w:left w:val="none" w:sz="0" w:space="0" w:color="auto"/>
        <w:bottom w:val="none" w:sz="0" w:space="0" w:color="auto"/>
        <w:right w:val="none" w:sz="0" w:space="0" w:color="auto"/>
      </w:divBdr>
    </w:div>
    <w:div w:id="2031683384">
      <w:bodyDiv w:val="1"/>
      <w:marLeft w:val="0"/>
      <w:marRight w:val="0"/>
      <w:marTop w:val="0"/>
      <w:marBottom w:val="0"/>
      <w:divBdr>
        <w:top w:val="none" w:sz="0" w:space="0" w:color="auto"/>
        <w:left w:val="none" w:sz="0" w:space="0" w:color="auto"/>
        <w:bottom w:val="none" w:sz="0" w:space="0" w:color="auto"/>
        <w:right w:val="none" w:sz="0" w:space="0" w:color="auto"/>
      </w:divBdr>
    </w:div>
    <w:div w:id="2046981898">
      <w:bodyDiv w:val="1"/>
      <w:marLeft w:val="0"/>
      <w:marRight w:val="0"/>
      <w:marTop w:val="0"/>
      <w:marBottom w:val="0"/>
      <w:divBdr>
        <w:top w:val="none" w:sz="0" w:space="0" w:color="auto"/>
        <w:left w:val="none" w:sz="0" w:space="0" w:color="auto"/>
        <w:bottom w:val="none" w:sz="0" w:space="0" w:color="auto"/>
        <w:right w:val="none" w:sz="0" w:space="0" w:color="auto"/>
      </w:divBdr>
    </w:div>
    <w:div w:id="2099474201">
      <w:bodyDiv w:val="1"/>
      <w:marLeft w:val="0"/>
      <w:marRight w:val="0"/>
      <w:marTop w:val="0"/>
      <w:marBottom w:val="0"/>
      <w:divBdr>
        <w:top w:val="none" w:sz="0" w:space="0" w:color="auto"/>
        <w:left w:val="none" w:sz="0" w:space="0" w:color="auto"/>
        <w:bottom w:val="none" w:sz="0" w:space="0" w:color="auto"/>
        <w:right w:val="none" w:sz="0" w:space="0" w:color="auto"/>
      </w:divBdr>
    </w:div>
    <w:div w:id="2101488806">
      <w:bodyDiv w:val="1"/>
      <w:marLeft w:val="0"/>
      <w:marRight w:val="0"/>
      <w:marTop w:val="0"/>
      <w:marBottom w:val="0"/>
      <w:divBdr>
        <w:top w:val="none" w:sz="0" w:space="0" w:color="auto"/>
        <w:left w:val="none" w:sz="0" w:space="0" w:color="auto"/>
        <w:bottom w:val="none" w:sz="0" w:space="0" w:color="auto"/>
        <w:right w:val="none" w:sz="0" w:space="0" w:color="auto"/>
      </w:divBdr>
    </w:div>
    <w:div w:id="2106345998">
      <w:bodyDiv w:val="1"/>
      <w:marLeft w:val="0"/>
      <w:marRight w:val="0"/>
      <w:marTop w:val="0"/>
      <w:marBottom w:val="0"/>
      <w:divBdr>
        <w:top w:val="none" w:sz="0" w:space="0" w:color="auto"/>
        <w:left w:val="none" w:sz="0" w:space="0" w:color="auto"/>
        <w:bottom w:val="none" w:sz="0" w:space="0" w:color="auto"/>
        <w:right w:val="none" w:sz="0" w:space="0" w:color="auto"/>
      </w:divBdr>
    </w:div>
    <w:div w:id="2126538239">
      <w:bodyDiv w:val="1"/>
      <w:marLeft w:val="0"/>
      <w:marRight w:val="0"/>
      <w:marTop w:val="0"/>
      <w:marBottom w:val="0"/>
      <w:divBdr>
        <w:top w:val="none" w:sz="0" w:space="0" w:color="auto"/>
        <w:left w:val="none" w:sz="0" w:space="0" w:color="auto"/>
        <w:bottom w:val="none" w:sz="0" w:space="0" w:color="auto"/>
        <w:right w:val="none" w:sz="0" w:space="0" w:color="auto"/>
      </w:divBdr>
    </w:div>
    <w:div w:id="2135521017">
      <w:bodyDiv w:val="1"/>
      <w:marLeft w:val="0"/>
      <w:marRight w:val="0"/>
      <w:marTop w:val="0"/>
      <w:marBottom w:val="0"/>
      <w:divBdr>
        <w:top w:val="none" w:sz="0" w:space="0" w:color="auto"/>
        <w:left w:val="none" w:sz="0" w:space="0" w:color="auto"/>
        <w:bottom w:val="none" w:sz="0" w:space="0" w:color="auto"/>
        <w:right w:val="none" w:sz="0" w:space="0" w:color="auto"/>
      </w:divBdr>
    </w:div>
    <w:div w:id="21468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president@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75CC-044C-468E-AEDA-F16EC31D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2695</Words>
  <Characters>16792</Characters>
  <Application>Microsoft Office Word</Application>
  <DocSecurity>0</DocSecurity>
  <Lines>1119</Lines>
  <Paragraphs>927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18560</CharactersWithSpaces>
  <SharedDoc>false</SharedDoc>
  <HLinks>
    <vt:vector size="6" baseType="variant">
      <vt:variant>
        <vt:i4>2490369</vt:i4>
      </vt:variant>
      <vt:variant>
        <vt:i4>0</vt:i4>
      </vt:variant>
      <vt:variant>
        <vt:i4>0</vt:i4>
      </vt:variant>
      <vt:variant>
        <vt:i4>5</vt:i4>
      </vt:variant>
      <vt:variant>
        <vt:lpwstr>mailto:bobkustra@boisestate.edu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31</cp:revision>
  <cp:lastPrinted>2023-07-26T17:53:00Z</cp:lastPrinted>
  <dcterms:created xsi:type="dcterms:W3CDTF">2024-08-16T21:41:00Z</dcterms:created>
  <dcterms:modified xsi:type="dcterms:W3CDTF">2025-06-24T19:23:00Z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90d206449001d31b892d758b0884f3a1639f6b7e24c84ba3574fed1baed5ffef</vt:lpwstr>
  </property>
</Properties>
</file>