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C8C60" w14:textId="77777777" w:rsidR="009F06F6" w:rsidRDefault="009F06F6" w:rsidP="008062A9">
      <w:pPr>
        <w:pStyle w:val="Heading1"/>
        <w:spacing w:before="0" w:after="60"/>
        <w:rPr>
          <w:rFonts w:ascii="Arial" w:hAnsi="Arial" w:cs="Arial"/>
          <w:i/>
          <w:color w:val="000080"/>
          <w:szCs w:val="24"/>
        </w:rPr>
      </w:pPr>
    </w:p>
    <w:p w14:paraId="25B9AD06" w14:textId="5750E48B" w:rsidR="008062A9" w:rsidRPr="00487FCD" w:rsidRDefault="008062A9" w:rsidP="008062A9">
      <w:pPr>
        <w:pStyle w:val="Heading1"/>
        <w:spacing w:before="0" w:after="60"/>
        <w:rPr>
          <w:rFonts w:ascii="Arial" w:hAnsi="Arial" w:cs="Arial"/>
          <w:i/>
          <w:color w:val="000080"/>
          <w:szCs w:val="24"/>
        </w:rPr>
      </w:pPr>
      <w:r w:rsidRPr="00487FCD">
        <w:rPr>
          <w:rFonts w:ascii="Arial" w:hAnsi="Arial" w:cs="Arial"/>
          <w:i/>
          <w:color w:val="000080"/>
          <w:szCs w:val="24"/>
        </w:rPr>
        <w:t>Part I – Agency Profile</w:t>
      </w:r>
    </w:p>
    <w:p w14:paraId="5F2F8ADB" w14:textId="77777777" w:rsidR="00457DB2" w:rsidRPr="006B279D" w:rsidRDefault="00457DB2" w:rsidP="005D2CAB">
      <w:pPr>
        <w:rPr>
          <w:rFonts w:ascii="Arial" w:hAnsi="Arial" w:cs="Arial"/>
          <w:b/>
          <w:bCs/>
          <w:sz w:val="16"/>
          <w:szCs w:val="16"/>
        </w:rPr>
      </w:pPr>
    </w:p>
    <w:p w14:paraId="74893F45" w14:textId="77777777" w:rsidR="0066182C" w:rsidRDefault="0066182C" w:rsidP="0066182C">
      <w:r>
        <w:rPr>
          <w:rFonts w:ascii="Arial" w:hAnsi="Arial" w:cs="Arial"/>
          <w:b/>
          <w:bCs/>
          <w:color w:val="000000"/>
        </w:rPr>
        <w:t>Agency Overview</w:t>
      </w:r>
    </w:p>
    <w:p w14:paraId="504D2E5B" w14:textId="538FA3D0" w:rsidR="0066182C" w:rsidRPr="0066182C" w:rsidRDefault="0066182C" w:rsidP="0066182C">
      <w:pPr>
        <w:jc w:val="both"/>
        <w:rPr>
          <w:rFonts w:ascii="Arial" w:hAnsi="Arial" w:cs="Arial"/>
          <w:sz w:val="20"/>
          <w:szCs w:val="20"/>
        </w:rPr>
      </w:pPr>
      <w:r w:rsidRPr="0066182C">
        <w:rPr>
          <w:rFonts w:ascii="Arial" w:hAnsi="Arial" w:cs="Arial"/>
          <w:sz w:val="20"/>
          <w:szCs w:val="20"/>
        </w:rPr>
        <w:t>Founded in 1901, Idaho State University is one of the country’s most comprehensive higher education institutions, offering more than 250 academic prog</w:t>
      </w:r>
      <w:r w:rsidR="00CF2DEF">
        <w:rPr>
          <w:rFonts w:ascii="Arial" w:hAnsi="Arial" w:cs="Arial"/>
          <w:sz w:val="20"/>
          <w:szCs w:val="20"/>
        </w:rPr>
        <w:t>rams.  Idaho State is one of seven</w:t>
      </w:r>
      <w:r w:rsidRPr="0066182C">
        <w:rPr>
          <w:rFonts w:ascii="Arial" w:hAnsi="Arial" w:cs="Arial"/>
          <w:sz w:val="20"/>
          <w:szCs w:val="20"/>
        </w:rPr>
        <w:t xml:space="preserve"> universities in the U.S. to award technical certificates through graduate, post-graduate and professional degrees.  The University is a Carnegie-classified doctoral research institution</w:t>
      </w:r>
      <w:r w:rsidR="00A65FE0">
        <w:rPr>
          <w:rFonts w:ascii="Arial" w:hAnsi="Arial" w:cs="Arial"/>
          <w:sz w:val="20"/>
          <w:szCs w:val="20"/>
        </w:rPr>
        <w:t xml:space="preserve"> (High Research Activity)</w:t>
      </w:r>
      <w:r w:rsidRPr="0066182C">
        <w:rPr>
          <w:rFonts w:ascii="Arial" w:hAnsi="Arial" w:cs="Arial"/>
          <w:sz w:val="20"/>
          <w:szCs w:val="20"/>
        </w:rPr>
        <w:t>, attracting students from around the world to its main campus in Pocatello and locations in Meridian, Idaho Falls, and Twin Falls.  For nearly 60 years, the University has been Idaho’s designated leader for training and educating health care professionals.</w:t>
      </w:r>
    </w:p>
    <w:p w14:paraId="6DB35B05" w14:textId="77777777" w:rsidR="0066182C" w:rsidRPr="006B279D" w:rsidRDefault="0066182C" w:rsidP="0066182C">
      <w:pPr>
        <w:jc w:val="both"/>
        <w:rPr>
          <w:rFonts w:ascii="Arial" w:hAnsi="Arial" w:cs="Arial"/>
          <w:sz w:val="16"/>
          <w:szCs w:val="16"/>
        </w:rPr>
      </w:pPr>
    </w:p>
    <w:p w14:paraId="3BF82F4D" w14:textId="037726B3" w:rsidR="0066182C" w:rsidRPr="0066182C" w:rsidRDefault="0066182C" w:rsidP="0066182C">
      <w:pPr>
        <w:jc w:val="both"/>
        <w:rPr>
          <w:rFonts w:ascii="Arial" w:hAnsi="Arial" w:cs="Arial"/>
          <w:sz w:val="20"/>
          <w:szCs w:val="20"/>
        </w:rPr>
      </w:pPr>
      <w:r w:rsidRPr="0066182C">
        <w:rPr>
          <w:rFonts w:ascii="Arial" w:hAnsi="Arial" w:cs="Arial"/>
          <w:sz w:val="20"/>
          <w:szCs w:val="20"/>
        </w:rPr>
        <w:t>Today, Idaho State serves a student</w:t>
      </w:r>
      <w:r w:rsidR="00971F0F">
        <w:rPr>
          <w:rFonts w:ascii="Arial" w:hAnsi="Arial" w:cs="Arial"/>
          <w:sz w:val="20"/>
          <w:szCs w:val="20"/>
        </w:rPr>
        <w:t xml:space="preserve"> population of </w:t>
      </w:r>
      <w:r w:rsidR="002D6320">
        <w:rPr>
          <w:rFonts w:ascii="Arial" w:hAnsi="Arial" w:cs="Arial"/>
          <w:sz w:val="20"/>
          <w:szCs w:val="20"/>
        </w:rPr>
        <w:t>13,012 (Fall 2023</w:t>
      </w:r>
      <w:r w:rsidR="007E3F49">
        <w:rPr>
          <w:rFonts w:ascii="Arial" w:hAnsi="Arial" w:cs="Arial"/>
          <w:sz w:val="20"/>
          <w:szCs w:val="20"/>
        </w:rPr>
        <w:t xml:space="preserve">-end of term), and </w:t>
      </w:r>
      <w:r w:rsidR="002D6320">
        <w:rPr>
          <w:rFonts w:ascii="Arial" w:hAnsi="Arial" w:cs="Arial"/>
          <w:sz w:val="20"/>
          <w:szCs w:val="20"/>
        </w:rPr>
        <w:t xml:space="preserve">15,146 </w:t>
      </w:r>
      <w:r w:rsidRPr="0066182C">
        <w:rPr>
          <w:rFonts w:ascii="Arial" w:hAnsi="Arial" w:cs="Arial"/>
          <w:sz w:val="20"/>
          <w:szCs w:val="20"/>
        </w:rPr>
        <w:t>unduplicated annual headcount (Fi</w:t>
      </w:r>
      <w:r w:rsidR="002D6320">
        <w:rPr>
          <w:rFonts w:ascii="Arial" w:hAnsi="Arial" w:cs="Arial"/>
          <w:sz w:val="20"/>
          <w:szCs w:val="20"/>
        </w:rPr>
        <w:t>scal Year 2024), representing 48 states and 65</w:t>
      </w:r>
      <w:r w:rsidRPr="0066182C">
        <w:rPr>
          <w:rFonts w:ascii="Arial" w:hAnsi="Arial" w:cs="Arial"/>
          <w:sz w:val="20"/>
          <w:szCs w:val="20"/>
        </w:rPr>
        <w:t xml:space="preserve"> countries.  In addition, Idaho State taught mo</w:t>
      </w:r>
      <w:r w:rsidR="006828A3">
        <w:rPr>
          <w:rFonts w:ascii="Arial" w:hAnsi="Arial" w:cs="Arial"/>
          <w:sz w:val="20"/>
          <w:szCs w:val="20"/>
        </w:rPr>
        <w:t xml:space="preserve">re than </w:t>
      </w:r>
      <w:r w:rsidR="002D6320">
        <w:rPr>
          <w:rFonts w:ascii="Arial" w:hAnsi="Arial" w:cs="Arial"/>
          <w:sz w:val="20"/>
          <w:szCs w:val="20"/>
        </w:rPr>
        <w:t>35,000 students (FY 2024</w:t>
      </w:r>
      <w:r w:rsidRPr="0066182C">
        <w:rPr>
          <w:rFonts w:ascii="Arial" w:hAnsi="Arial" w:cs="Arial"/>
          <w:sz w:val="20"/>
          <w:szCs w:val="20"/>
        </w:rPr>
        <w:t>) in professional development, workforce training, and continuing education courses.  Idaho State’s mission and Idaho State Board of Education (the Board) mandated service region is the result of the institution’s history and Idaho’s unique geography. </w:t>
      </w:r>
    </w:p>
    <w:p w14:paraId="6A00EAF9" w14:textId="77777777" w:rsidR="0066182C" w:rsidRPr="006B279D" w:rsidRDefault="0066182C" w:rsidP="0066182C">
      <w:pPr>
        <w:jc w:val="both"/>
        <w:rPr>
          <w:rFonts w:ascii="Arial" w:hAnsi="Arial" w:cs="Arial"/>
          <w:sz w:val="16"/>
          <w:szCs w:val="16"/>
        </w:rPr>
      </w:pPr>
    </w:p>
    <w:p w14:paraId="3B3B796F" w14:textId="14B7CB5A" w:rsidR="0066182C" w:rsidRPr="0066182C" w:rsidRDefault="0066182C" w:rsidP="0066182C">
      <w:pPr>
        <w:jc w:val="both"/>
        <w:rPr>
          <w:rFonts w:ascii="Arial" w:hAnsi="Arial" w:cs="Arial"/>
          <w:sz w:val="20"/>
          <w:szCs w:val="20"/>
        </w:rPr>
      </w:pPr>
      <w:r w:rsidRPr="0066182C">
        <w:rPr>
          <w:rFonts w:ascii="Arial" w:hAnsi="Arial" w:cs="Arial"/>
          <w:sz w:val="20"/>
          <w:szCs w:val="20"/>
        </w:rPr>
        <w:t>Idaho State’s geographic service region extends from the upper-Snake River region on the east side of the state, to the Magic Valley/Twin Falls towards the west, and the rural communities of the central mountains on the north. </w:t>
      </w:r>
    </w:p>
    <w:p w14:paraId="73AE76B5" w14:textId="674D4C3A" w:rsidR="0066182C" w:rsidRPr="0066182C" w:rsidRDefault="0066182C" w:rsidP="0066182C">
      <w:pPr>
        <w:jc w:val="both"/>
        <w:rPr>
          <w:rFonts w:ascii="Arial" w:hAnsi="Arial" w:cs="Arial"/>
          <w:sz w:val="20"/>
          <w:szCs w:val="20"/>
        </w:rPr>
      </w:pPr>
      <w:r w:rsidRPr="0066182C">
        <w:rPr>
          <w:rFonts w:ascii="Arial" w:hAnsi="Arial" w:cs="Arial"/>
          <w:sz w:val="20"/>
          <w:szCs w:val="20"/>
        </w:rPr>
        <w:t>Idaho State’s disciplinary breadth, combined with its unique degree mix, offers a wide variety of opportunities for Idahoans, following the Board’s mandate to serve its diverse, largely rural region and to provide health care programming for the state.  Idaho State hosts 13 men’s and women’s National Collegiate Athletic Association (NCAA) athletic teams and offers 1</w:t>
      </w:r>
      <w:r w:rsidR="00AA1AC4">
        <w:rPr>
          <w:rFonts w:ascii="Arial" w:hAnsi="Arial" w:cs="Arial"/>
          <w:sz w:val="20"/>
          <w:szCs w:val="20"/>
        </w:rPr>
        <w:t>24</w:t>
      </w:r>
      <w:r w:rsidRPr="0066182C">
        <w:rPr>
          <w:rFonts w:ascii="Arial" w:hAnsi="Arial" w:cs="Arial"/>
          <w:sz w:val="20"/>
          <w:szCs w:val="20"/>
        </w:rPr>
        <w:t xml:space="preserve"> student clubs and organizations for student participation.</w:t>
      </w:r>
    </w:p>
    <w:p w14:paraId="6F90A88A" w14:textId="77777777" w:rsidR="0066182C" w:rsidRPr="006B279D" w:rsidRDefault="0066182C" w:rsidP="0066182C">
      <w:pPr>
        <w:jc w:val="both"/>
        <w:rPr>
          <w:rFonts w:ascii="Arial" w:hAnsi="Arial" w:cs="Arial"/>
          <w:sz w:val="16"/>
          <w:szCs w:val="16"/>
        </w:rPr>
      </w:pPr>
    </w:p>
    <w:p w14:paraId="070CE05D" w14:textId="404343E6" w:rsidR="0066182C" w:rsidRPr="0066182C" w:rsidRDefault="0066182C" w:rsidP="0066182C">
      <w:pPr>
        <w:jc w:val="both"/>
        <w:rPr>
          <w:rFonts w:ascii="Arial" w:hAnsi="Arial" w:cs="Arial"/>
          <w:sz w:val="20"/>
          <w:szCs w:val="20"/>
        </w:rPr>
      </w:pPr>
      <w:r w:rsidRPr="0066182C">
        <w:rPr>
          <w:rFonts w:ascii="Arial" w:hAnsi="Arial" w:cs="Arial"/>
          <w:sz w:val="20"/>
          <w:szCs w:val="20"/>
        </w:rPr>
        <w:t>Idaho State is organized into seven colleges: Arts and Letters, Business, Education, Science and Engineering, Technology, Pharmacy, and Health.  In addition, Idaho State’s Graduate School is overseen by a graduate dean advised by graduate faculty, and the Dean of the Library directs library activities and its faculty and staff.</w:t>
      </w:r>
    </w:p>
    <w:p w14:paraId="33A328F5" w14:textId="77777777" w:rsidR="0066182C" w:rsidRDefault="0066182C" w:rsidP="0066182C">
      <w:pPr>
        <w:jc w:val="both"/>
        <w:rPr>
          <w:rFonts w:ascii="Arial" w:hAnsi="Arial" w:cs="Arial"/>
          <w:sz w:val="20"/>
          <w:szCs w:val="20"/>
        </w:rPr>
      </w:pPr>
    </w:p>
    <w:p w14:paraId="140804C3" w14:textId="1B9EBC1B" w:rsidR="0066182C" w:rsidRPr="0066182C" w:rsidRDefault="0066182C" w:rsidP="0066182C">
      <w:pPr>
        <w:jc w:val="both"/>
        <w:rPr>
          <w:rFonts w:ascii="Arial" w:hAnsi="Arial" w:cs="Arial"/>
          <w:sz w:val="20"/>
          <w:szCs w:val="20"/>
        </w:rPr>
      </w:pPr>
      <w:r w:rsidRPr="0066182C">
        <w:rPr>
          <w:rFonts w:ascii="Arial" w:hAnsi="Arial" w:cs="Arial"/>
          <w:sz w:val="20"/>
          <w:szCs w:val="20"/>
        </w:rPr>
        <w:t xml:space="preserve">Idaho State boasts many incredible facilities, including the Center for Advanced Energy Studies (CAES), the Idaho Accelerator Center, and the nationally renowned Stephens Performing Arts Center, which brings music, theatre, and cultural performances to southeastern Idaho.  The Idaho Museum of Natural History, located on the Pocatello campus, provides children, families, and </w:t>
      </w:r>
      <w:proofErr w:type="gramStart"/>
      <w:r w:rsidRPr="0066182C">
        <w:rPr>
          <w:rFonts w:ascii="Arial" w:hAnsi="Arial" w:cs="Arial"/>
          <w:sz w:val="20"/>
          <w:szCs w:val="20"/>
        </w:rPr>
        <w:t>adults</w:t>
      </w:r>
      <w:proofErr w:type="gramEnd"/>
      <w:r w:rsidRPr="0066182C">
        <w:rPr>
          <w:rFonts w:ascii="Arial" w:hAnsi="Arial" w:cs="Arial"/>
          <w:sz w:val="20"/>
          <w:szCs w:val="20"/>
        </w:rPr>
        <w:t xml:space="preserve"> an in-depth exploration of the natural history of Idaho. </w:t>
      </w:r>
    </w:p>
    <w:p w14:paraId="2FF6E03E" w14:textId="77777777" w:rsidR="00C54140" w:rsidRDefault="00C54140" w:rsidP="0066182C">
      <w:pPr>
        <w:jc w:val="both"/>
        <w:rPr>
          <w:rFonts w:ascii="Arial" w:hAnsi="Arial" w:cs="Arial"/>
          <w:sz w:val="20"/>
          <w:szCs w:val="20"/>
        </w:rPr>
      </w:pPr>
    </w:p>
    <w:p w14:paraId="12AB706E" w14:textId="2A3E37FE" w:rsidR="0066182C" w:rsidRDefault="0066182C" w:rsidP="0066182C">
      <w:pPr>
        <w:jc w:val="both"/>
        <w:rPr>
          <w:rFonts w:ascii="Arial" w:hAnsi="Arial" w:cs="Arial"/>
          <w:sz w:val="20"/>
          <w:szCs w:val="20"/>
        </w:rPr>
      </w:pPr>
      <w:r w:rsidRPr="0066182C">
        <w:rPr>
          <w:rFonts w:ascii="Arial" w:hAnsi="Arial" w:cs="Arial"/>
          <w:sz w:val="20"/>
          <w:szCs w:val="20"/>
        </w:rPr>
        <w:t>In 2022, Idaho State completed and began implementing a new, more aspirational mission, vision, and strategic plan.  To achieve mission fulfillment, the University created five goals.  The goals work to improve institutional effectiveness, student achievement, and student learning.</w:t>
      </w:r>
    </w:p>
    <w:p w14:paraId="2D901AE5" w14:textId="77777777" w:rsidR="0066182C" w:rsidRPr="0066182C" w:rsidRDefault="0066182C" w:rsidP="0066182C">
      <w:pPr>
        <w:jc w:val="both"/>
        <w:rPr>
          <w:rFonts w:ascii="Arial" w:hAnsi="Arial" w:cs="Arial"/>
          <w:sz w:val="20"/>
          <w:szCs w:val="20"/>
        </w:rPr>
      </w:pPr>
    </w:p>
    <w:p w14:paraId="5604D94B" w14:textId="77777777" w:rsidR="0066182C" w:rsidRPr="0066182C" w:rsidRDefault="0066182C" w:rsidP="0066182C">
      <w:pPr>
        <w:jc w:val="both"/>
        <w:rPr>
          <w:rFonts w:ascii="Arial" w:hAnsi="Arial" w:cs="Arial"/>
          <w:sz w:val="20"/>
          <w:szCs w:val="20"/>
        </w:rPr>
      </w:pPr>
      <w:r w:rsidRPr="0066182C">
        <w:rPr>
          <w:rFonts w:ascii="Arial" w:hAnsi="Arial" w:cs="Arial"/>
          <w:sz w:val="20"/>
          <w:szCs w:val="20"/>
        </w:rPr>
        <w:t>·         Goal 1: Increase student access, opportunity, retention, and success</w:t>
      </w:r>
    </w:p>
    <w:p w14:paraId="1310E7F8" w14:textId="77777777" w:rsidR="0066182C" w:rsidRPr="0066182C" w:rsidRDefault="0066182C" w:rsidP="0066182C">
      <w:pPr>
        <w:jc w:val="both"/>
        <w:rPr>
          <w:rFonts w:ascii="Arial" w:hAnsi="Arial" w:cs="Arial"/>
          <w:sz w:val="20"/>
          <w:szCs w:val="20"/>
        </w:rPr>
      </w:pPr>
      <w:r w:rsidRPr="0066182C">
        <w:rPr>
          <w:rFonts w:ascii="Arial" w:hAnsi="Arial" w:cs="Arial"/>
          <w:sz w:val="20"/>
          <w:szCs w:val="20"/>
        </w:rPr>
        <w:t>·         Goal 2: Strengthen programmatic excellence </w:t>
      </w:r>
    </w:p>
    <w:p w14:paraId="0A9FC0C8" w14:textId="77777777" w:rsidR="0066182C" w:rsidRPr="0066182C" w:rsidRDefault="0066182C" w:rsidP="0066182C">
      <w:pPr>
        <w:jc w:val="both"/>
        <w:rPr>
          <w:rFonts w:ascii="Arial" w:hAnsi="Arial" w:cs="Arial"/>
          <w:sz w:val="20"/>
          <w:szCs w:val="20"/>
        </w:rPr>
      </w:pPr>
      <w:r w:rsidRPr="0066182C">
        <w:rPr>
          <w:rFonts w:ascii="Arial" w:hAnsi="Arial" w:cs="Arial"/>
          <w:sz w:val="20"/>
          <w:szCs w:val="20"/>
        </w:rPr>
        <w:t>·         Goal 3: Cultivate external partnerships</w:t>
      </w:r>
    </w:p>
    <w:p w14:paraId="2DB3682A" w14:textId="77777777" w:rsidR="0066182C" w:rsidRPr="0066182C" w:rsidRDefault="0066182C" w:rsidP="0066182C">
      <w:pPr>
        <w:jc w:val="both"/>
        <w:rPr>
          <w:rFonts w:ascii="Arial" w:hAnsi="Arial" w:cs="Arial"/>
          <w:sz w:val="20"/>
          <w:szCs w:val="20"/>
        </w:rPr>
      </w:pPr>
      <w:r w:rsidRPr="0066182C">
        <w:rPr>
          <w:rFonts w:ascii="Arial" w:hAnsi="Arial" w:cs="Arial"/>
          <w:sz w:val="20"/>
          <w:szCs w:val="20"/>
        </w:rPr>
        <w:t>·         Goal 4: Expand research, clinical, and creative activities</w:t>
      </w:r>
    </w:p>
    <w:p w14:paraId="56AFCCE0" w14:textId="0C648C53" w:rsidR="0066182C" w:rsidRDefault="0066182C" w:rsidP="0066182C">
      <w:pPr>
        <w:jc w:val="both"/>
        <w:rPr>
          <w:rFonts w:ascii="Arial" w:hAnsi="Arial" w:cs="Arial"/>
          <w:sz w:val="20"/>
          <w:szCs w:val="20"/>
        </w:rPr>
      </w:pPr>
      <w:r w:rsidRPr="0066182C">
        <w:rPr>
          <w:rFonts w:ascii="Arial" w:hAnsi="Arial" w:cs="Arial"/>
          <w:sz w:val="20"/>
          <w:szCs w:val="20"/>
        </w:rPr>
        <w:t>·         Goal 5: Energize the Bengal community</w:t>
      </w:r>
    </w:p>
    <w:p w14:paraId="08680A6C" w14:textId="77777777" w:rsidR="0066182C" w:rsidRPr="0066182C" w:rsidRDefault="0066182C" w:rsidP="0066182C">
      <w:pPr>
        <w:jc w:val="both"/>
        <w:rPr>
          <w:rFonts w:ascii="Arial" w:hAnsi="Arial" w:cs="Arial"/>
          <w:sz w:val="20"/>
          <w:szCs w:val="20"/>
        </w:rPr>
      </w:pPr>
    </w:p>
    <w:p w14:paraId="3153A15D" w14:textId="6E83558A" w:rsidR="0066182C" w:rsidRDefault="00B66FE4" w:rsidP="0066182C">
      <w:pPr>
        <w:jc w:val="both"/>
        <w:rPr>
          <w:rFonts w:ascii="Arial" w:hAnsi="Arial" w:cs="Arial"/>
          <w:sz w:val="20"/>
          <w:szCs w:val="20"/>
        </w:rPr>
      </w:pPr>
      <w:r>
        <w:rPr>
          <w:rFonts w:ascii="Arial" w:hAnsi="Arial" w:cs="Arial"/>
          <w:sz w:val="20"/>
          <w:szCs w:val="20"/>
        </w:rPr>
        <w:t>The FY24</w:t>
      </w:r>
      <w:r w:rsidR="0066182C" w:rsidRPr="0066182C">
        <w:rPr>
          <w:rFonts w:ascii="Arial" w:hAnsi="Arial" w:cs="Arial"/>
          <w:sz w:val="20"/>
          <w:szCs w:val="20"/>
        </w:rPr>
        <w:t xml:space="preserve"> </w:t>
      </w:r>
      <w:r w:rsidR="000F5421">
        <w:rPr>
          <w:rFonts w:ascii="Arial" w:hAnsi="Arial" w:cs="Arial"/>
          <w:sz w:val="20"/>
          <w:szCs w:val="20"/>
        </w:rPr>
        <w:t xml:space="preserve">Performance Measure Report </w:t>
      </w:r>
      <w:r w:rsidR="0066182C" w:rsidRPr="0066182C">
        <w:rPr>
          <w:rFonts w:ascii="Arial" w:hAnsi="Arial" w:cs="Arial"/>
          <w:sz w:val="20"/>
          <w:szCs w:val="20"/>
        </w:rPr>
        <w:t>reflect</w:t>
      </w:r>
      <w:r w:rsidR="000F5421">
        <w:rPr>
          <w:rFonts w:ascii="Arial" w:hAnsi="Arial" w:cs="Arial"/>
          <w:sz w:val="20"/>
          <w:szCs w:val="20"/>
        </w:rPr>
        <w:t>s</w:t>
      </w:r>
      <w:r w:rsidR="0066182C" w:rsidRPr="0066182C">
        <w:rPr>
          <w:rFonts w:ascii="Arial" w:hAnsi="Arial" w:cs="Arial"/>
          <w:sz w:val="20"/>
          <w:szCs w:val="20"/>
        </w:rPr>
        <w:t xml:space="preserve"> the new plan’s accomplishments of the new performance measures. </w:t>
      </w:r>
    </w:p>
    <w:p w14:paraId="6DD9FE6C" w14:textId="77777777" w:rsidR="000F5421" w:rsidRPr="006B279D" w:rsidRDefault="000F5421" w:rsidP="0066182C">
      <w:pPr>
        <w:jc w:val="both"/>
        <w:rPr>
          <w:rFonts w:ascii="Arial" w:hAnsi="Arial" w:cs="Arial"/>
          <w:sz w:val="16"/>
          <w:szCs w:val="16"/>
        </w:rPr>
      </w:pPr>
    </w:p>
    <w:p w14:paraId="095380B2" w14:textId="77777777" w:rsidR="000F5421" w:rsidRPr="0045323D" w:rsidRDefault="000F5421" w:rsidP="000F5421">
      <w:pPr>
        <w:pStyle w:val="Default"/>
        <w:jc w:val="both"/>
        <w:rPr>
          <w:b/>
          <w:sz w:val="20"/>
          <w:szCs w:val="20"/>
        </w:rPr>
      </w:pPr>
      <w:r w:rsidRPr="0045323D">
        <w:rPr>
          <w:b/>
          <w:sz w:val="20"/>
          <w:szCs w:val="20"/>
        </w:rPr>
        <w:t xml:space="preserve">ISU’s Mission: </w:t>
      </w:r>
    </w:p>
    <w:p w14:paraId="75BCACB8" w14:textId="2232C722" w:rsidR="000F5421" w:rsidRDefault="000F5421" w:rsidP="000F5421">
      <w:pPr>
        <w:jc w:val="both"/>
        <w:rPr>
          <w:rFonts w:ascii="Arial" w:hAnsi="Arial" w:cs="Arial"/>
          <w:sz w:val="20"/>
          <w:szCs w:val="20"/>
        </w:rPr>
      </w:pPr>
      <w:r w:rsidRPr="000F5421">
        <w:rPr>
          <w:rFonts w:ascii="Arial" w:hAnsi="Arial" w:cs="Arial"/>
          <w:sz w:val="20"/>
          <w:szCs w:val="20"/>
        </w:rPr>
        <w:t>We engage students through learning and research opportunities that improve the intellectual vigor, cultural vitality, and health of our communities.</w:t>
      </w:r>
    </w:p>
    <w:p w14:paraId="110E237E" w14:textId="1EE72368" w:rsidR="000F5421" w:rsidRDefault="000F5421" w:rsidP="000F5421">
      <w:pPr>
        <w:jc w:val="both"/>
        <w:rPr>
          <w:rFonts w:ascii="Arial" w:hAnsi="Arial" w:cs="Arial"/>
          <w:sz w:val="20"/>
          <w:szCs w:val="20"/>
        </w:rPr>
      </w:pPr>
    </w:p>
    <w:p w14:paraId="15376F4E" w14:textId="1B6612B3" w:rsidR="000F5421" w:rsidRPr="0045323D" w:rsidRDefault="000F5421" w:rsidP="000F5421">
      <w:pPr>
        <w:pStyle w:val="Default"/>
        <w:jc w:val="both"/>
        <w:rPr>
          <w:b/>
          <w:sz w:val="20"/>
          <w:szCs w:val="20"/>
        </w:rPr>
      </w:pPr>
      <w:r>
        <w:rPr>
          <w:b/>
          <w:sz w:val="20"/>
          <w:szCs w:val="20"/>
        </w:rPr>
        <w:t>ISU’s Vision</w:t>
      </w:r>
      <w:r w:rsidRPr="0045323D">
        <w:rPr>
          <w:b/>
          <w:sz w:val="20"/>
          <w:szCs w:val="20"/>
        </w:rPr>
        <w:t xml:space="preserve">: </w:t>
      </w:r>
    </w:p>
    <w:p w14:paraId="24461B75" w14:textId="3A927279" w:rsidR="000F5421" w:rsidRPr="0066182C" w:rsidRDefault="000F5421" w:rsidP="000F5421">
      <w:pPr>
        <w:jc w:val="both"/>
        <w:rPr>
          <w:rFonts w:ascii="Arial" w:hAnsi="Arial" w:cs="Arial"/>
          <w:sz w:val="20"/>
          <w:szCs w:val="20"/>
        </w:rPr>
      </w:pPr>
      <w:r w:rsidRPr="000F5421">
        <w:rPr>
          <w:rFonts w:ascii="Arial" w:hAnsi="Arial" w:cs="Arial"/>
          <w:sz w:val="20"/>
          <w:szCs w:val="20"/>
        </w:rPr>
        <w:t>We inspire a passion for knowledge and discovery.</w:t>
      </w:r>
    </w:p>
    <w:p w14:paraId="65E80E43" w14:textId="77777777" w:rsidR="00C53D25" w:rsidRPr="006B279D" w:rsidRDefault="00C53D25" w:rsidP="00272B74">
      <w:pPr>
        <w:jc w:val="both"/>
        <w:rPr>
          <w:rFonts w:ascii="Arial" w:hAnsi="Arial" w:cs="Arial"/>
          <w:sz w:val="16"/>
          <w:szCs w:val="16"/>
        </w:rPr>
      </w:pPr>
    </w:p>
    <w:p w14:paraId="127816BB" w14:textId="71803AF0" w:rsidR="00446B1D" w:rsidRPr="00301088" w:rsidRDefault="00AC4772" w:rsidP="00272B74">
      <w:pPr>
        <w:jc w:val="both"/>
        <w:rPr>
          <w:rFonts w:ascii="Arial" w:hAnsi="Arial" w:cs="Arial"/>
        </w:rPr>
      </w:pPr>
      <w:r>
        <w:rPr>
          <w:rFonts w:ascii="Arial" w:hAnsi="Arial" w:cs="Arial"/>
          <w:b/>
          <w:bCs/>
        </w:rPr>
        <w:t>Idaho State University (</w:t>
      </w:r>
      <w:r w:rsidR="00BB5C97">
        <w:rPr>
          <w:rFonts w:ascii="Arial" w:hAnsi="Arial" w:cs="Arial"/>
          <w:b/>
          <w:bCs/>
        </w:rPr>
        <w:t>ISU</w:t>
      </w:r>
      <w:r>
        <w:rPr>
          <w:rFonts w:ascii="Arial" w:hAnsi="Arial" w:cs="Arial"/>
          <w:b/>
          <w:bCs/>
        </w:rPr>
        <w:t>)</w:t>
      </w:r>
      <w:r w:rsidR="00BB5C97">
        <w:rPr>
          <w:rFonts w:ascii="Arial" w:hAnsi="Arial" w:cs="Arial"/>
          <w:b/>
          <w:bCs/>
        </w:rPr>
        <w:t xml:space="preserve"> </w:t>
      </w:r>
      <w:r w:rsidR="00446B1D" w:rsidRPr="00301088">
        <w:rPr>
          <w:rFonts w:ascii="Arial" w:hAnsi="Arial" w:cs="Arial"/>
          <w:b/>
          <w:bCs/>
        </w:rPr>
        <w:t>Core Functions/Idaho Code</w:t>
      </w:r>
    </w:p>
    <w:p w14:paraId="0A5B556B" w14:textId="1E929CCE" w:rsidR="005607C8" w:rsidRDefault="005D097C" w:rsidP="00272B74">
      <w:pPr>
        <w:jc w:val="both"/>
        <w:rPr>
          <w:rFonts w:ascii="Arial" w:hAnsi="Arial" w:cs="Arial"/>
          <w:sz w:val="20"/>
          <w:szCs w:val="20"/>
        </w:rPr>
      </w:pPr>
      <w:r w:rsidRPr="0045323D">
        <w:rPr>
          <w:rFonts w:ascii="Arial" w:hAnsi="Arial" w:cs="Arial"/>
          <w:sz w:val="20"/>
          <w:szCs w:val="20"/>
        </w:rPr>
        <w:t xml:space="preserve">Idaho State University is a </w:t>
      </w:r>
      <w:r w:rsidR="00BB5CE1" w:rsidRPr="0045323D">
        <w:rPr>
          <w:rFonts w:ascii="Arial" w:hAnsi="Arial" w:cs="Arial"/>
          <w:sz w:val="20"/>
          <w:szCs w:val="20"/>
        </w:rPr>
        <w:t>publicly supported</w:t>
      </w:r>
      <w:r w:rsidRPr="0045323D">
        <w:rPr>
          <w:rFonts w:ascii="Arial" w:hAnsi="Arial" w:cs="Arial"/>
          <w:sz w:val="20"/>
          <w:szCs w:val="20"/>
        </w:rPr>
        <w:t xml:space="preserve"> institution of higher education as created under the laws of the State of Idaho, Idaho Statute Title 33, </w:t>
      </w:r>
      <w:r w:rsidRPr="0045323D">
        <w:rPr>
          <w:rFonts w:ascii="Arial" w:hAnsi="Arial" w:cs="Arial"/>
          <w:noProof/>
          <w:sz w:val="20"/>
          <w:szCs w:val="20"/>
        </w:rPr>
        <w:t>Chapter</w:t>
      </w:r>
      <w:r w:rsidRPr="0045323D">
        <w:rPr>
          <w:rFonts w:ascii="Arial" w:hAnsi="Arial" w:cs="Arial"/>
          <w:sz w:val="20"/>
          <w:szCs w:val="20"/>
        </w:rPr>
        <w:t xml:space="preserve"> 30 and </w:t>
      </w:r>
      <w:r w:rsidRPr="0045323D">
        <w:rPr>
          <w:rFonts w:ascii="Arial" w:hAnsi="Arial" w:cs="Arial"/>
          <w:noProof/>
          <w:sz w:val="20"/>
          <w:szCs w:val="20"/>
        </w:rPr>
        <w:t>is governed</w:t>
      </w:r>
      <w:r w:rsidRPr="0045323D">
        <w:rPr>
          <w:rFonts w:ascii="Arial" w:hAnsi="Arial" w:cs="Arial"/>
          <w:sz w:val="20"/>
          <w:szCs w:val="20"/>
        </w:rPr>
        <w:t xml:space="preserve"> by the </w:t>
      </w:r>
      <w:r w:rsidR="007B3132">
        <w:rPr>
          <w:rFonts w:ascii="Arial" w:hAnsi="Arial" w:cs="Arial"/>
          <w:sz w:val="20"/>
          <w:szCs w:val="20"/>
        </w:rPr>
        <w:t>Board</w:t>
      </w:r>
      <w:r w:rsidRPr="0045323D">
        <w:rPr>
          <w:rFonts w:ascii="Arial" w:hAnsi="Arial" w:cs="Arial"/>
          <w:sz w:val="20"/>
          <w:szCs w:val="20"/>
        </w:rPr>
        <w:t xml:space="preserve">. </w:t>
      </w:r>
    </w:p>
    <w:p w14:paraId="7BEFD22E" w14:textId="77777777" w:rsidR="00BB5C97" w:rsidRDefault="00BB5C97" w:rsidP="00272B74">
      <w:pPr>
        <w:jc w:val="both"/>
        <w:rPr>
          <w:rFonts w:ascii="Arial" w:hAnsi="Arial" w:cs="Arial"/>
          <w:sz w:val="20"/>
          <w:szCs w:val="20"/>
        </w:rPr>
      </w:pPr>
    </w:p>
    <w:p w14:paraId="4475E652" w14:textId="0D6F550F" w:rsidR="00BB5C97" w:rsidRDefault="00AC4772" w:rsidP="00BB5C97">
      <w:pPr>
        <w:jc w:val="both"/>
        <w:rPr>
          <w:rFonts w:ascii="Arial" w:hAnsi="Arial"/>
          <w:b/>
        </w:rPr>
      </w:pPr>
      <w:r>
        <w:rPr>
          <w:rFonts w:ascii="Arial" w:hAnsi="Arial"/>
          <w:b/>
        </w:rPr>
        <w:t>Idaho Dental Education Program (</w:t>
      </w:r>
      <w:r w:rsidR="00BB5C97">
        <w:rPr>
          <w:rFonts w:ascii="Arial" w:hAnsi="Arial"/>
          <w:b/>
        </w:rPr>
        <w:t>IDEP</w:t>
      </w:r>
      <w:r>
        <w:rPr>
          <w:rFonts w:ascii="Arial" w:hAnsi="Arial"/>
          <w:b/>
        </w:rPr>
        <w:t>)</w:t>
      </w:r>
      <w:r w:rsidR="00BB5C97">
        <w:rPr>
          <w:rFonts w:ascii="Arial" w:hAnsi="Arial"/>
          <w:b/>
        </w:rPr>
        <w:t xml:space="preserve"> Core Functions/Idaho Code</w:t>
      </w:r>
    </w:p>
    <w:p w14:paraId="7A11BB97" w14:textId="77777777" w:rsidR="00BB5C97" w:rsidRDefault="00BB5C97" w:rsidP="00BB5C97">
      <w:pPr>
        <w:jc w:val="both"/>
        <w:rPr>
          <w:rFonts w:ascii="Arial" w:hAnsi="Arial"/>
          <w:color w:val="000000"/>
          <w:sz w:val="20"/>
        </w:rPr>
      </w:pPr>
      <w:r>
        <w:rPr>
          <w:rFonts w:ascii="Arial" w:hAnsi="Arial"/>
          <w:color w:val="000000"/>
          <w:sz w:val="20"/>
        </w:rPr>
        <w:t>The mission of the Idaho Dental Education Program is two-fold</w:t>
      </w:r>
      <w:proofErr w:type="gramStart"/>
      <w:r>
        <w:rPr>
          <w:rFonts w:ascii="Arial" w:hAnsi="Arial"/>
          <w:color w:val="000000"/>
          <w:sz w:val="20"/>
        </w:rPr>
        <w:t>:  First</w:t>
      </w:r>
      <w:proofErr w:type="gramEnd"/>
      <w:r>
        <w:rPr>
          <w:rFonts w:ascii="Arial" w:hAnsi="Arial"/>
          <w:color w:val="000000"/>
          <w:sz w:val="20"/>
        </w:rPr>
        <w:t xml:space="preserve">, to provide residents of Idaho with ready access to a </w:t>
      </w:r>
      <w:proofErr w:type="gramStart"/>
      <w:r>
        <w:rPr>
          <w:rFonts w:ascii="Arial" w:hAnsi="Arial"/>
          <w:color w:val="000000"/>
          <w:sz w:val="20"/>
        </w:rPr>
        <w:t>high quality</w:t>
      </w:r>
      <w:proofErr w:type="gramEnd"/>
      <w:r>
        <w:rPr>
          <w:rFonts w:ascii="Arial" w:hAnsi="Arial"/>
          <w:color w:val="000000"/>
          <w:sz w:val="20"/>
        </w:rPr>
        <w:t xml:space="preserve"> dental education; and second, to help the population of Idaho have ready access to high quality dental professionals.  As </w:t>
      </w:r>
      <w:proofErr w:type="gramStart"/>
      <w:r>
        <w:rPr>
          <w:rFonts w:ascii="Arial" w:hAnsi="Arial"/>
          <w:color w:val="000000"/>
          <w:sz w:val="20"/>
        </w:rPr>
        <w:t>the majority of</w:t>
      </w:r>
      <w:proofErr w:type="gramEnd"/>
      <w:r>
        <w:rPr>
          <w:rFonts w:ascii="Arial" w:hAnsi="Arial"/>
          <w:color w:val="000000"/>
          <w:sz w:val="20"/>
        </w:rPr>
        <w:t xml:space="preserve"> students graduating from the program return to Idaho to practice, residents of the state have access to high quality dental treatment.</w:t>
      </w:r>
      <w:r w:rsidRPr="00A5139D">
        <w:t xml:space="preserve"> </w:t>
      </w:r>
      <w:r w:rsidRPr="00A5139D">
        <w:rPr>
          <w:rFonts w:ascii="Arial" w:hAnsi="Arial"/>
          <w:color w:val="000000"/>
          <w:sz w:val="20"/>
        </w:rPr>
        <w:t>[Statutory Authority: Idaho Code §33-3720]</w:t>
      </w:r>
    </w:p>
    <w:p w14:paraId="419E8646" w14:textId="77777777" w:rsidR="00BB5C97" w:rsidRDefault="00BB5C97" w:rsidP="00BB5C97">
      <w:pPr>
        <w:jc w:val="both"/>
        <w:rPr>
          <w:rFonts w:ascii="Arial" w:hAnsi="Arial"/>
          <w:color w:val="000000"/>
          <w:sz w:val="20"/>
        </w:rPr>
      </w:pPr>
    </w:p>
    <w:p w14:paraId="48F84F05" w14:textId="21437346" w:rsidR="00AC4772" w:rsidRPr="00645E09" w:rsidRDefault="00AC4772" w:rsidP="00AC4772">
      <w:pPr>
        <w:jc w:val="both"/>
        <w:rPr>
          <w:rFonts w:ascii="Arial" w:hAnsi="Arial" w:cs="Arial"/>
          <w:b/>
        </w:rPr>
      </w:pPr>
      <w:r>
        <w:rPr>
          <w:rFonts w:ascii="Arial" w:hAnsi="Arial" w:cs="Arial"/>
          <w:b/>
        </w:rPr>
        <w:t xml:space="preserve">Family Medicine Residency (FMR) </w:t>
      </w:r>
      <w:r w:rsidRPr="00645E09">
        <w:rPr>
          <w:rFonts w:ascii="Arial" w:hAnsi="Arial" w:cs="Arial"/>
          <w:b/>
        </w:rPr>
        <w:t>Core Functions/ Idaho Code</w:t>
      </w:r>
    </w:p>
    <w:p w14:paraId="78FC478F" w14:textId="34571BA7" w:rsidR="00AC4772" w:rsidRPr="00D24A5A" w:rsidRDefault="00D24A5A" w:rsidP="00D24A5A">
      <w:pPr>
        <w:jc w:val="both"/>
        <w:rPr>
          <w:rFonts w:ascii="Arial" w:hAnsi="Arial" w:cs="Arial"/>
          <w:bCs/>
          <w:sz w:val="20"/>
          <w:szCs w:val="20"/>
        </w:rPr>
      </w:pPr>
      <w:r w:rsidRPr="00D24A5A">
        <w:rPr>
          <w:rFonts w:ascii="Arial" w:hAnsi="Arial" w:cs="Arial"/>
          <w:bCs/>
          <w:sz w:val="20"/>
          <w:szCs w:val="20"/>
        </w:rPr>
        <w:t xml:space="preserve">1) </w:t>
      </w:r>
      <w:r w:rsidR="00AC4772" w:rsidRPr="00D24A5A">
        <w:rPr>
          <w:rFonts w:ascii="Arial" w:hAnsi="Arial" w:cs="Arial"/>
          <w:bCs/>
          <w:sz w:val="20"/>
          <w:szCs w:val="20"/>
        </w:rPr>
        <w:t xml:space="preserve">Training family physicians to provide care to populations throughout Idaho, both rural and urban.  </w:t>
      </w:r>
    </w:p>
    <w:p w14:paraId="01522380" w14:textId="77777777" w:rsidR="00AC4772" w:rsidRPr="00D24A5A" w:rsidRDefault="00AC4772" w:rsidP="00D24A5A">
      <w:pPr>
        <w:jc w:val="both"/>
        <w:rPr>
          <w:rFonts w:ascii="Arial" w:hAnsi="Arial" w:cs="Arial"/>
          <w:bCs/>
          <w:sz w:val="20"/>
          <w:szCs w:val="20"/>
        </w:rPr>
      </w:pPr>
      <w:r w:rsidRPr="00D24A5A">
        <w:rPr>
          <w:rFonts w:ascii="Arial" w:hAnsi="Arial" w:cs="Arial"/>
          <w:bCs/>
          <w:sz w:val="20"/>
          <w:szCs w:val="20"/>
        </w:rPr>
        <w:t>Idaho ranks 40</w:t>
      </w:r>
      <w:r w:rsidRPr="00D24A5A">
        <w:rPr>
          <w:rFonts w:ascii="Arial" w:hAnsi="Arial" w:cs="Arial"/>
          <w:bCs/>
          <w:sz w:val="20"/>
          <w:szCs w:val="20"/>
          <w:vertAlign w:val="superscript"/>
        </w:rPr>
        <w:t>th</w:t>
      </w:r>
      <w:r w:rsidRPr="00D24A5A">
        <w:rPr>
          <w:rFonts w:ascii="Arial" w:hAnsi="Arial" w:cs="Arial"/>
          <w:bCs/>
          <w:sz w:val="20"/>
          <w:szCs w:val="20"/>
        </w:rPr>
        <w:t xml:space="preserve"> out of 50 states in physicians per capita.  Over 90% of the State is a </w:t>
      </w:r>
      <w:proofErr w:type="gramStart"/>
      <w:r w:rsidRPr="00D24A5A">
        <w:rPr>
          <w:rFonts w:ascii="Arial" w:hAnsi="Arial" w:cs="Arial"/>
          <w:bCs/>
          <w:sz w:val="20"/>
          <w:szCs w:val="20"/>
        </w:rPr>
        <w:t>federally-designated</w:t>
      </w:r>
      <w:proofErr w:type="gramEnd"/>
      <w:r w:rsidRPr="00D24A5A">
        <w:rPr>
          <w:rFonts w:ascii="Arial" w:hAnsi="Arial" w:cs="Arial"/>
          <w:bCs/>
          <w:sz w:val="20"/>
          <w:szCs w:val="20"/>
        </w:rPr>
        <w:t xml:space="preserve"> HPSA for primary care, including Bannock County where the Residency resides. Idaho’s family medicine residency programs have an excellent track record of recruiting family physicians who then practice in Idaho, ranking seventh in the nation for retention of graduates.  Fifty-six percent of the Residency’s graduates go on to practice in rural and underserved settings.  The ISU FMR has 28 family medicine residents, 3 pharmacotherapy residents, 1 wilderness fellow, and 1 psychology intern in training, and graduates eight new family physicians each June. Ninety-one of ISU FMR’s 175 graduates have stayed in Idaho. </w:t>
      </w:r>
    </w:p>
    <w:p w14:paraId="4728A45D" w14:textId="77777777" w:rsidR="00AC4772" w:rsidRPr="00D24A5A" w:rsidRDefault="00AC4772" w:rsidP="00AC4772">
      <w:pPr>
        <w:ind w:left="360"/>
        <w:jc w:val="both"/>
        <w:rPr>
          <w:rFonts w:ascii="Arial" w:hAnsi="Arial" w:cs="Arial"/>
          <w:bCs/>
          <w:sz w:val="20"/>
          <w:szCs w:val="20"/>
        </w:rPr>
      </w:pPr>
    </w:p>
    <w:p w14:paraId="7D366CD5" w14:textId="6BB793B7" w:rsidR="00AC4772" w:rsidRPr="00D24A5A" w:rsidRDefault="00D24A5A" w:rsidP="00D24A5A">
      <w:pPr>
        <w:jc w:val="both"/>
        <w:rPr>
          <w:rFonts w:ascii="Arial" w:hAnsi="Arial" w:cs="Arial"/>
          <w:bCs/>
          <w:sz w:val="20"/>
          <w:szCs w:val="20"/>
        </w:rPr>
      </w:pPr>
      <w:r w:rsidRPr="00D24A5A">
        <w:rPr>
          <w:rFonts w:ascii="Arial" w:hAnsi="Arial" w:cs="Arial"/>
          <w:bCs/>
          <w:sz w:val="20"/>
          <w:szCs w:val="20"/>
        </w:rPr>
        <w:t xml:space="preserve">2) </w:t>
      </w:r>
      <w:r w:rsidR="00AC4772" w:rsidRPr="00D24A5A">
        <w:rPr>
          <w:rFonts w:ascii="Arial" w:hAnsi="Arial" w:cs="Arial"/>
          <w:bCs/>
          <w:sz w:val="20"/>
          <w:szCs w:val="20"/>
        </w:rPr>
        <w:t xml:space="preserve">Provision of services to underserved populations in Idaho:  </w:t>
      </w:r>
    </w:p>
    <w:p w14:paraId="2BFA2602" w14:textId="77777777" w:rsidR="00AC4772" w:rsidRDefault="00AC4772" w:rsidP="00D24A5A">
      <w:pPr>
        <w:jc w:val="both"/>
        <w:rPr>
          <w:rFonts w:ascii="Arial" w:hAnsi="Arial" w:cs="Arial"/>
          <w:sz w:val="20"/>
          <w:szCs w:val="20"/>
        </w:rPr>
      </w:pPr>
      <w:r w:rsidRPr="005B40D3">
        <w:rPr>
          <w:rFonts w:ascii="Arial" w:hAnsi="Arial" w:cs="Arial"/>
          <w:sz w:val="20"/>
          <w:szCs w:val="20"/>
        </w:rPr>
        <w:t xml:space="preserve">The ISU FMR </w:t>
      </w:r>
      <w:proofErr w:type="gramStart"/>
      <w:r w:rsidRPr="005B40D3">
        <w:rPr>
          <w:rFonts w:ascii="Arial" w:hAnsi="Arial" w:cs="Arial"/>
          <w:sz w:val="20"/>
          <w:szCs w:val="20"/>
        </w:rPr>
        <w:t>staffs</w:t>
      </w:r>
      <w:proofErr w:type="gramEnd"/>
      <w:r w:rsidRPr="005B40D3">
        <w:rPr>
          <w:rFonts w:ascii="Arial" w:hAnsi="Arial" w:cs="Arial"/>
          <w:sz w:val="20"/>
          <w:szCs w:val="20"/>
        </w:rPr>
        <w:t xml:space="preserve"> community services such as the Health Department, adolescent detention centers, prison services, free clinics and HIV clinics.  The Indian Health Service, migrant workers, nursing home residents</w:t>
      </w:r>
      <w:r>
        <w:rPr>
          <w:rFonts w:ascii="Arial" w:hAnsi="Arial" w:cs="Arial"/>
          <w:sz w:val="20"/>
          <w:szCs w:val="20"/>
        </w:rPr>
        <w:t>, behavioral health unit patients, developmentally challenged children,</w:t>
      </w:r>
      <w:r w:rsidRPr="005B40D3">
        <w:rPr>
          <w:rFonts w:ascii="Arial" w:hAnsi="Arial" w:cs="Arial"/>
          <w:sz w:val="20"/>
          <w:szCs w:val="20"/>
        </w:rPr>
        <w:t xml:space="preserve"> and the home-bound also receive medical support from the residents</w:t>
      </w:r>
      <w:r>
        <w:rPr>
          <w:rFonts w:ascii="Arial" w:hAnsi="Arial" w:cs="Arial"/>
          <w:sz w:val="20"/>
          <w:szCs w:val="20"/>
        </w:rPr>
        <w:t xml:space="preserve"> and faculty</w:t>
      </w:r>
      <w:r w:rsidRPr="005B40D3">
        <w:rPr>
          <w:rFonts w:ascii="Arial" w:hAnsi="Arial" w:cs="Arial"/>
          <w:sz w:val="20"/>
          <w:szCs w:val="20"/>
        </w:rPr>
        <w:t xml:space="preserve">.  </w:t>
      </w:r>
      <w:r>
        <w:rPr>
          <w:rFonts w:ascii="Arial" w:hAnsi="Arial" w:cs="Arial"/>
          <w:sz w:val="20"/>
          <w:szCs w:val="20"/>
        </w:rPr>
        <w:t>With the residency clinic within Health West, a Federally Qualified Community Health Center, ISU is further able to serve the indigent and uninsured of Southeast Idaho.</w:t>
      </w:r>
    </w:p>
    <w:p w14:paraId="3690F3AB" w14:textId="77777777" w:rsidR="00AC4772" w:rsidRDefault="00AC4772" w:rsidP="00AC4772">
      <w:pPr>
        <w:ind w:left="360"/>
        <w:jc w:val="both"/>
        <w:rPr>
          <w:rFonts w:ascii="Arial" w:hAnsi="Arial" w:cs="Arial"/>
          <w:sz w:val="20"/>
          <w:szCs w:val="20"/>
        </w:rPr>
      </w:pPr>
    </w:p>
    <w:p w14:paraId="71E0B1E6" w14:textId="77777777" w:rsidR="00AC4772" w:rsidRDefault="00AC4772" w:rsidP="00D24A5A">
      <w:pPr>
        <w:jc w:val="both"/>
        <w:rPr>
          <w:rFonts w:ascii="Arial" w:hAnsi="Arial" w:cs="Arial"/>
          <w:sz w:val="20"/>
          <w:szCs w:val="20"/>
        </w:rPr>
      </w:pPr>
      <w:r>
        <w:rPr>
          <w:rFonts w:ascii="Arial" w:hAnsi="Arial" w:cs="Arial"/>
          <w:sz w:val="20"/>
          <w:szCs w:val="20"/>
        </w:rPr>
        <w:t xml:space="preserve">Pursuant to Idaho Code </w:t>
      </w:r>
      <w:r>
        <w:rPr>
          <w:rFonts w:ascii="Arial" w:hAnsi="Arial" w:cs="Arial"/>
          <w:b/>
          <w:sz w:val="20"/>
          <w:szCs w:val="20"/>
        </w:rPr>
        <w:t>§33-3720</w:t>
      </w:r>
      <w:r>
        <w:rPr>
          <w:rFonts w:ascii="Arial" w:hAnsi="Arial" w:cs="Arial"/>
          <w:sz w:val="20"/>
          <w:szCs w:val="20"/>
        </w:rPr>
        <w:t xml:space="preserve"> authorizes the State Board of Education to enter into contractual agreements to provide access for Idaho residents to qualified professional studies programs</w:t>
      </w:r>
    </w:p>
    <w:p w14:paraId="7640D838" w14:textId="77777777" w:rsidR="00BB5C97" w:rsidRDefault="00BB5C97" w:rsidP="00BB5C97">
      <w:pPr>
        <w:jc w:val="both"/>
        <w:rPr>
          <w:rFonts w:ascii="Arial" w:hAnsi="Arial"/>
          <w:color w:val="000000"/>
          <w:sz w:val="20"/>
        </w:rPr>
      </w:pPr>
    </w:p>
    <w:p w14:paraId="518B0AC4" w14:textId="70915E26" w:rsidR="002E1373" w:rsidRPr="006F214F" w:rsidRDefault="002E1373" w:rsidP="002E1373">
      <w:pPr>
        <w:jc w:val="both"/>
        <w:rPr>
          <w:rFonts w:ascii="Arial" w:hAnsi="Arial"/>
        </w:rPr>
      </w:pPr>
      <w:r>
        <w:rPr>
          <w:rFonts w:ascii="Arial" w:hAnsi="Arial"/>
          <w:b/>
        </w:rPr>
        <w:t xml:space="preserve">Idaho Museum of Natural History (IMNH) </w:t>
      </w:r>
      <w:r w:rsidRPr="006F214F">
        <w:rPr>
          <w:rFonts w:ascii="Arial" w:hAnsi="Arial"/>
          <w:b/>
        </w:rPr>
        <w:t>Core Functions/Idaho Code</w:t>
      </w:r>
    </w:p>
    <w:p w14:paraId="5E28E17C" w14:textId="77777777" w:rsidR="002E1373" w:rsidRPr="006F214F" w:rsidRDefault="002E1373" w:rsidP="002E1373">
      <w:pPr>
        <w:pStyle w:val="HTMLPreformatted"/>
        <w:jc w:val="both"/>
        <w:rPr>
          <w:rFonts w:ascii="Arial" w:hAnsi="Arial"/>
        </w:rPr>
      </w:pPr>
      <w:r w:rsidRPr="006F214F">
        <w:rPr>
          <w:rFonts w:ascii="Arial" w:hAnsi="Arial"/>
        </w:rPr>
        <w:t>The Idaho Museum of Natural History has two core functions:</w:t>
      </w:r>
    </w:p>
    <w:p w14:paraId="615F3B8B" w14:textId="4959D4BE" w:rsidR="002E1373" w:rsidRPr="006F214F" w:rsidRDefault="002E1373" w:rsidP="002E1373">
      <w:pPr>
        <w:pStyle w:val="HTMLPreformatted"/>
        <w:jc w:val="both"/>
        <w:rPr>
          <w:rFonts w:ascii="Arial" w:hAnsi="Arial"/>
        </w:rPr>
      </w:pPr>
      <w:r w:rsidRPr="006F214F">
        <w:rPr>
          <w:rFonts w:ascii="Arial" w:hAnsi="Arial"/>
        </w:rPr>
        <w:t>1</w:t>
      </w:r>
      <w:r>
        <w:rPr>
          <w:rFonts w:ascii="Arial" w:hAnsi="Arial"/>
        </w:rPr>
        <w:t xml:space="preserve">) </w:t>
      </w:r>
      <w:r w:rsidRPr="006F214F">
        <w:rPr>
          <w:rFonts w:ascii="Arial" w:hAnsi="Arial"/>
        </w:rPr>
        <w:t>To collect, care for, preserve, research, interpret and present — through educational programs and exhibitions—Idaho’s cultural and natural heritage.</w:t>
      </w:r>
    </w:p>
    <w:p w14:paraId="1D7C3A1C" w14:textId="77777777" w:rsidR="002E1373" w:rsidRDefault="002E1373" w:rsidP="002E1373">
      <w:pPr>
        <w:pStyle w:val="HTMLPreformatted"/>
        <w:jc w:val="both"/>
        <w:rPr>
          <w:rFonts w:ascii="Arial" w:hAnsi="Arial"/>
        </w:rPr>
      </w:pPr>
      <w:r w:rsidRPr="006F214F">
        <w:rPr>
          <w:rFonts w:ascii="Arial" w:hAnsi="Arial"/>
        </w:rPr>
        <w:t>2) To support and encourage local and municipal natural history museums throughout the state of Idaho.</w:t>
      </w:r>
    </w:p>
    <w:p w14:paraId="41CE0C41" w14:textId="77777777" w:rsidR="002E1373" w:rsidRDefault="002E1373" w:rsidP="002E1373">
      <w:pPr>
        <w:pStyle w:val="HTMLPreformatted"/>
        <w:jc w:val="both"/>
        <w:rPr>
          <w:rFonts w:ascii="Arial" w:hAnsi="Arial" w:cs="Arial"/>
        </w:rPr>
      </w:pPr>
    </w:p>
    <w:p w14:paraId="18B8E96A" w14:textId="77777777" w:rsidR="002E1373" w:rsidRDefault="002E1373" w:rsidP="002E1373">
      <w:pPr>
        <w:pStyle w:val="HTMLPreformatted"/>
        <w:jc w:val="both"/>
        <w:rPr>
          <w:rFonts w:ascii="Arial" w:hAnsi="Arial"/>
        </w:rPr>
      </w:pPr>
      <w:r>
        <w:rPr>
          <w:rFonts w:ascii="Arial" w:hAnsi="Arial" w:cs="Arial"/>
        </w:rPr>
        <w:t xml:space="preserve">Pursuant to </w:t>
      </w:r>
      <w:r>
        <w:rPr>
          <w:rFonts w:ascii="Arial" w:hAnsi="Arial" w:cs="Arial"/>
          <w:b/>
        </w:rPr>
        <w:t>§33-3012</w:t>
      </w:r>
      <w:r>
        <w:rPr>
          <w:rFonts w:ascii="Arial" w:hAnsi="Arial" w:cs="Arial"/>
        </w:rPr>
        <w:t>, Idaho Code, the State Board of Education establishes the Idaho State Museum of Natural History.</w:t>
      </w:r>
    </w:p>
    <w:p w14:paraId="729181FE" w14:textId="77777777" w:rsidR="00BB5C97" w:rsidRDefault="00BB5C97" w:rsidP="00272B74">
      <w:pPr>
        <w:jc w:val="both"/>
        <w:rPr>
          <w:rFonts w:ascii="Arial" w:hAnsi="Arial" w:cs="Arial"/>
          <w:sz w:val="20"/>
          <w:szCs w:val="20"/>
        </w:rPr>
      </w:pPr>
    </w:p>
    <w:p w14:paraId="16D98956" w14:textId="77777777" w:rsidR="005D097C" w:rsidRPr="0045323D" w:rsidRDefault="005D097C" w:rsidP="00272B74">
      <w:pPr>
        <w:jc w:val="both"/>
        <w:rPr>
          <w:rFonts w:ascii="Arial" w:hAnsi="Arial" w:cs="Arial"/>
          <w:sz w:val="20"/>
          <w:szCs w:val="20"/>
        </w:rPr>
      </w:pPr>
    </w:p>
    <w:p w14:paraId="711801F9" w14:textId="77777777" w:rsidR="009C1CC4" w:rsidRDefault="006B7969" w:rsidP="00EF2E3B">
      <w:pPr>
        <w:jc w:val="both"/>
        <w:rPr>
          <w:rFonts w:ascii="Arial" w:hAnsi="Arial" w:cs="Arial"/>
          <w:b/>
        </w:rPr>
      </w:pPr>
      <w:r>
        <w:rPr>
          <w:rFonts w:ascii="Arial" w:hAnsi="Arial" w:cs="Arial"/>
          <w:b/>
        </w:rPr>
        <w:t>Revenue and Expenditures</w:t>
      </w:r>
    </w:p>
    <w:tbl>
      <w:tblPr>
        <w:tblW w:w="5000" w:type="pct"/>
        <w:tblBorders>
          <w:top w:val="double" w:sz="4" w:space="0" w:color="000080"/>
          <w:left w:val="double" w:sz="4" w:space="0" w:color="000080"/>
          <w:bottom w:val="double" w:sz="4" w:space="0" w:color="000080"/>
          <w:right w:val="double" w:sz="4" w:space="0" w:color="000080"/>
          <w:insideH w:val="single" w:sz="6" w:space="0" w:color="000080"/>
          <w:insideV w:val="single" w:sz="6" w:space="0" w:color="000080"/>
        </w:tblBorders>
        <w:tblLook w:val="0000" w:firstRow="0" w:lastRow="0" w:firstColumn="0" w:lastColumn="0" w:noHBand="0" w:noVBand="0"/>
      </w:tblPr>
      <w:tblGrid>
        <w:gridCol w:w="4668"/>
        <w:gridCol w:w="1337"/>
        <w:gridCol w:w="1424"/>
        <w:gridCol w:w="1337"/>
        <w:gridCol w:w="1304"/>
      </w:tblGrid>
      <w:tr w:rsidR="007104B7" w:rsidRPr="00301088" w14:paraId="49C042C2" w14:textId="78B18651" w:rsidTr="0096682B">
        <w:trPr>
          <w:trHeight w:val="212"/>
        </w:trPr>
        <w:tc>
          <w:tcPr>
            <w:tcW w:w="4668" w:type="dxa"/>
            <w:tcBorders>
              <w:top w:val="single" w:sz="4" w:space="0" w:color="auto"/>
              <w:left w:val="single" w:sz="4" w:space="0" w:color="auto"/>
              <w:bottom w:val="single" w:sz="4" w:space="0" w:color="auto"/>
              <w:right w:val="single" w:sz="4" w:space="0" w:color="auto"/>
            </w:tcBorders>
            <w:shd w:val="clear" w:color="auto" w:fill="000080"/>
            <w:vAlign w:val="center"/>
          </w:tcPr>
          <w:p w14:paraId="4110A066" w14:textId="77777777" w:rsidR="007104B7" w:rsidRPr="00301088" w:rsidRDefault="007104B7" w:rsidP="007104B7">
            <w:pPr>
              <w:rPr>
                <w:rFonts w:ascii="Arial" w:hAnsi="Arial" w:cs="Arial"/>
                <w:b/>
                <w:bCs/>
                <w:color w:val="FFFFFF"/>
                <w:sz w:val="20"/>
              </w:rPr>
            </w:pPr>
            <w:r>
              <w:rPr>
                <w:rFonts w:ascii="Arial" w:hAnsi="Arial" w:cs="Arial"/>
                <w:b/>
                <w:bCs/>
                <w:color w:val="FFFFFF"/>
                <w:sz w:val="20"/>
              </w:rPr>
              <w:t>Revenue</w:t>
            </w:r>
          </w:p>
        </w:tc>
        <w:tc>
          <w:tcPr>
            <w:tcW w:w="1337" w:type="dxa"/>
            <w:tcBorders>
              <w:top w:val="single" w:sz="4" w:space="0" w:color="auto"/>
              <w:left w:val="single" w:sz="4" w:space="0" w:color="auto"/>
              <w:bottom w:val="single" w:sz="4" w:space="0" w:color="auto"/>
              <w:right w:val="single" w:sz="4" w:space="0" w:color="auto"/>
            </w:tcBorders>
            <w:shd w:val="clear" w:color="auto" w:fill="000080"/>
          </w:tcPr>
          <w:p w14:paraId="464107CB" w14:textId="56FA30A1" w:rsidR="007104B7" w:rsidRPr="00301088" w:rsidRDefault="007104B7" w:rsidP="007104B7">
            <w:pPr>
              <w:jc w:val="center"/>
              <w:rPr>
                <w:rFonts w:ascii="Arial" w:hAnsi="Arial" w:cs="Arial"/>
                <w:b/>
                <w:bCs/>
                <w:color w:val="FFFFFF"/>
                <w:sz w:val="20"/>
              </w:rPr>
            </w:pPr>
            <w:r>
              <w:rPr>
                <w:rFonts w:ascii="Arial" w:hAnsi="Arial" w:cs="Arial"/>
                <w:b/>
                <w:bCs/>
                <w:color w:val="FFFFFF"/>
                <w:sz w:val="20"/>
              </w:rPr>
              <w:t>FY 2022</w:t>
            </w:r>
          </w:p>
        </w:tc>
        <w:tc>
          <w:tcPr>
            <w:tcW w:w="1424" w:type="dxa"/>
            <w:tcBorders>
              <w:top w:val="single" w:sz="4" w:space="0" w:color="auto"/>
              <w:left w:val="single" w:sz="4" w:space="0" w:color="auto"/>
              <w:bottom w:val="single" w:sz="4" w:space="0" w:color="auto"/>
              <w:right w:val="single" w:sz="4" w:space="0" w:color="auto"/>
            </w:tcBorders>
            <w:shd w:val="clear" w:color="auto" w:fill="000080"/>
          </w:tcPr>
          <w:p w14:paraId="47D4CCC3" w14:textId="4818E0EF" w:rsidR="007104B7" w:rsidRDefault="007104B7" w:rsidP="007104B7">
            <w:pPr>
              <w:jc w:val="center"/>
              <w:rPr>
                <w:rFonts w:ascii="Arial" w:hAnsi="Arial" w:cs="Arial"/>
                <w:b/>
                <w:bCs/>
                <w:color w:val="FFFFFF"/>
                <w:sz w:val="20"/>
              </w:rPr>
            </w:pPr>
            <w:r>
              <w:rPr>
                <w:rFonts w:ascii="Arial" w:hAnsi="Arial" w:cs="Arial"/>
                <w:b/>
                <w:bCs/>
                <w:color w:val="FFFFFF"/>
                <w:sz w:val="20"/>
              </w:rPr>
              <w:t>FY 2023</w:t>
            </w:r>
          </w:p>
        </w:tc>
        <w:tc>
          <w:tcPr>
            <w:tcW w:w="1337" w:type="dxa"/>
            <w:tcBorders>
              <w:top w:val="single" w:sz="4" w:space="0" w:color="auto"/>
              <w:left w:val="single" w:sz="4" w:space="0" w:color="auto"/>
              <w:bottom w:val="single" w:sz="4" w:space="0" w:color="auto"/>
              <w:right w:val="single" w:sz="4" w:space="0" w:color="auto"/>
            </w:tcBorders>
            <w:shd w:val="clear" w:color="auto" w:fill="000080"/>
          </w:tcPr>
          <w:p w14:paraId="20EA62C2" w14:textId="4C5CDFEC" w:rsidR="007104B7" w:rsidRDefault="007104B7" w:rsidP="007104B7">
            <w:pPr>
              <w:jc w:val="center"/>
              <w:rPr>
                <w:rFonts w:ascii="Arial" w:hAnsi="Arial" w:cs="Arial"/>
                <w:b/>
                <w:bCs/>
                <w:color w:val="FFFFFF"/>
                <w:sz w:val="20"/>
              </w:rPr>
            </w:pPr>
            <w:r>
              <w:rPr>
                <w:rFonts w:ascii="Arial" w:hAnsi="Arial" w:cs="Arial"/>
                <w:b/>
                <w:bCs/>
                <w:color w:val="FFFFFF"/>
                <w:sz w:val="20"/>
              </w:rPr>
              <w:t>FY 2024</w:t>
            </w:r>
          </w:p>
        </w:tc>
        <w:tc>
          <w:tcPr>
            <w:tcW w:w="1304" w:type="dxa"/>
            <w:tcBorders>
              <w:top w:val="single" w:sz="4" w:space="0" w:color="auto"/>
              <w:left w:val="single" w:sz="4" w:space="0" w:color="auto"/>
              <w:bottom w:val="single" w:sz="4" w:space="0" w:color="auto"/>
              <w:right w:val="single" w:sz="4" w:space="0" w:color="auto"/>
            </w:tcBorders>
            <w:shd w:val="clear" w:color="auto" w:fill="000080"/>
          </w:tcPr>
          <w:p w14:paraId="4D7AD107" w14:textId="4571A98F" w:rsidR="007104B7" w:rsidRDefault="007104B7" w:rsidP="007104B7">
            <w:pPr>
              <w:jc w:val="center"/>
              <w:rPr>
                <w:rFonts w:ascii="Arial" w:hAnsi="Arial" w:cs="Arial"/>
                <w:b/>
                <w:bCs/>
                <w:color w:val="FFFFFF"/>
                <w:sz w:val="20"/>
              </w:rPr>
            </w:pPr>
            <w:r>
              <w:rPr>
                <w:rFonts w:ascii="Arial" w:hAnsi="Arial" w:cs="Arial"/>
                <w:b/>
                <w:bCs/>
                <w:color w:val="FFFFFF"/>
                <w:sz w:val="20"/>
              </w:rPr>
              <w:t>FY 2025</w:t>
            </w:r>
          </w:p>
        </w:tc>
      </w:tr>
      <w:tr w:rsidR="007104B7" w:rsidRPr="00301088" w14:paraId="4AF07C56" w14:textId="7BB1E044" w:rsidTr="00966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9"/>
        </w:trPr>
        <w:tc>
          <w:tcPr>
            <w:tcW w:w="4668" w:type="dxa"/>
            <w:tcBorders>
              <w:top w:val="nil"/>
              <w:left w:val="single" w:sz="4" w:space="0" w:color="auto"/>
              <w:bottom w:val="nil"/>
              <w:right w:val="nil"/>
            </w:tcBorders>
            <w:shd w:val="clear" w:color="auto" w:fill="auto"/>
            <w:noWrap/>
            <w:vAlign w:val="center"/>
            <w:hideMark/>
          </w:tcPr>
          <w:p w14:paraId="6FCDF839" w14:textId="77777777" w:rsidR="007104B7" w:rsidRPr="00301088" w:rsidRDefault="007104B7" w:rsidP="007104B7">
            <w:pPr>
              <w:rPr>
                <w:rFonts w:ascii="Arial" w:hAnsi="Arial" w:cs="Arial"/>
                <w:color w:val="000000"/>
                <w:sz w:val="18"/>
                <w:szCs w:val="18"/>
              </w:rPr>
            </w:pPr>
            <w:r w:rsidRPr="00301088">
              <w:rPr>
                <w:rFonts w:ascii="Arial" w:hAnsi="Arial" w:cs="Arial"/>
                <w:color w:val="000000"/>
                <w:sz w:val="18"/>
                <w:szCs w:val="18"/>
              </w:rPr>
              <w:t>Operating revenues</w:t>
            </w:r>
          </w:p>
        </w:tc>
        <w:tc>
          <w:tcPr>
            <w:tcW w:w="1337" w:type="dxa"/>
            <w:tcBorders>
              <w:top w:val="nil"/>
              <w:left w:val="single" w:sz="4" w:space="0" w:color="auto"/>
              <w:bottom w:val="single" w:sz="4" w:space="0" w:color="auto"/>
              <w:right w:val="single" w:sz="4" w:space="0" w:color="auto"/>
            </w:tcBorders>
          </w:tcPr>
          <w:p w14:paraId="1626C384" w14:textId="77777777" w:rsidR="007104B7" w:rsidRPr="003F3851" w:rsidRDefault="007104B7" w:rsidP="007104B7">
            <w:pPr>
              <w:jc w:val="center"/>
              <w:rPr>
                <w:rFonts w:ascii="Arial" w:hAnsi="Arial" w:cs="Arial"/>
                <w:color w:val="000000"/>
                <w:sz w:val="16"/>
                <w:szCs w:val="16"/>
              </w:rPr>
            </w:pPr>
          </w:p>
        </w:tc>
        <w:tc>
          <w:tcPr>
            <w:tcW w:w="1424" w:type="dxa"/>
            <w:tcBorders>
              <w:top w:val="nil"/>
              <w:left w:val="nil"/>
              <w:bottom w:val="single" w:sz="4" w:space="0" w:color="auto"/>
              <w:right w:val="single" w:sz="4" w:space="0" w:color="auto"/>
            </w:tcBorders>
          </w:tcPr>
          <w:p w14:paraId="682768E8" w14:textId="7810185A" w:rsidR="007104B7" w:rsidRPr="003F3851" w:rsidRDefault="007104B7" w:rsidP="007104B7">
            <w:pPr>
              <w:jc w:val="center"/>
              <w:rPr>
                <w:rFonts w:ascii="Arial" w:hAnsi="Arial" w:cs="Arial"/>
                <w:color w:val="000000"/>
                <w:sz w:val="16"/>
                <w:szCs w:val="16"/>
              </w:rPr>
            </w:pPr>
          </w:p>
        </w:tc>
        <w:tc>
          <w:tcPr>
            <w:tcW w:w="1337" w:type="dxa"/>
            <w:tcBorders>
              <w:top w:val="nil"/>
              <w:left w:val="nil"/>
              <w:bottom w:val="single" w:sz="4" w:space="0" w:color="auto"/>
              <w:right w:val="single" w:sz="4" w:space="0" w:color="auto"/>
            </w:tcBorders>
          </w:tcPr>
          <w:p w14:paraId="2F5B6A07" w14:textId="281C6F71" w:rsidR="007104B7" w:rsidRPr="003F3851" w:rsidRDefault="007104B7" w:rsidP="007104B7">
            <w:pPr>
              <w:jc w:val="center"/>
              <w:rPr>
                <w:rFonts w:ascii="Arial" w:hAnsi="Arial" w:cs="Arial"/>
                <w:color w:val="000000"/>
                <w:sz w:val="16"/>
                <w:szCs w:val="16"/>
              </w:rPr>
            </w:pPr>
            <w:r w:rsidRPr="00982CC8">
              <w:rPr>
                <w:rFonts w:ascii="Arial" w:hAnsi="Arial" w:cs="Arial"/>
                <w:sz w:val="16"/>
                <w:szCs w:val="16"/>
              </w:rPr>
              <w:t>Available in November</w:t>
            </w:r>
          </w:p>
        </w:tc>
        <w:tc>
          <w:tcPr>
            <w:tcW w:w="1304" w:type="dxa"/>
            <w:tcBorders>
              <w:top w:val="nil"/>
              <w:left w:val="nil"/>
              <w:bottom w:val="single" w:sz="4" w:space="0" w:color="auto"/>
              <w:right w:val="single" w:sz="4" w:space="0" w:color="auto"/>
            </w:tcBorders>
          </w:tcPr>
          <w:p w14:paraId="71F59207" w14:textId="30F1ECC7" w:rsidR="007104B7" w:rsidRPr="003F3851" w:rsidRDefault="007104B7" w:rsidP="007104B7">
            <w:pPr>
              <w:jc w:val="center"/>
              <w:rPr>
                <w:rFonts w:ascii="Arial" w:hAnsi="Arial" w:cs="Arial"/>
                <w:color w:val="000000"/>
                <w:sz w:val="16"/>
                <w:szCs w:val="16"/>
              </w:rPr>
            </w:pPr>
            <w:r w:rsidRPr="00982CC8">
              <w:rPr>
                <w:rFonts w:ascii="Arial" w:hAnsi="Arial" w:cs="Arial"/>
                <w:sz w:val="16"/>
                <w:szCs w:val="16"/>
              </w:rPr>
              <w:t>Available in November</w:t>
            </w:r>
          </w:p>
        </w:tc>
      </w:tr>
      <w:tr w:rsidR="007104B7" w:rsidRPr="00301088" w14:paraId="7BB69D9D" w14:textId="74F00429" w:rsidTr="00966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668" w:type="dxa"/>
            <w:tcBorders>
              <w:top w:val="nil"/>
              <w:left w:val="single" w:sz="4" w:space="0" w:color="auto"/>
              <w:bottom w:val="nil"/>
              <w:right w:val="nil"/>
            </w:tcBorders>
            <w:shd w:val="clear" w:color="auto" w:fill="auto"/>
            <w:vAlign w:val="center"/>
            <w:hideMark/>
          </w:tcPr>
          <w:p w14:paraId="06DECE8E" w14:textId="77777777" w:rsidR="007104B7" w:rsidRPr="00301088" w:rsidRDefault="007104B7" w:rsidP="007104B7">
            <w:pPr>
              <w:rPr>
                <w:rFonts w:ascii="Arial" w:hAnsi="Arial" w:cs="Arial"/>
                <w:color w:val="000000"/>
                <w:sz w:val="18"/>
                <w:szCs w:val="18"/>
              </w:rPr>
            </w:pPr>
            <w:r w:rsidRPr="00301088">
              <w:rPr>
                <w:rFonts w:ascii="Arial" w:hAnsi="Arial" w:cs="Arial"/>
                <w:color w:val="000000"/>
                <w:sz w:val="18"/>
                <w:szCs w:val="18"/>
              </w:rPr>
              <w:t>Student tuition and fees (Gross)</w:t>
            </w:r>
          </w:p>
        </w:tc>
        <w:tc>
          <w:tcPr>
            <w:tcW w:w="1337" w:type="dxa"/>
            <w:tcBorders>
              <w:top w:val="nil"/>
              <w:left w:val="single" w:sz="4" w:space="0" w:color="auto"/>
              <w:bottom w:val="nil"/>
              <w:right w:val="single" w:sz="4" w:space="0" w:color="auto"/>
            </w:tcBorders>
          </w:tcPr>
          <w:p w14:paraId="2EB16FD0" w14:textId="2C479EE6" w:rsidR="007104B7" w:rsidRPr="00301088" w:rsidRDefault="007104B7" w:rsidP="007104B7">
            <w:pPr>
              <w:jc w:val="right"/>
              <w:rPr>
                <w:rFonts w:ascii="Arial" w:hAnsi="Arial" w:cs="Arial"/>
                <w:color w:val="000000"/>
                <w:sz w:val="18"/>
                <w:szCs w:val="18"/>
              </w:rPr>
            </w:pPr>
            <w:r>
              <w:rPr>
                <w:rFonts w:ascii="Arial" w:hAnsi="Arial" w:cs="Arial"/>
                <w:color w:val="000000"/>
                <w:sz w:val="18"/>
                <w:szCs w:val="18"/>
              </w:rPr>
              <w:t>115,522,000</w:t>
            </w:r>
          </w:p>
        </w:tc>
        <w:tc>
          <w:tcPr>
            <w:tcW w:w="1424" w:type="dxa"/>
            <w:tcBorders>
              <w:top w:val="nil"/>
              <w:left w:val="nil"/>
              <w:bottom w:val="nil"/>
              <w:right w:val="single" w:sz="4" w:space="0" w:color="auto"/>
            </w:tcBorders>
          </w:tcPr>
          <w:p w14:paraId="681B55C7" w14:textId="07C8E8A4" w:rsidR="007104B7" w:rsidRPr="00301088" w:rsidRDefault="007104B7" w:rsidP="007104B7">
            <w:pPr>
              <w:jc w:val="right"/>
              <w:rPr>
                <w:rFonts w:ascii="Arial" w:hAnsi="Arial" w:cs="Arial"/>
                <w:color w:val="000000"/>
                <w:sz w:val="18"/>
                <w:szCs w:val="18"/>
              </w:rPr>
            </w:pPr>
            <w:r>
              <w:rPr>
                <w:rFonts w:ascii="Arial" w:hAnsi="Arial" w:cs="Arial"/>
                <w:color w:val="000000"/>
                <w:sz w:val="18"/>
                <w:szCs w:val="18"/>
              </w:rPr>
              <w:t>114,235,000</w:t>
            </w:r>
          </w:p>
        </w:tc>
        <w:tc>
          <w:tcPr>
            <w:tcW w:w="1337" w:type="dxa"/>
            <w:tcBorders>
              <w:top w:val="nil"/>
              <w:left w:val="nil"/>
              <w:bottom w:val="nil"/>
              <w:right w:val="single" w:sz="4" w:space="0" w:color="auto"/>
            </w:tcBorders>
          </w:tcPr>
          <w:p w14:paraId="3D6ED626" w14:textId="41919E7D" w:rsidR="007104B7" w:rsidRDefault="007104B7" w:rsidP="007104B7">
            <w:pPr>
              <w:jc w:val="right"/>
              <w:rPr>
                <w:rFonts w:ascii="Arial" w:hAnsi="Arial" w:cs="Arial"/>
                <w:color w:val="000000"/>
                <w:sz w:val="18"/>
                <w:szCs w:val="18"/>
              </w:rPr>
            </w:pPr>
          </w:p>
        </w:tc>
        <w:tc>
          <w:tcPr>
            <w:tcW w:w="1304" w:type="dxa"/>
            <w:tcBorders>
              <w:top w:val="nil"/>
              <w:left w:val="nil"/>
              <w:bottom w:val="nil"/>
              <w:right w:val="single" w:sz="4" w:space="0" w:color="auto"/>
            </w:tcBorders>
          </w:tcPr>
          <w:p w14:paraId="36DC8F35" w14:textId="7BAD825B" w:rsidR="007104B7" w:rsidRDefault="007104B7" w:rsidP="007104B7">
            <w:pPr>
              <w:rPr>
                <w:rFonts w:ascii="Arial" w:hAnsi="Arial" w:cs="Arial"/>
                <w:color w:val="000000"/>
                <w:sz w:val="18"/>
                <w:szCs w:val="18"/>
              </w:rPr>
            </w:pPr>
          </w:p>
        </w:tc>
      </w:tr>
      <w:tr w:rsidR="007104B7" w:rsidRPr="00301088" w14:paraId="2DA01511" w14:textId="466EB6E6" w:rsidTr="00966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668" w:type="dxa"/>
            <w:tcBorders>
              <w:top w:val="nil"/>
              <w:left w:val="single" w:sz="4" w:space="0" w:color="auto"/>
              <w:bottom w:val="nil"/>
              <w:right w:val="nil"/>
            </w:tcBorders>
            <w:shd w:val="clear" w:color="auto" w:fill="auto"/>
            <w:vAlign w:val="center"/>
            <w:hideMark/>
          </w:tcPr>
          <w:p w14:paraId="27C98693" w14:textId="77777777" w:rsidR="007104B7" w:rsidRPr="00301088" w:rsidRDefault="007104B7" w:rsidP="007104B7">
            <w:pPr>
              <w:ind w:left="-90" w:right="-194" w:firstLineChars="100" w:firstLine="180"/>
              <w:rPr>
                <w:rFonts w:ascii="Arial" w:hAnsi="Arial" w:cs="Arial"/>
                <w:color w:val="000000"/>
                <w:sz w:val="18"/>
                <w:szCs w:val="18"/>
              </w:rPr>
            </w:pPr>
            <w:r w:rsidRPr="00301088">
              <w:rPr>
                <w:rFonts w:ascii="Arial" w:hAnsi="Arial" w:cs="Arial"/>
                <w:color w:val="000000"/>
                <w:sz w:val="18"/>
                <w:szCs w:val="18"/>
              </w:rPr>
              <w:t xml:space="preserve">  Scholarship discounts and allowances</w:t>
            </w:r>
          </w:p>
        </w:tc>
        <w:tc>
          <w:tcPr>
            <w:tcW w:w="1337" w:type="dxa"/>
            <w:tcBorders>
              <w:top w:val="nil"/>
              <w:left w:val="single" w:sz="4" w:space="0" w:color="auto"/>
              <w:bottom w:val="nil"/>
              <w:right w:val="single" w:sz="4" w:space="0" w:color="auto"/>
            </w:tcBorders>
          </w:tcPr>
          <w:p w14:paraId="072C1E92" w14:textId="05D66A59" w:rsidR="007104B7" w:rsidRPr="00301088" w:rsidRDefault="007104B7" w:rsidP="007104B7">
            <w:pPr>
              <w:jc w:val="right"/>
              <w:rPr>
                <w:rFonts w:ascii="Arial" w:hAnsi="Arial" w:cs="Arial"/>
                <w:color w:val="000000"/>
                <w:sz w:val="18"/>
                <w:szCs w:val="18"/>
              </w:rPr>
            </w:pPr>
            <w:r>
              <w:rPr>
                <w:rFonts w:ascii="Arial" w:hAnsi="Arial" w:cs="Arial"/>
                <w:color w:val="000000"/>
                <w:sz w:val="18"/>
                <w:szCs w:val="18"/>
              </w:rPr>
              <w:t>(27,057,000)</w:t>
            </w:r>
          </w:p>
        </w:tc>
        <w:tc>
          <w:tcPr>
            <w:tcW w:w="1424" w:type="dxa"/>
            <w:tcBorders>
              <w:top w:val="nil"/>
              <w:left w:val="nil"/>
              <w:bottom w:val="nil"/>
              <w:right w:val="single" w:sz="4" w:space="0" w:color="auto"/>
            </w:tcBorders>
          </w:tcPr>
          <w:p w14:paraId="429D750C" w14:textId="46E60924" w:rsidR="007104B7" w:rsidRPr="00301088" w:rsidRDefault="007104B7" w:rsidP="007104B7">
            <w:pPr>
              <w:jc w:val="right"/>
              <w:rPr>
                <w:rFonts w:ascii="Arial" w:hAnsi="Arial" w:cs="Arial"/>
                <w:color w:val="000000"/>
                <w:sz w:val="18"/>
                <w:szCs w:val="18"/>
              </w:rPr>
            </w:pPr>
            <w:r>
              <w:rPr>
                <w:rFonts w:ascii="Arial" w:hAnsi="Arial" w:cs="Arial"/>
                <w:color w:val="000000"/>
                <w:sz w:val="18"/>
                <w:szCs w:val="18"/>
              </w:rPr>
              <w:t>(32,623,000)</w:t>
            </w:r>
          </w:p>
        </w:tc>
        <w:tc>
          <w:tcPr>
            <w:tcW w:w="1337" w:type="dxa"/>
            <w:tcBorders>
              <w:top w:val="nil"/>
              <w:left w:val="nil"/>
              <w:bottom w:val="nil"/>
              <w:right w:val="single" w:sz="4" w:space="0" w:color="auto"/>
            </w:tcBorders>
          </w:tcPr>
          <w:p w14:paraId="6D0C1F27" w14:textId="01F983B2" w:rsidR="007104B7" w:rsidRDefault="007104B7" w:rsidP="007104B7">
            <w:pPr>
              <w:jc w:val="right"/>
              <w:rPr>
                <w:rFonts w:ascii="Arial" w:hAnsi="Arial" w:cs="Arial"/>
                <w:color w:val="000000"/>
                <w:sz w:val="18"/>
                <w:szCs w:val="18"/>
              </w:rPr>
            </w:pPr>
          </w:p>
        </w:tc>
        <w:tc>
          <w:tcPr>
            <w:tcW w:w="1304" w:type="dxa"/>
            <w:tcBorders>
              <w:top w:val="nil"/>
              <w:left w:val="nil"/>
              <w:bottom w:val="nil"/>
              <w:right w:val="single" w:sz="4" w:space="0" w:color="auto"/>
            </w:tcBorders>
          </w:tcPr>
          <w:p w14:paraId="206B7CCF" w14:textId="5EFCCA4D" w:rsidR="007104B7" w:rsidRDefault="007104B7" w:rsidP="007104B7">
            <w:pPr>
              <w:jc w:val="right"/>
              <w:rPr>
                <w:rFonts w:ascii="Arial" w:hAnsi="Arial" w:cs="Arial"/>
                <w:color w:val="000000"/>
                <w:sz w:val="18"/>
                <w:szCs w:val="18"/>
              </w:rPr>
            </w:pPr>
          </w:p>
        </w:tc>
      </w:tr>
      <w:tr w:rsidR="007104B7" w:rsidRPr="00301088" w14:paraId="6B83B6CA" w14:textId="569FD036" w:rsidTr="00966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668" w:type="dxa"/>
            <w:tcBorders>
              <w:top w:val="nil"/>
              <w:left w:val="single" w:sz="4" w:space="0" w:color="auto"/>
              <w:bottom w:val="nil"/>
              <w:right w:val="nil"/>
            </w:tcBorders>
            <w:shd w:val="clear" w:color="auto" w:fill="auto"/>
            <w:noWrap/>
            <w:vAlign w:val="center"/>
            <w:hideMark/>
          </w:tcPr>
          <w:p w14:paraId="7155007E" w14:textId="77777777" w:rsidR="007104B7" w:rsidRPr="00301088" w:rsidRDefault="007104B7" w:rsidP="007104B7">
            <w:pPr>
              <w:ind w:firstLineChars="100" w:firstLine="180"/>
              <w:rPr>
                <w:rFonts w:ascii="Arial" w:hAnsi="Arial" w:cs="Arial"/>
                <w:color w:val="000000"/>
                <w:sz w:val="18"/>
                <w:szCs w:val="18"/>
              </w:rPr>
            </w:pPr>
            <w:r w:rsidRPr="00301088">
              <w:rPr>
                <w:rFonts w:ascii="Arial" w:hAnsi="Arial" w:cs="Arial"/>
                <w:color w:val="000000"/>
                <w:sz w:val="18"/>
                <w:szCs w:val="18"/>
              </w:rPr>
              <w:t xml:space="preserve">  Federal grants and contracts</w:t>
            </w:r>
          </w:p>
        </w:tc>
        <w:tc>
          <w:tcPr>
            <w:tcW w:w="1337" w:type="dxa"/>
            <w:tcBorders>
              <w:top w:val="nil"/>
              <w:left w:val="single" w:sz="4" w:space="0" w:color="auto"/>
              <w:bottom w:val="nil"/>
              <w:right w:val="single" w:sz="4" w:space="0" w:color="auto"/>
            </w:tcBorders>
          </w:tcPr>
          <w:p w14:paraId="53B11CE8" w14:textId="51A361B7" w:rsidR="007104B7" w:rsidRPr="00301088" w:rsidRDefault="007104B7" w:rsidP="007104B7">
            <w:pPr>
              <w:jc w:val="right"/>
              <w:rPr>
                <w:rFonts w:ascii="Arial" w:hAnsi="Arial" w:cs="Arial"/>
                <w:color w:val="000000"/>
                <w:sz w:val="18"/>
                <w:szCs w:val="18"/>
              </w:rPr>
            </w:pPr>
            <w:r>
              <w:rPr>
                <w:rFonts w:ascii="Arial" w:hAnsi="Arial" w:cs="Arial"/>
                <w:color w:val="000000"/>
                <w:sz w:val="18"/>
                <w:szCs w:val="18"/>
              </w:rPr>
              <w:t>10,577,000</w:t>
            </w:r>
          </w:p>
        </w:tc>
        <w:tc>
          <w:tcPr>
            <w:tcW w:w="1424" w:type="dxa"/>
            <w:tcBorders>
              <w:top w:val="nil"/>
              <w:left w:val="nil"/>
              <w:bottom w:val="nil"/>
              <w:right w:val="single" w:sz="4" w:space="0" w:color="auto"/>
            </w:tcBorders>
          </w:tcPr>
          <w:p w14:paraId="4CAEDDE7" w14:textId="0B8C80BF" w:rsidR="007104B7" w:rsidRPr="00301088" w:rsidRDefault="007104B7" w:rsidP="007104B7">
            <w:pPr>
              <w:jc w:val="right"/>
              <w:rPr>
                <w:rFonts w:ascii="Arial" w:hAnsi="Arial" w:cs="Arial"/>
                <w:color w:val="000000"/>
                <w:sz w:val="18"/>
                <w:szCs w:val="18"/>
              </w:rPr>
            </w:pPr>
            <w:r>
              <w:rPr>
                <w:rFonts w:ascii="Arial" w:hAnsi="Arial" w:cs="Arial"/>
                <w:color w:val="000000"/>
                <w:sz w:val="18"/>
                <w:szCs w:val="18"/>
              </w:rPr>
              <w:t>17,288,000</w:t>
            </w:r>
          </w:p>
        </w:tc>
        <w:tc>
          <w:tcPr>
            <w:tcW w:w="1337" w:type="dxa"/>
            <w:tcBorders>
              <w:top w:val="nil"/>
              <w:left w:val="nil"/>
              <w:bottom w:val="nil"/>
              <w:right w:val="single" w:sz="4" w:space="0" w:color="auto"/>
            </w:tcBorders>
          </w:tcPr>
          <w:p w14:paraId="6C76DF32" w14:textId="2833DD47" w:rsidR="007104B7" w:rsidRDefault="007104B7" w:rsidP="007104B7">
            <w:pPr>
              <w:jc w:val="right"/>
              <w:rPr>
                <w:rFonts w:ascii="Arial" w:hAnsi="Arial" w:cs="Arial"/>
                <w:color w:val="000000"/>
                <w:sz w:val="18"/>
                <w:szCs w:val="18"/>
              </w:rPr>
            </w:pPr>
          </w:p>
        </w:tc>
        <w:tc>
          <w:tcPr>
            <w:tcW w:w="1304" w:type="dxa"/>
            <w:tcBorders>
              <w:top w:val="nil"/>
              <w:left w:val="nil"/>
              <w:bottom w:val="nil"/>
              <w:right w:val="single" w:sz="4" w:space="0" w:color="auto"/>
            </w:tcBorders>
          </w:tcPr>
          <w:p w14:paraId="4C039E9A" w14:textId="177A204C" w:rsidR="007104B7" w:rsidRDefault="007104B7" w:rsidP="007104B7">
            <w:pPr>
              <w:jc w:val="right"/>
              <w:rPr>
                <w:rFonts w:ascii="Arial" w:hAnsi="Arial" w:cs="Arial"/>
                <w:color w:val="000000"/>
                <w:sz w:val="18"/>
                <w:szCs w:val="18"/>
              </w:rPr>
            </w:pPr>
          </w:p>
        </w:tc>
      </w:tr>
      <w:tr w:rsidR="007104B7" w:rsidRPr="00301088" w14:paraId="09F17E05" w14:textId="41E864DE" w:rsidTr="00966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668" w:type="dxa"/>
            <w:tcBorders>
              <w:top w:val="nil"/>
              <w:left w:val="single" w:sz="4" w:space="0" w:color="auto"/>
              <w:bottom w:val="nil"/>
              <w:right w:val="nil"/>
            </w:tcBorders>
            <w:shd w:val="clear" w:color="auto" w:fill="auto"/>
            <w:noWrap/>
            <w:vAlign w:val="center"/>
            <w:hideMark/>
          </w:tcPr>
          <w:p w14:paraId="3708555A" w14:textId="77777777" w:rsidR="007104B7" w:rsidRPr="00301088" w:rsidRDefault="007104B7" w:rsidP="007104B7">
            <w:pPr>
              <w:ind w:firstLineChars="100" w:firstLine="180"/>
              <w:rPr>
                <w:rFonts w:ascii="Arial" w:hAnsi="Arial" w:cs="Arial"/>
                <w:color w:val="000000"/>
                <w:sz w:val="18"/>
                <w:szCs w:val="18"/>
              </w:rPr>
            </w:pPr>
            <w:r w:rsidRPr="00301088">
              <w:rPr>
                <w:rFonts w:ascii="Arial" w:hAnsi="Arial" w:cs="Arial"/>
                <w:color w:val="000000"/>
                <w:sz w:val="18"/>
                <w:szCs w:val="18"/>
              </w:rPr>
              <w:t xml:space="preserve">  State and local grants and contracts</w:t>
            </w:r>
          </w:p>
        </w:tc>
        <w:tc>
          <w:tcPr>
            <w:tcW w:w="1337" w:type="dxa"/>
            <w:tcBorders>
              <w:top w:val="nil"/>
              <w:left w:val="single" w:sz="4" w:space="0" w:color="auto"/>
              <w:bottom w:val="nil"/>
              <w:right w:val="single" w:sz="4" w:space="0" w:color="auto"/>
            </w:tcBorders>
          </w:tcPr>
          <w:p w14:paraId="0F6940E6" w14:textId="2D50C432" w:rsidR="007104B7" w:rsidRPr="00301088" w:rsidRDefault="007104B7" w:rsidP="007104B7">
            <w:pPr>
              <w:jc w:val="right"/>
              <w:rPr>
                <w:rFonts w:ascii="Arial" w:hAnsi="Arial" w:cs="Arial"/>
                <w:color w:val="000000"/>
                <w:sz w:val="18"/>
                <w:szCs w:val="18"/>
              </w:rPr>
            </w:pPr>
            <w:r>
              <w:rPr>
                <w:rFonts w:ascii="Arial" w:hAnsi="Arial" w:cs="Arial"/>
                <w:color w:val="000000"/>
                <w:sz w:val="18"/>
                <w:szCs w:val="18"/>
              </w:rPr>
              <w:t>11,300,000</w:t>
            </w:r>
          </w:p>
        </w:tc>
        <w:tc>
          <w:tcPr>
            <w:tcW w:w="1424" w:type="dxa"/>
            <w:tcBorders>
              <w:top w:val="nil"/>
              <w:left w:val="nil"/>
              <w:bottom w:val="nil"/>
              <w:right w:val="single" w:sz="4" w:space="0" w:color="auto"/>
            </w:tcBorders>
          </w:tcPr>
          <w:p w14:paraId="53EB6E40" w14:textId="67EF5069" w:rsidR="007104B7" w:rsidRPr="00301088" w:rsidRDefault="007104B7" w:rsidP="007104B7">
            <w:pPr>
              <w:jc w:val="right"/>
              <w:rPr>
                <w:rFonts w:ascii="Arial" w:hAnsi="Arial" w:cs="Arial"/>
                <w:color w:val="000000"/>
                <w:sz w:val="18"/>
                <w:szCs w:val="18"/>
              </w:rPr>
            </w:pPr>
            <w:r>
              <w:rPr>
                <w:rFonts w:ascii="Arial" w:hAnsi="Arial" w:cs="Arial"/>
                <w:color w:val="000000"/>
                <w:sz w:val="18"/>
                <w:szCs w:val="18"/>
              </w:rPr>
              <w:t>13,382,000</w:t>
            </w:r>
          </w:p>
        </w:tc>
        <w:tc>
          <w:tcPr>
            <w:tcW w:w="1337" w:type="dxa"/>
            <w:tcBorders>
              <w:top w:val="nil"/>
              <w:left w:val="nil"/>
              <w:bottom w:val="nil"/>
              <w:right w:val="single" w:sz="4" w:space="0" w:color="auto"/>
            </w:tcBorders>
          </w:tcPr>
          <w:p w14:paraId="44DA9747" w14:textId="62ECCB99" w:rsidR="007104B7" w:rsidRDefault="007104B7" w:rsidP="007104B7">
            <w:pPr>
              <w:jc w:val="right"/>
              <w:rPr>
                <w:rFonts w:ascii="Arial" w:hAnsi="Arial" w:cs="Arial"/>
                <w:color w:val="000000"/>
                <w:sz w:val="18"/>
                <w:szCs w:val="18"/>
              </w:rPr>
            </w:pPr>
          </w:p>
        </w:tc>
        <w:tc>
          <w:tcPr>
            <w:tcW w:w="1304" w:type="dxa"/>
            <w:tcBorders>
              <w:top w:val="nil"/>
              <w:left w:val="nil"/>
              <w:bottom w:val="nil"/>
              <w:right w:val="single" w:sz="4" w:space="0" w:color="auto"/>
            </w:tcBorders>
          </w:tcPr>
          <w:p w14:paraId="0B727A35" w14:textId="678BD1C3" w:rsidR="007104B7" w:rsidRDefault="007104B7" w:rsidP="007104B7">
            <w:pPr>
              <w:jc w:val="right"/>
              <w:rPr>
                <w:rFonts w:ascii="Arial" w:hAnsi="Arial" w:cs="Arial"/>
                <w:color w:val="000000"/>
                <w:sz w:val="18"/>
                <w:szCs w:val="18"/>
              </w:rPr>
            </w:pPr>
          </w:p>
        </w:tc>
      </w:tr>
      <w:tr w:rsidR="007104B7" w:rsidRPr="00301088" w14:paraId="49E978C1" w14:textId="41C709C3" w:rsidTr="00966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668" w:type="dxa"/>
            <w:tcBorders>
              <w:top w:val="nil"/>
              <w:left w:val="single" w:sz="4" w:space="0" w:color="auto"/>
              <w:bottom w:val="nil"/>
              <w:right w:val="nil"/>
            </w:tcBorders>
            <w:shd w:val="clear" w:color="auto" w:fill="auto"/>
            <w:noWrap/>
            <w:vAlign w:val="center"/>
            <w:hideMark/>
          </w:tcPr>
          <w:p w14:paraId="107C4775" w14:textId="77777777" w:rsidR="007104B7" w:rsidRPr="00301088" w:rsidRDefault="007104B7" w:rsidP="007104B7">
            <w:pPr>
              <w:ind w:firstLineChars="100" w:firstLine="180"/>
              <w:rPr>
                <w:rFonts w:ascii="Arial" w:hAnsi="Arial" w:cs="Arial"/>
                <w:color w:val="000000"/>
                <w:sz w:val="18"/>
                <w:szCs w:val="18"/>
              </w:rPr>
            </w:pPr>
            <w:r w:rsidRPr="00301088">
              <w:rPr>
                <w:rFonts w:ascii="Arial" w:hAnsi="Arial" w:cs="Arial"/>
                <w:color w:val="000000"/>
                <w:sz w:val="18"/>
                <w:szCs w:val="18"/>
              </w:rPr>
              <w:t xml:space="preserve">  Private grants and contracts</w:t>
            </w:r>
          </w:p>
        </w:tc>
        <w:tc>
          <w:tcPr>
            <w:tcW w:w="1337" w:type="dxa"/>
            <w:tcBorders>
              <w:top w:val="nil"/>
              <w:left w:val="single" w:sz="4" w:space="0" w:color="auto"/>
              <w:bottom w:val="nil"/>
              <w:right w:val="single" w:sz="4" w:space="0" w:color="auto"/>
            </w:tcBorders>
          </w:tcPr>
          <w:p w14:paraId="61852863" w14:textId="394590D9" w:rsidR="007104B7" w:rsidRPr="00301088" w:rsidRDefault="007104B7" w:rsidP="007104B7">
            <w:pPr>
              <w:jc w:val="right"/>
              <w:rPr>
                <w:rFonts w:ascii="Arial" w:hAnsi="Arial" w:cs="Arial"/>
                <w:color w:val="000000"/>
                <w:sz w:val="18"/>
                <w:szCs w:val="18"/>
              </w:rPr>
            </w:pPr>
            <w:r>
              <w:rPr>
                <w:rFonts w:ascii="Arial" w:hAnsi="Arial" w:cs="Arial"/>
                <w:color w:val="000000"/>
                <w:sz w:val="18"/>
                <w:szCs w:val="18"/>
              </w:rPr>
              <w:t>7,010,000</w:t>
            </w:r>
          </w:p>
        </w:tc>
        <w:tc>
          <w:tcPr>
            <w:tcW w:w="1424" w:type="dxa"/>
            <w:tcBorders>
              <w:top w:val="nil"/>
              <w:left w:val="nil"/>
              <w:bottom w:val="nil"/>
              <w:right w:val="single" w:sz="4" w:space="0" w:color="auto"/>
            </w:tcBorders>
          </w:tcPr>
          <w:p w14:paraId="4C6B42AB" w14:textId="773688AA" w:rsidR="007104B7" w:rsidRPr="00301088" w:rsidRDefault="007104B7" w:rsidP="007104B7">
            <w:pPr>
              <w:jc w:val="right"/>
              <w:rPr>
                <w:rFonts w:ascii="Arial" w:hAnsi="Arial" w:cs="Arial"/>
                <w:color w:val="000000"/>
                <w:sz w:val="18"/>
                <w:szCs w:val="18"/>
              </w:rPr>
            </w:pPr>
            <w:r>
              <w:rPr>
                <w:rFonts w:ascii="Arial" w:hAnsi="Arial" w:cs="Arial"/>
                <w:color w:val="000000"/>
                <w:sz w:val="18"/>
                <w:szCs w:val="18"/>
              </w:rPr>
              <w:t>6,861,000</w:t>
            </w:r>
          </w:p>
        </w:tc>
        <w:tc>
          <w:tcPr>
            <w:tcW w:w="1337" w:type="dxa"/>
            <w:tcBorders>
              <w:top w:val="nil"/>
              <w:left w:val="nil"/>
              <w:bottom w:val="nil"/>
              <w:right w:val="single" w:sz="4" w:space="0" w:color="auto"/>
            </w:tcBorders>
          </w:tcPr>
          <w:p w14:paraId="0A232758" w14:textId="0225E257" w:rsidR="007104B7" w:rsidRDefault="007104B7" w:rsidP="007104B7">
            <w:pPr>
              <w:jc w:val="right"/>
              <w:rPr>
                <w:rFonts w:ascii="Arial" w:hAnsi="Arial" w:cs="Arial"/>
                <w:color w:val="000000"/>
                <w:sz w:val="18"/>
                <w:szCs w:val="18"/>
              </w:rPr>
            </w:pPr>
          </w:p>
        </w:tc>
        <w:tc>
          <w:tcPr>
            <w:tcW w:w="1304" w:type="dxa"/>
            <w:tcBorders>
              <w:top w:val="nil"/>
              <w:left w:val="nil"/>
              <w:bottom w:val="nil"/>
              <w:right w:val="single" w:sz="4" w:space="0" w:color="auto"/>
            </w:tcBorders>
          </w:tcPr>
          <w:p w14:paraId="0BCE54C3" w14:textId="6BCE7C27" w:rsidR="007104B7" w:rsidRDefault="007104B7" w:rsidP="007104B7">
            <w:pPr>
              <w:jc w:val="right"/>
              <w:rPr>
                <w:rFonts w:ascii="Arial" w:hAnsi="Arial" w:cs="Arial"/>
                <w:color w:val="000000"/>
                <w:sz w:val="18"/>
                <w:szCs w:val="18"/>
              </w:rPr>
            </w:pPr>
          </w:p>
        </w:tc>
      </w:tr>
      <w:tr w:rsidR="007104B7" w:rsidRPr="00301088" w14:paraId="1DD54528" w14:textId="059664EE" w:rsidTr="00966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668" w:type="dxa"/>
            <w:tcBorders>
              <w:top w:val="nil"/>
              <w:left w:val="single" w:sz="4" w:space="0" w:color="auto"/>
              <w:bottom w:val="nil"/>
              <w:right w:val="nil"/>
            </w:tcBorders>
            <w:shd w:val="clear" w:color="auto" w:fill="auto"/>
            <w:noWrap/>
            <w:vAlign w:val="center"/>
            <w:hideMark/>
          </w:tcPr>
          <w:p w14:paraId="1CCA6DC4" w14:textId="77777777" w:rsidR="007104B7" w:rsidRPr="00301088" w:rsidRDefault="007104B7" w:rsidP="007104B7">
            <w:pPr>
              <w:tabs>
                <w:tab w:val="left" w:pos="3420"/>
              </w:tabs>
              <w:ind w:firstLineChars="100" w:firstLine="180"/>
              <w:rPr>
                <w:rFonts w:ascii="Arial" w:hAnsi="Arial" w:cs="Arial"/>
                <w:color w:val="000000"/>
                <w:sz w:val="18"/>
                <w:szCs w:val="18"/>
              </w:rPr>
            </w:pPr>
            <w:r w:rsidRPr="00301088">
              <w:rPr>
                <w:rFonts w:ascii="Arial" w:hAnsi="Arial" w:cs="Arial"/>
                <w:color w:val="000000"/>
                <w:sz w:val="18"/>
                <w:szCs w:val="18"/>
              </w:rPr>
              <w:t xml:space="preserve">  Sales and services of education </w:t>
            </w:r>
            <w:r>
              <w:rPr>
                <w:rFonts w:ascii="Arial" w:hAnsi="Arial" w:cs="Arial"/>
                <w:color w:val="000000"/>
                <w:sz w:val="18"/>
                <w:szCs w:val="18"/>
              </w:rPr>
              <w:t>a</w:t>
            </w:r>
            <w:r w:rsidRPr="00301088">
              <w:rPr>
                <w:rFonts w:ascii="Arial" w:hAnsi="Arial" w:cs="Arial"/>
                <w:color w:val="000000"/>
                <w:sz w:val="18"/>
                <w:szCs w:val="18"/>
              </w:rPr>
              <w:t>ctivities</w:t>
            </w:r>
          </w:p>
        </w:tc>
        <w:tc>
          <w:tcPr>
            <w:tcW w:w="1337" w:type="dxa"/>
            <w:tcBorders>
              <w:top w:val="nil"/>
              <w:left w:val="single" w:sz="4" w:space="0" w:color="auto"/>
              <w:bottom w:val="nil"/>
              <w:right w:val="single" w:sz="4" w:space="0" w:color="auto"/>
            </w:tcBorders>
          </w:tcPr>
          <w:p w14:paraId="1789CC27" w14:textId="094FA67B" w:rsidR="007104B7" w:rsidRPr="00301088" w:rsidRDefault="007104B7" w:rsidP="007104B7">
            <w:pPr>
              <w:jc w:val="right"/>
              <w:rPr>
                <w:rFonts w:ascii="Arial" w:hAnsi="Arial" w:cs="Arial"/>
                <w:color w:val="000000"/>
                <w:sz w:val="18"/>
                <w:szCs w:val="18"/>
              </w:rPr>
            </w:pPr>
            <w:r>
              <w:rPr>
                <w:rFonts w:ascii="Arial" w:hAnsi="Arial" w:cs="Arial"/>
                <w:color w:val="000000"/>
                <w:sz w:val="18"/>
                <w:szCs w:val="18"/>
              </w:rPr>
              <w:t>8,018,000</w:t>
            </w:r>
          </w:p>
        </w:tc>
        <w:tc>
          <w:tcPr>
            <w:tcW w:w="1424" w:type="dxa"/>
            <w:tcBorders>
              <w:top w:val="nil"/>
              <w:left w:val="nil"/>
              <w:bottom w:val="nil"/>
              <w:right w:val="single" w:sz="4" w:space="0" w:color="auto"/>
            </w:tcBorders>
          </w:tcPr>
          <w:p w14:paraId="1C69B1C3" w14:textId="0D8241B1" w:rsidR="007104B7" w:rsidRPr="00301088" w:rsidRDefault="007104B7" w:rsidP="007104B7">
            <w:pPr>
              <w:jc w:val="right"/>
              <w:rPr>
                <w:rFonts w:ascii="Arial" w:hAnsi="Arial" w:cs="Arial"/>
                <w:color w:val="000000"/>
                <w:sz w:val="18"/>
                <w:szCs w:val="18"/>
              </w:rPr>
            </w:pPr>
            <w:r>
              <w:rPr>
                <w:rFonts w:ascii="Arial" w:hAnsi="Arial" w:cs="Arial"/>
                <w:color w:val="000000"/>
                <w:sz w:val="18"/>
                <w:szCs w:val="18"/>
              </w:rPr>
              <w:t>5,773,000</w:t>
            </w:r>
          </w:p>
        </w:tc>
        <w:tc>
          <w:tcPr>
            <w:tcW w:w="1337" w:type="dxa"/>
            <w:tcBorders>
              <w:top w:val="nil"/>
              <w:left w:val="nil"/>
              <w:bottom w:val="nil"/>
              <w:right w:val="single" w:sz="4" w:space="0" w:color="auto"/>
            </w:tcBorders>
          </w:tcPr>
          <w:p w14:paraId="4FAFC529" w14:textId="591EE011" w:rsidR="007104B7" w:rsidRDefault="007104B7" w:rsidP="007104B7">
            <w:pPr>
              <w:jc w:val="right"/>
              <w:rPr>
                <w:rFonts w:ascii="Arial" w:hAnsi="Arial" w:cs="Arial"/>
                <w:color w:val="000000"/>
                <w:sz w:val="18"/>
                <w:szCs w:val="18"/>
              </w:rPr>
            </w:pPr>
          </w:p>
        </w:tc>
        <w:tc>
          <w:tcPr>
            <w:tcW w:w="1304" w:type="dxa"/>
            <w:tcBorders>
              <w:top w:val="nil"/>
              <w:left w:val="nil"/>
              <w:bottom w:val="nil"/>
              <w:right w:val="single" w:sz="4" w:space="0" w:color="auto"/>
            </w:tcBorders>
          </w:tcPr>
          <w:p w14:paraId="75AAB8C1" w14:textId="57CB7E52" w:rsidR="007104B7" w:rsidRDefault="007104B7" w:rsidP="007104B7">
            <w:pPr>
              <w:jc w:val="right"/>
              <w:rPr>
                <w:rFonts w:ascii="Arial" w:hAnsi="Arial" w:cs="Arial"/>
                <w:color w:val="000000"/>
                <w:sz w:val="18"/>
                <w:szCs w:val="18"/>
              </w:rPr>
            </w:pPr>
          </w:p>
        </w:tc>
      </w:tr>
      <w:tr w:rsidR="007104B7" w:rsidRPr="00301088" w14:paraId="1E1B0990" w14:textId="317EAA18" w:rsidTr="00966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668" w:type="dxa"/>
            <w:tcBorders>
              <w:top w:val="nil"/>
              <w:left w:val="single" w:sz="4" w:space="0" w:color="auto"/>
              <w:right w:val="nil"/>
            </w:tcBorders>
            <w:shd w:val="clear" w:color="auto" w:fill="auto"/>
            <w:noWrap/>
            <w:vAlign w:val="center"/>
            <w:hideMark/>
          </w:tcPr>
          <w:p w14:paraId="19CAD5AB" w14:textId="77777777" w:rsidR="007104B7" w:rsidRPr="00301088" w:rsidRDefault="007104B7" w:rsidP="007104B7">
            <w:pPr>
              <w:ind w:firstLineChars="100" w:firstLine="180"/>
              <w:rPr>
                <w:rFonts w:ascii="Arial" w:hAnsi="Arial" w:cs="Arial"/>
                <w:color w:val="000000"/>
                <w:sz w:val="18"/>
                <w:szCs w:val="18"/>
              </w:rPr>
            </w:pPr>
            <w:r w:rsidRPr="00301088">
              <w:rPr>
                <w:rFonts w:ascii="Arial" w:hAnsi="Arial" w:cs="Arial"/>
                <w:color w:val="000000"/>
                <w:sz w:val="18"/>
                <w:szCs w:val="18"/>
              </w:rPr>
              <w:t xml:space="preserve">  Sales and services of auxiliary enterprises</w:t>
            </w:r>
          </w:p>
        </w:tc>
        <w:tc>
          <w:tcPr>
            <w:tcW w:w="1337" w:type="dxa"/>
            <w:tcBorders>
              <w:top w:val="nil"/>
              <w:left w:val="single" w:sz="4" w:space="0" w:color="auto"/>
              <w:bottom w:val="nil"/>
              <w:right w:val="single" w:sz="4" w:space="0" w:color="auto"/>
            </w:tcBorders>
          </w:tcPr>
          <w:p w14:paraId="475C9D21" w14:textId="1F306491" w:rsidR="007104B7" w:rsidRPr="00301088" w:rsidRDefault="007104B7" w:rsidP="007104B7">
            <w:pPr>
              <w:jc w:val="right"/>
              <w:rPr>
                <w:rFonts w:ascii="Arial" w:hAnsi="Arial" w:cs="Arial"/>
                <w:color w:val="000000"/>
                <w:sz w:val="18"/>
                <w:szCs w:val="18"/>
              </w:rPr>
            </w:pPr>
            <w:r>
              <w:rPr>
                <w:rFonts w:ascii="Arial" w:hAnsi="Arial" w:cs="Arial"/>
                <w:color w:val="000000"/>
                <w:sz w:val="18"/>
                <w:szCs w:val="18"/>
              </w:rPr>
              <w:t>14,148,000</w:t>
            </w:r>
          </w:p>
        </w:tc>
        <w:tc>
          <w:tcPr>
            <w:tcW w:w="1424" w:type="dxa"/>
            <w:tcBorders>
              <w:top w:val="nil"/>
              <w:left w:val="nil"/>
              <w:bottom w:val="nil"/>
              <w:right w:val="single" w:sz="4" w:space="0" w:color="auto"/>
            </w:tcBorders>
          </w:tcPr>
          <w:p w14:paraId="4704CC36" w14:textId="653409EB" w:rsidR="007104B7" w:rsidRPr="00301088" w:rsidRDefault="007104B7" w:rsidP="007104B7">
            <w:pPr>
              <w:jc w:val="right"/>
              <w:rPr>
                <w:rFonts w:ascii="Arial" w:hAnsi="Arial" w:cs="Arial"/>
                <w:color w:val="000000"/>
                <w:sz w:val="18"/>
                <w:szCs w:val="18"/>
              </w:rPr>
            </w:pPr>
            <w:r>
              <w:rPr>
                <w:rFonts w:ascii="Arial" w:hAnsi="Arial" w:cs="Arial"/>
                <w:color w:val="000000"/>
                <w:sz w:val="18"/>
                <w:szCs w:val="18"/>
              </w:rPr>
              <w:t>14,635,000</w:t>
            </w:r>
          </w:p>
        </w:tc>
        <w:tc>
          <w:tcPr>
            <w:tcW w:w="1337" w:type="dxa"/>
            <w:tcBorders>
              <w:top w:val="nil"/>
              <w:left w:val="nil"/>
              <w:bottom w:val="nil"/>
              <w:right w:val="single" w:sz="4" w:space="0" w:color="auto"/>
            </w:tcBorders>
          </w:tcPr>
          <w:p w14:paraId="13DF94CE" w14:textId="186D57A3" w:rsidR="007104B7" w:rsidRDefault="007104B7" w:rsidP="007104B7">
            <w:pPr>
              <w:jc w:val="right"/>
              <w:rPr>
                <w:rFonts w:ascii="Arial" w:hAnsi="Arial" w:cs="Arial"/>
                <w:color w:val="000000"/>
                <w:sz w:val="18"/>
                <w:szCs w:val="18"/>
              </w:rPr>
            </w:pPr>
          </w:p>
        </w:tc>
        <w:tc>
          <w:tcPr>
            <w:tcW w:w="1304" w:type="dxa"/>
            <w:tcBorders>
              <w:top w:val="nil"/>
              <w:left w:val="nil"/>
              <w:bottom w:val="nil"/>
              <w:right w:val="single" w:sz="4" w:space="0" w:color="auto"/>
            </w:tcBorders>
          </w:tcPr>
          <w:p w14:paraId="6350166F" w14:textId="12D50456" w:rsidR="007104B7" w:rsidRDefault="007104B7" w:rsidP="007104B7">
            <w:pPr>
              <w:jc w:val="right"/>
              <w:rPr>
                <w:rFonts w:ascii="Arial" w:hAnsi="Arial" w:cs="Arial"/>
                <w:color w:val="000000"/>
                <w:sz w:val="18"/>
                <w:szCs w:val="18"/>
              </w:rPr>
            </w:pPr>
          </w:p>
        </w:tc>
      </w:tr>
      <w:tr w:rsidR="007104B7" w:rsidRPr="00301088" w14:paraId="50FB4082" w14:textId="1279979D" w:rsidTr="00966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668" w:type="dxa"/>
            <w:tcBorders>
              <w:top w:val="nil"/>
              <w:left w:val="single" w:sz="4" w:space="0" w:color="auto"/>
              <w:bottom w:val="single" w:sz="4" w:space="0" w:color="auto"/>
              <w:right w:val="nil"/>
            </w:tcBorders>
            <w:shd w:val="clear" w:color="auto" w:fill="auto"/>
            <w:noWrap/>
            <w:vAlign w:val="center"/>
            <w:hideMark/>
          </w:tcPr>
          <w:p w14:paraId="0E4A99E7" w14:textId="77777777" w:rsidR="007104B7" w:rsidRPr="00301088" w:rsidRDefault="007104B7" w:rsidP="007104B7">
            <w:pPr>
              <w:ind w:firstLineChars="100" w:firstLine="180"/>
              <w:rPr>
                <w:rFonts w:ascii="Arial" w:hAnsi="Arial" w:cs="Arial"/>
                <w:color w:val="000000"/>
                <w:sz w:val="18"/>
                <w:szCs w:val="18"/>
              </w:rPr>
            </w:pPr>
            <w:r w:rsidRPr="00301088">
              <w:rPr>
                <w:rFonts w:ascii="Arial" w:hAnsi="Arial" w:cs="Arial"/>
                <w:color w:val="000000"/>
                <w:sz w:val="18"/>
                <w:szCs w:val="18"/>
              </w:rPr>
              <w:t xml:space="preserve">  Other</w:t>
            </w:r>
          </w:p>
        </w:tc>
        <w:tc>
          <w:tcPr>
            <w:tcW w:w="1337" w:type="dxa"/>
            <w:tcBorders>
              <w:top w:val="nil"/>
              <w:left w:val="single" w:sz="4" w:space="0" w:color="auto"/>
              <w:bottom w:val="single" w:sz="4" w:space="0" w:color="auto"/>
              <w:right w:val="single" w:sz="4" w:space="0" w:color="auto"/>
            </w:tcBorders>
          </w:tcPr>
          <w:p w14:paraId="1F489F08" w14:textId="4BD6F732" w:rsidR="007104B7" w:rsidRPr="00301088" w:rsidRDefault="007104B7" w:rsidP="007104B7">
            <w:pPr>
              <w:jc w:val="right"/>
              <w:rPr>
                <w:rFonts w:ascii="Arial" w:hAnsi="Arial" w:cs="Arial"/>
                <w:color w:val="000000"/>
                <w:sz w:val="18"/>
                <w:szCs w:val="18"/>
              </w:rPr>
            </w:pPr>
            <w:r>
              <w:rPr>
                <w:rFonts w:ascii="Arial" w:hAnsi="Arial" w:cs="Arial"/>
                <w:color w:val="000000"/>
                <w:sz w:val="18"/>
                <w:szCs w:val="18"/>
              </w:rPr>
              <w:t>8,900,000</w:t>
            </w:r>
          </w:p>
        </w:tc>
        <w:tc>
          <w:tcPr>
            <w:tcW w:w="1424" w:type="dxa"/>
            <w:tcBorders>
              <w:top w:val="nil"/>
              <w:left w:val="nil"/>
              <w:bottom w:val="single" w:sz="4" w:space="0" w:color="auto"/>
              <w:right w:val="single" w:sz="4" w:space="0" w:color="auto"/>
            </w:tcBorders>
          </w:tcPr>
          <w:p w14:paraId="4009BF43" w14:textId="7EF766CB" w:rsidR="007104B7" w:rsidRPr="00301088" w:rsidRDefault="007104B7" w:rsidP="007104B7">
            <w:pPr>
              <w:jc w:val="right"/>
              <w:rPr>
                <w:rFonts w:ascii="Arial" w:hAnsi="Arial" w:cs="Arial"/>
                <w:color w:val="000000"/>
                <w:sz w:val="18"/>
                <w:szCs w:val="18"/>
              </w:rPr>
            </w:pPr>
            <w:r>
              <w:rPr>
                <w:rFonts w:ascii="Arial" w:hAnsi="Arial" w:cs="Arial"/>
                <w:color w:val="000000"/>
                <w:sz w:val="18"/>
                <w:szCs w:val="18"/>
              </w:rPr>
              <w:t>10,265,000</w:t>
            </w:r>
          </w:p>
        </w:tc>
        <w:tc>
          <w:tcPr>
            <w:tcW w:w="1337" w:type="dxa"/>
            <w:tcBorders>
              <w:top w:val="nil"/>
              <w:left w:val="nil"/>
              <w:bottom w:val="single" w:sz="4" w:space="0" w:color="auto"/>
              <w:right w:val="single" w:sz="4" w:space="0" w:color="auto"/>
            </w:tcBorders>
          </w:tcPr>
          <w:p w14:paraId="0AF1AF83" w14:textId="742F6437" w:rsidR="007104B7" w:rsidRDefault="007104B7" w:rsidP="007104B7">
            <w:pPr>
              <w:jc w:val="right"/>
              <w:rPr>
                <w:rFonts w:ascii="Arial" w:hAnsi="Arial" w:cs="Arial"/>
                <w:color w:val="000000"/>
                <w:sz w:val="18"/>
                <w:szCs w:val="18"/>
              </w:rPr>
            </w:pPr>
          </w:p>
        </w:tc>
        <w:tc>
          <w:tcPr>
            <w:tcW w:w="1304" w:type="dxa"/>
            <w:tcBorders>
              <w:top w:val="nil"/>
              <w:left w:val="nil"/>
              <w:bottom w:val="single" w:sz="4" w:space="0" w:color="auto"/>
              <w:right w:val="single" w:sz="4" w:space="0" w:color="auto"/>
            </w:tcBorders>
          </w:tcPr>
          <w:p w14:paraId="5DBA1C1A" w14:textId="04428989" w:rsidR="007104B7" w:rsidRDefault="007104B7" w:rsidP="007104B7">
            <w:pPr>
              <w:jc w:val="right"/>
              <w:rPr>
                <w:rFonts w:ascii="Arial" w:hAnsi="Arial" w:cs="Arial"/>
                <w:color w:val="000000"/>
                <w:sz w:val="18"/>
                <w:szCs w:val="18"/>
              </w:rPr>
            </w:pPr>
          </w:p>
        </w:tc>
      </w:tr>
      <w:tr w:rsidR="007104B7" w:rsidRPr="00301088" w14:paraId="16E18DFE" w14:textId="47D508E1" w:rsidTr="00966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668" w:type="dxa"/>
            <w:tcBorders>
              <w:top w:val="single" w:sz="4" w:space="0" w:color="auto"/>
              <w:left w:val="single" w:sz="4" w:space="0" w:color="auto"/>
              <w:bottom w:val="nil"/>
              <w:right w:val="nil"/>
            </w:tcBorders>
            <w:shd w:val="clear" w:color="auto" w:fill="auto"/>
            <w:noWrap/>
            <w:vAlign w:val="center"/>
            <w:hideMark/>
          </w:tcPr>
          <w:p w14:paraId="51E6ACE4" w14:textId="77777777" w:rsidR="007104B7" w:rsidRPr="00301088" w:rsidRDefault="007104B7" w:rsidP="007104B7">
            <w:pPr>
              <w:rPr>
                <w:rFonts w:ascii="Arial" w:hAnsi="Arial" w:cs="Arial"/>
                <w:color w:val="000000"/>
                <w:sz w:val="18"/>
                <w:szCs w:val="18"/>
              </w:rPr>
            </w:pPr>
            <w:r w:rsidRPr="00301088">
              <w:rPr>
                <w:rFonts w:ascii="Arial" w:hAnsi="Arial" w:cs="Arial"/>
                <w:color w:val="000000"/>
                <w:sz w:val="18"/>
                <w:szCs w:val="18"/>
              </w:rPr>
              <w:t xml:space="preserve">           Total operating revenues</w:t>
            </w:r>
          </w:p>
        </w:tc>
        <w:tc>
          <w:tcPr>
            <w:tcW w:w="1337" w:type="dxa"/>
            <w:tcBorders>
              <w:top w:val="nil"/>
              <w:left w:val="single" w:sz="4" w:space="0" w:color="auto"/>
              <w:bottom w:val="nil"/>
              <w:right w:val="single" w:sz="4" w:space="0" w:color="auto"/>
            </w:tcBorders>
          </w:tcPr>
          <w:p w14:paraId="55F20D69" w14:textId="6BAF9F51" w:rsidR="007104B7" w:rsidRPr="00301088" w:rsidRDefault="007104B7" w:rsidP="007104B7">
            <w:pPr>
              <w:jc w:val="right"/>
              <w:rPr>
                <w:rFonts w:ascii="Arial" w:hAnsi="Arial" w:cs="Arial"/>
                <w:color w:val="000000"/>
                <w:sz w:val="18"/>
                <w:szCs w:val="18"/>
              </w:rPr>
            </w:pPr>
            <w:r>
              <w:rPr>
                <w:rFonts w:ascii="Arial" w:hAnsi="Arial" w:cs="Arial"/>
                <w:color w:val="000000"/>
                <w:sz w:val="18"/>
                <w:szCs w:val="18"/>
              </w:rPr>
              <w:t>148,418,000</w:t>
            </w:r>
          </w:p>
        </w:tc>
        <w:tc>
          <w:tcPr>
            <w:tcW w:w="1424" w:type="dxa"/>
            <w:tcBorders>
              <w:top w:val="nil"/>
              <w:left w:val="nil"/>
              <w:bottom w:val="nil"/>
              <w:right w:val="single" w:sz="4" w:space="0" w:color="auto"/>
            </w:tcBorders>
          </w:tcPr>
          <w:p w14:paraId="41F95FEB" w14:textId="0466642C" w:rsidR="007104B7" w:rsidRPr="00301088" w:rsidRDefault="007104B7" w:rsidP="007104B7">
            <w:pPr>
              <w:jc w:val="right"/>
              <w:rPr>
                <w:rFonts w:ascii="Arial" w:hAnsi="Arial" w:cs="Arial"/>
                <w:color w:val="000000"/>
                <w:sz w:val="18"/>
                <w:szCs w:val="18"/>
              </w:rPr>
            </w:pPr>
            <w:r>
              <w:rPr>
                <w:rFonts w:ascii="Arial" w:hAnsi="Arial" w:cs="Arial"/>
                <w:color w:val="000000"/>
                <w:sz w:val="18"/>
                <w:szCs w:val="18"/>
              </w:rPr>
              <w:t>149,816,000</w:t>
            </w:r>
          </w:p>
        </w:tc>
        <w:tc>
          <w:tcPr>
            <w:tcW w:w="1337" w:type="dxa"/>
            <w:tcBorders>
              <w:top w:val="nil"/>
              <w:left w:val="nil"/>
              <w:bottom w:val="nil"/>
              <w:right w:val="single" w:sz="4" w:space="0" w:color="auto"/>
            </w:tcBorders>
          </w:tcPr>
          <w:p w14:paraId="57B838FD" w14:textId="671DABAC" w:rsidR="007104B7" w:rsidRDefault="007104B7" w:rsidP="007104B7">
            <w:pPr>
              <w:jc w:val="right"/>
              <w:rPr>
                <w:rFonts w:ascii="Arial" w:hAnsi="Arial" w:cs="Arial"/>
                <w:color w:val="000000"/>
                <w:sz w:val="18"/>
                <w:szCs w:val="18"/>
              </w:rPr>
            </w:pPr>
          </w:p>
        </w:tc>
        <w:tc>
          <w:tcPr>
            <w:tcW w:w="1304" w:type="dxa"/>
            <w:tcBorders>
              <w:top w:val="nil"/>
              <w:left w:val="nil"/>
              <w:bottom w:val="nil"/>
              <w:right w:val="single" w:sz="4" w:space="0" w:color="auto"/>
            </w:tcBorders>
          </w:tcPr>
          <w:p w14:paraId="52C28E1B" w14:textId="3DDBC738" w:rsidR="007104B7" w:rsidRDefault="007104B7" w:rsidP="007104B7">
            <w:pPr>
              <w:jc w:val="right"/>
              <w:rPr>
                <w:rFonts w:ascii="Arial" w:hAnsi="Arial" w:cs="Arial"/>
                <w:color w:val="000000"/>
                <w:sz w:val="18"/>
                <w:szCs w:val="18"/>
              </w:rPr>
            </w:pPr>
          </w:p>
        </w:tc>
      </w:tr>
      <w:tr w:rsidR="007104B7" w:rsidRPr="00301088" w14:paraId="509A14B3" w14:textId="0CD29101" w:rsidTr="0096682B">
        <w:trPr>
          <w:trHeight w:val="212"/>
        </w:trPr>
        <w:tc>
          <w:tcPr>
            <w:tcW w:w="4668" w:type="dxa"/>
            <w:tcBorders>
              <w:top w:val="single" w:sz="4" w:space="0" w:color="auto"/>
              <w:left w:val="single" w:sz="4" w:space="0" w:color="auto"/>
              <w:bottom w:val="single" w:sz="4" w:space="0" w:color="auto"/>
              <w:right w:val="single" w:sz="4" w:space="0" w:color="auto"/>
            </w:tcBorders>
            <w:shd w:val="clear" w:color="auto" w:fill="000080"/>
            <w:vAlign w:val="center"/>
          </w:tcPr>
          <w:p w14:paraId="66111805" w14:textId="77777777" w:rsidR="007104B7" w:rsidRPr="00301088" w:rsidRDefault="007104B7" w:rsidP="007104B7">
            <w:pPr>
              <w:rPr>
                <w:rFonts w:ascii="Arial" w:hAnsi="Arial" w:cs="Arial"/>
                <w:b/>
                <w:bCs/>
                <w:color w:val="FFFFFF"/>
                <w:sz w:val="20"/>
              </w:rPr>
            </w:pPr>
            <w:r>
              <w:rPr>
                <w:rFonts w:ascii="Arial" w:hAnsi="Arial" w:cs="Arial"/>
                <w:b/>
                <w:bCs/>
                <w:color w:val="FFFFFF"/>
                <w:sz w:val="20"/>
              </w:rPr>
              <w:t>Expenditure</w:t>
            </w:r>
          </w:p>
        </w:tc>
        <w:tc>
          <w:tcPr>
            <w:tcW w:w="1337" w:type="dxa"/>
            <w:tcBorders>
              <w:top w:val="single" w:sz="4" w:space="0" w:color="auto"/>
              <w:left w:val="single" w:sz="4" w:space="0" w:color="auto"/>
              <w:bottom w:val="single" w:sz="4" w:space="0" w:color="auto"/>
              <w:right w:val="single" w:sz="4" w:space="0" w:color="auto"/>
            </w:tcBorders>
            <w:shd w:val="clear" w:color="auto" w:fill="000080"/>
          </w:tcPr>
          <w:p w14:paraId="1CBA3529" w14:textId="28B04AB4" w:rsidR="007104B7" w:rsidRPr="00301088" w:rsidRDefault="007104B7" w:rsidP="007104B7">
            <w:pPr>
              <w:jc w:val="center"/>
              <w:rPr>
                <w:rFonts w:ascii="Arial" w:hAnsi="Arial" w:cs="Arial"/>
                <w:b/>
                <w:bCs/>
                <w:color w:val="FFFFFF"/>
                <w:sz w:val="20"/>
              </w:rPr>
            </w:pPr>
            <w:r>
              <w:rPr>
                <w:rFonts w:ascii="Arial" w:hAnsi="Arial" w:cs="Arial"/>
                <w:b/>
                <w:bCs/>
                <w:color w:val="FFFFFF"/>
                <w:sz w:val="20"/>
              </w:rPr>
              <w:t>FY 2022</w:t>
            </w:r>
          </w:p>
        </w:tc>
        <w:tc>
          <w:tcPr>
            <w:tcW w:w="1424" w:type="dxa"/>
            <w:tcBorders>
              <w:top w:val="single" w:sz="4" w:space="0" w:color="auto"/>
              <w:left w:val="single" w:sz="4" w:space="0" w:color="auto"/>
              <w:bottom w:val="single" w:sz="4" w:space="0" w:color="auto"/>
              <w:right w:val="single" w:sz="4" w:space="0" w:color="auto"/>
            </w:tcBorders>
            <w:shd w:val="clear" w:color="auto" w:fill="000080"/>
          </w:tcPr>
          <w:p w14:paraId="2E9621C3" w14:textId="2CD5192E" w:rsidR="007104B7" w:rsidRPr="00301088" w:rsidRDefault="007104B7" w:rsidP="007104B7">
            <w:pPr>
              <w:jc w:val="center"/>
              <w:rPr>
                <w:rFonts w:ascii="Arial" w:hAnsi="Arial" w:cs="Arial"/>
                <w:b/>
                <w:bCs/>
                <w:color w:val="FFFFFF"/>
                <w:sz w:val="20"/>
              </w:rPr>
            </w:pPr>
            <w:r>
              <w:rPr>
                <w:rFonts w:ascii="Arial" w:hAnsi="Arial" w:cs="Arial"/>
                <w:b/>
                <w:bCs/>
                <w:color w:val="FFFFFF"/>
                <w:sz w:val="20"/>
              </w:rPr>
              <w:t>FY 2023</w:t>
            </w:r>
          </w:p>
        </w:tc>
        <w:tc>
          <w:tcPr>
            <w:tcW w:w="1337" w:type="dxa"/>
            <w:tcBorders>
              <w:top w:val="single" w:sz="4" w:space="0" w:color="auto"/>
              <w:left w:val="single" w:sz="4" w:space="0" w:color="auto"/>
              <w:bottom w:val="single" w:sz="4" w:space="0" w:color="auto"/>
              <w:right w:val="single" w:sz="4" w:space="0" w:color="auto"/>
            </w:tcBorders>
            <w:shd w:val="clear" w:color="auto" w:fill="000080"/>
          </w:tcPr>
          <w:p w14:paraId="2DE76DAA" w14:textId="0DCBD3F3" w:rsidR="007104B7" w:rsidRDefault="007104B7" w:rsidP="007104B7">
            <w:pPr>
              <w:jc w:val="center"/>
              <w:rPr>
                <w:rFonts w:ascii="Arial" w:hAnsi="Arial" w:cs="Arial"/>
                <w:b/>
                <w:bCs/>
                <w:color w:val="FFFFFF"/>
                <w:sz w:val="20"/>
              </w:rPr>
            </w:pPr>
            <w:r>
              <w:rPr>
                <w:rFonts w:ascii="Arial" w:hAnsi="Arial" w:cs="Arial"/>
                <w:b/>
                <w:bCs/>
                <w:color w:val="FFFFFF"/>
                <w:sz w:val="20"/>
              </w:rPr>
              <w:t>FY 2024</w:t>
            </w:r>
          </w:p>
        </w:tc>
        <w:tc>
          <w:tcPr>
            <w:tcW w:w="1304" w:type="dxa"/>
            <w:tcBorders>
              <w:top w:val="single" w:sz="4" w:space="0" w:color="auto"/>
              <w:left w:val="single" w:sz="4" w:space="0" w:color="auto"/>
              <w:bottom w:val="single" w:sz="4" w:space="0" w:color="auto"/>
              <w:right w:val="single" w:sz="4" w:space="0" w:color="auto"/>
            </w:tcBorders>
            <w:shd w:val="clear" w:color="auto" w:fill="000080"/>
          </w:tcPr>
          <w:p w14:paraId="05119C1F" w14:textId="646325EF" w:rsidR="007104B7" w:rsidRDefault="007104B7" w:rsidP="007104B7">
            <w:pPr>
              <w:jc w:val="center"/>
              <w:rPr>
                <w:rFonts w:ascii="Arial" w:hAnsi="Arial" w:cs="Arial"/>
                <w:b/>
                <w:bCs/>
                <w:color w:val="FFFFFF"/>
                <w:sz w:val="20"/>
              </w:rPr>
            </w:pPr>
            <w:r>
              <w:rPr>
                <w:rFonts w:ascii="Arial" w:hAnsi="Arial" w:cs="Arial"/>
                <w:b/>
                <w:bCs/>
                <w:color w:val="FFFFFF"/>
                <w:sz w:val="20"/>
              </w:rPr>
              <w:t>FY 2025</w:t>
            </w:r>
          </w:p>
        </w:tc>
      </w:tr>
      <w:tr w:rsidR="007104B7" w:rsidRPr="00301088" w14:paraId="3B703A96" w14:textId="0F9F130D" w:rsidTr="00966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668" w:type="dxa"/>
            <w:tcBorders>
              <w:top w:val="single" w:sz="4" w:space="0" w:color="auto"/>
              <w:left w:val="single" w:sz="4" w:space="0" w:color="auto"/>
              <w:bottom w:val="single" w:sz="4" w:space="0" w:color="auto"/>
              <w:right w:val="nil"/>
            </w:tcBorders>
            <w:shd w:val="clear" w:color="auto" w:fill="auto"/>
            <w:noWrap/>
            <w:vAlign w:val="center"/>
            <w:hideMark/>
          </w:tcPr>
          <w:p w14:paraId="4218EF38" w14:textId="77777777" w:rsidR="007104B7" w:rsidRPr="00B94017" w:rsidRDefault="007104B7" w:rsidP="007104B7">
            <w:pPr>
              <w:rPr>
                <w:rFonts w:ascii="Arial" w:hAnsi="Arial" w:cs="Arial"/>
                <w:color w:val="000000"/>
                <w:sz w:val="18"/>
                <w:szCs w:val="18"/>
              </w:rPr>
            </w:pPr>
            <w:r w:rsidRPr="00B94017">
              <w:rPr>
                <w:rFonts w:ascii="Arial" w:hAnsi="Arial" w:cs="Arial"/>
                <w:color w:val="000000"/>
                <w:sz w:val="18"/>
                <w:szCs w:val="18"/>
              </w:rPr>
              <w:t>Operating expenses</w:t>
            </w:r>
          </w:p>
        </w:tc>
        <w:tc>
          <w:tcPr>
            <w:tcW w:w="1337" w:type="dxa"/>
            <w:tcBorders>
              <w:top w:val="nil"/>
              <w:left w:val="single" w:sz="4" w:space="0" w:color="auto"/>
              <w:bottom w:val="single" w:sz="4" w:space="0" w:color="auto"/>
              <w:right w:val="single" w:sz="4" w:space="0" w:color="auto"/>
            </w:tcBorders>
          </w:tcPr>
          <w:p w14:paraId="43427B7A" w14:textId="0363EEAF" w:rsidR="007104B7" w:rsidRPr="00B94017" w:rsidRDefault="007104B7" w:rsidP="007104B7">
            <w:pPr>
              <w:jc w:val="right"/>
              <w:rPr>
                <w:rFonts w:ascii="Arial" w:hAnsi="Arial" w:cs="Arial"/>
                <w:color w:val="000000"/>
                <w:sz w:val="18"/>
                <w:szCs w:val="18"/>
              </w:rPr>
            </w:pPr>
            <w:r>
              <w:rPr>
                <w:rFonts w:ascii="Arial" w:hAnsi="Arial" w:cs="Arial"/>
                <w:color w:val="000000"/>
                <w:sz w:val="18"/>
                <w:szCs w:val="18"/>
              </w:rPr>
              <w:t>280,891,000</w:t>
            </w:r>
          </w:p>
        </w:tc>
        <w:tc>
          <w:tcPr>
            <w:tcW w:w="1424" w:type="dxa"/>
            <w:tcBorders>
              <w:top w:val="nil"/>
              <w:left w:val="nil"/>
              <w:bottom w:val="single" w:sz="4" w:space="0" w:color="auto"/>
              <w:right w:val="single" w:sz="4" w:space="0" w:color="auto"/>
            </w:tcBorders>
          </w:tcPr>
          <w:p w14:paraId="6887C3D2" w14:textId="43E8603C" w:rsidR="007104B7" w:rsidRPr="00B94017" w:rsidRDefault="007104B7" w:rsidP="007104B7">
            <w:pPr>
              <w:jc w:val="right"/>
              <w:rPr>
                <w:rFonts w:ascii="Arial" w:hAnsi="Arial" w:cs="Arial"/>
                <w:color w:val="000000"/>
                <w:sz w:val="18"/>
                <w:szCs w:val="18"/>
              </w:rPr>
            </w:pPr>
            <w:r>
              <w:rPr>
                <w:rFonts w:ascii="Arial" w:hAnsi="Arial" w:cs="Arial"/>
                <w:color w:val="000000"/>
                <w:sz w:val="18"/>
                <w:szCs w:val="18"/>
              </w:rPr>
              <w:t>302,560,000</w:t>
            </w:r>
          </w:p>
        </w:tc>
        <w:tc>
          <w:tcPr>
            <w:tcW w:w="1337" w:type="dxa"/>
            <w:tcBorders>
              <w:top w:val="nil"/>
              <w:left w:val="nil"/>
              <w:bottom w:val="single" w:sz="4" w:space="0" w:color="auto"/>
              <w:right w:val="single" w:sz="4" w:space="0" w:color="auto"/>
            </w:tcBorders>
          </w:tcPr>
          <w:p w14:paraId="61953AFE" w14:textId="44C0C81F" w:rsidR="007104B7" w:rsidRDefault="007104B7" w:rsidP="007104B7">
            <w:pPr>
              <w:jc w:val="right"/>
              <w:rPr>
                <w:rFonts w:ascii="Arial" w:hAnsi="Arial" w:cs="Arial"/>
                <w:color w:val="000000"/>
                <w:sz w:val="18"/>
                <w:szCs w:val="18"/>
              </w:rPr>
            </w:pPr>
          </w:p>
        </w:tc>
        <w:tc>
          <w:tcPr>
            <w:tcW w:w="1304" w:type="dxa"/>
            <w:tcBorders>
              <w:top w:val="nil"/>
              <w:left w:val="nil"/>
              <w:bottom w:val="single" w:sz="4" w:space="0" w:color="auto"/>
              <w:right w:val="single" w:sz="4" w:space="0" w:color="auto"/>
            </w:tcBorders>
          </w:tcPr>
          <w:p w14:paraId="64AA9FA1" w14:textId="36212D9A" w:rsidR="007104B7" w:rsidRDefault="007104B7" w:rsidP="007104B7">
            <w:pPr>
              <w:jc w:val="right"/>
              <w:rPr>
                <w:rFonts w:ascii="Arial" w:hAnsi="Arial" w:cs="Arial"/>
                <w:color w:val="000000"/>
                <w:sz w:val="18"/>
                <w:szCs w:val="18"/>
              </w:rPr>
            </w:pPr>
          </w:p>
        </w:tc>
      </w:tr>
      <w:tr w:rsidR="007104B7" w:rsidRPr="00301088" w14:paraId="4EAC38C1" w14:textId="00BACF64" w:rsidTr="00966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668" w:type="dxa"/>
            <w:tcBorders>
              <w:top w:val="single" w:sz="4" w:space="0" w:color="auto"/>
              <w:left w:val="single" w:sz="4" w:space="0" w:color="auto"/>
              <w:bottom w:val="nil"/>
              <w:right w:val="nil"/>
            </w:tcBorders>
            <w:shd w:val="clear" w:color="auto" w:fill="auto"/>
            <w:noWrap/>
            <w:vAlign w:val="center"/>
            <w:hideMark/>
          </w:tcPr>
          <w:p w14:paraId="5B846A87" w14:textId="77777777" w:rsidR="007104B7" w:rsidRPr="00B94017" w:rsidRDefault="007104B7" w:rsidP="007104B7">
            <w:pPr>
              <w:rPr>
                <w:rFonts w:ascii="Arial" w:hAnsi="Arial" w:cs="Arial"/>
                <w:color w:val="000000"/>
                <w:sz w:val="18"/>
                <w:szCs w:val="18"/>
              </w:rPr>
            </w:pPr>
            <w:r w:rsidRPr="00B94017">
              <w:rPr>
                <w:rFonts w:ascii="Arial" w:hAnsi="Arial" w:cs="Arial"/>
                <w:color w:val="000000"/>
                <w:sz w:val="18"/>
                <w:szCs w:val="18"/>
              </w:rPr>
              <w:t xml:space="preserve">       Instruction</w:t>
            </w:r>
          </w:p>
        </w:tc>
        <w:tc>
          <w:tcPr>
            <w:tcW w:w="1337" w:type="dxa"/>
            <w:tcBorders>
              <w:top w:val="nil"/>
              <w:left w:val="single" w:sz="4" w:space="0" w:color="auto"/>
              <w:bottom w:val="nil"/>
              <w:right w:val="single" w:sz="4" w:space="0" w:color="auto"/>
            </w:tcBorders>
          </w:tcPr>
          <w:p w14:paraId="1C762E9F" w14:textId="0ED812CE" w:rsidR="007104B7" w:rsidRPr="00B94017" w:rsidRDefault="007104B7" w:rsidP="007104B7">
            <w:pPr>
              <w:jc w:val="right"/>
              <w:rPr>
                <w:rFonts w:ascii="Arial" w:hAnsi="Arial" w:cs="Arial"/>
                <w:color w:val="000000"/>
                <w:sz w:val="18"/>
                <w:szCs w:val="18"/>
              </w:rPr>
            </w:pPr>
            <w:r>
              <w:rPr>
                <w:rFonts w:ascii="Arial" w:hAnsi="Arial" w:cs="Arial"/>
                <w:color w:val="000000"/>
                <w:sz w:val="18"/>
                <w:szCs w:val="18"/>
              </w:rPr>
              <w:t>110,866,000</w:t>
            </w:r>
          </w:p>
        </w:tc>
        <w:tc>
          <w:tcPr>
            <w:tcW w:w="1424" w:type="dxa"/>
            <w:tcBorders>
              <w:top w:val="nil"/>
              <w:left w:val="nil"/>
              <w:bottom w:val="nil"/>
              <w:right w:val="single" w:sz="4" w:space="0" w:color="auto"/>
            </w:tcBorders>
          </w:tcPr>
          <w:p w14:paraId="7CE740C1" w14:textId="0BA5E4F4" w:rsidR="007104B7" w:rsidRPr="00B94017" w:rsidRDefault="007104B7" w:rsidP="007104B7">
            <w:pPr>
              <w:jc w:val="right"/>
              <w:rPr>
                <w:rFonts w:ascii="Arial" w:hAnsi="Arial" w:cs="Arial"/>
                <w:color w:val="000000"/>
                <w:sz w:val="18"/>
                <w:szCs w:val="18"/>
              </w:rPr>
            </w:pPr>
            <w:r>
              <w:rPr>
                <w:rFonts w:ascii="Arial" w:hAnsi="Arial" w:cs="Arial"/>
                <w:color w:val="000000"/>
                <w:sz w:val="18"/>
                <w:szCs w:val="18"/>
              </w:rPr>
              <w:t>121,631,000</w:t>
            </w:r>
          </w:p>
        </w:tc>
        <w:tc>
          <w:tcPr>
            <w:tcW w:w="1337" w:type="dxa"/>
            <w:tcBorders>
              <w:top w:val="nil"/>
              <w:left w:val="nil"/>
              <w:bottom w:val="nil"/>
              <w:right w:val="single" w:sz="4" w:space="0" w:color="auto"/>
            </w:tcBorders>
          </w:tcPr>
          <w:p w14:paraId="1FBB02FF" w14:textId="764D2A52" w:rsidR="007104B7" w:rsidRDefault="007104B7" w:rsidP="007104B7">
            <w:pPr>
              <w:jc w:val="right"/>
              <w:rPr>
                <w:rFonts w:ascii="Arial" w:hAnsi="Arial" w:cs="Arial"/>
                <w:color w:val="000000"/>
                <w:sz w:val="18"/>
                <w:szCs w:val="18"/>
              </w:rPr>
            </w:pPr>
          </w:p>
        </w:tc>
        <w:tc>
          <w:tcPr>
            <w:tcW w:w="1304" w:type="dxa"/>
            <w:tcBorders>
              <w:top w:val="nil"/>
              <w:left w:val="nil"/>
              <w:bottom w:val="nil"/>
              <w:right w:val="single" w:sz="4" w:space="0" w:color="auto"/>
            </w:tcBorders>
          </w:tcPr>
          <w:p w14:paraId="19B2D206" w14:textId="4824D98D" w:rsidR="007104B7" w:rsidRDefault="007104B7" w:rsidP="007104B7">
            <w:pPr>
              <w:jc w:val="right"/>
              <w:rPr>
                <w:rFonts w:ascii="Arial" w:hAnsi="Arial" w:cs="Arial"/>
                <w:color w:val="000000"/>
                <w:sz w:val="18"/>
                <w:szCs w:val="18"/>
              </w:rPr>
            </w:pPr>
          </w:p>
        </w:tc>
      </w:tr>
      <w:tr w:rsidR="007104B7" w:rsidRPr="00301088" w14:paraId="689508B3" w14:textId="7C2FE779" w:rsidTr="00966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668" w:type="dxa"/>
            <w:tcBorders>
              <w:top w:val="nil"/>
              <w:left w:val="single" w:sz="4" w:space="0" w:color="auto"/>
              <w:bottom w:val="nil"/>
              <w:right w:val="nil"/>
            </w:tcBorders>
            <w:shd w:val="clear" w:color="auto" w:fill="auto"/>
            <w:noWrap/>
            <w:vAlign w:val="center"/>
            <w:hideMark/>
          </w:tcPr>
          <w:p w14:paraId="400A1BB4" w14:textId="77777777" w:rsidR="007104B7" w:rsidRPr="00B94017" w:rsidRDefault="007104B7" w:rsidP="007104B7">
            <w:pPr>
              <w:rPr>
                <w:rFonts w:ascii="Arial" w:hAnsi="Arial" w:cs="Arial"/>
                <w:color w:val="000000"/>
                <w:sz w:val="18"/>
                <w:szCs w:val="18"/>
              </w:rPr>
            </w:pPr>
            <w:r w:rsidRPr="00B94017">
              <w:rPr>
                <w:rFonts w:ascii="Arial" w:hAnsi="Arial" w:cs="Arial"/>
                <w:color w:val="000000"/>
                <w:sz w:val="18"/>
                <w:szCs w:val="18"/>
              </w:rPr>
              <w:lastRenderedPageBreak/>
              <w:t xml:space="preserve">       Research</w:t>
            </w:r>
          </w:p>
        </w:tc>
        <w:tc>
          <w:tcPr>
            <w:tcW w:w="1337" w:type="dxa"/>
            <w:tcBorders>
              <w:top w:val="nil"/>
              <w:left w:val="single" w:sz="4" w:space="0" w:color="auto"/>
              <w:bottom w:val="nil"/>
              <w:right w:val="single" w:sz="4" w:space="0" w:color="auto"/>
            </w:tcBorders>
          </w:tcPr>
          <w:p w14:paraId="3AF10B49" w14:textId="6A70B4DC" w:rsidR="007104B7" w:rsidRPr="00B94017" w:rsidRDefault="007104B7" w:rsidP="007104B7">
            <w:pPr>
              <w:jc w:val="right"/>
              <w:rPr>
                <w:rFonts w:ascii="Arial" w:hAnsi="Arial" w:cs="Arial"/>
                <w:color w:val="000000"/>
                <w:sz w:val="18"/>
                <w:szCs w:val="18"/>
              </w:rPr>
            </w:pPr>
            <w:r>
              <w:rPr>
                <w:rFonts w:ascii="Arial" w:hAnsi="Arial" w:cs="Arial"/>
                <w:color w:val="000000"/>
                <w:sz w:val="18"/>
                <w:szCs w:val="18"/>
              </w:rPr>
              <w:t>15,082,000</w:t>
            </w:r>
          </w:p>
        </w:tc>
        <w:tc>
          <w:tcPr>
            <w:tcW w:w="1424" w:type="dxa"/>
            <w:tcBorders>
              <w:top w:val="nil"/>
              <w:left w:val="nil"/>
              <w:bottom w:val="nil"/>
              <w:right w:val="single" w:sz="4" w:space="0" w:color="auto"/>
            </w:tcBorders>
          </w:tcPr>
          <w:p w14:paraId="4C4AB1D5" w14:textId="5FBCB764" w:rsidR="007104B7" w:rsidRPr="00B94017" w:rsidRDefault="007104B7" w:rsidP="007104B7">
            <w:pPr>
              <w:jc w:val="right"/>
              <w:rPr>
                <w:rFonts w:ascii="Arial" w:hAnsi="Arial" w:cs="Arial"/>
                <w:color w:val="000000"/>
                <w:sz w:val="18"/>
                <w:szCs w:val="18"/>
              </w:rPr>
            </w:pPr>
            <w:r>
              <w:rPr>
                <w:rFonts w:ascii="Arial" w:hAnsi="Arial" w:cs="Arial"/>
                <w:color w:val="000000"/>
                <w:sz w:val="18"/>
                <w:szCs w:val="18"/>
              </w:rPr>
              <w:t>16,085,000</w:t>
            </w:r>
          </w:p>
        </w:tc>
        <w:tc>
          <w:tcPr>
            <w:tcW w:w="1337" w:type="dxa"/>
            <w:tcBorders>
              <w:top w:val="nil"/>
              <w:left w:val="nil"/>
              <w:bottom w:val="nil"/>
              <w:right w:val="single" w:sz="4" w:space="0" w:color="auto"/>
            </w:tcBorders>
          </w:tcPr>
          <w:p w14:paraId="062FE077" w14:textId="65D46BEA" w:rsidR="007104B7" w:rsidRDefault="007104B7" w:rsidP="007104B7">
            <w:pPr>
              <w:jc w:val="right"/>
              <w:rPr>
                <w:rFonts w:ascii="Arial" w:hAnsi="Arial" w:cs="Arial"/>
                <w:color w:val="000000"/>
                <w:sz w:val="18"/>
                <w:szCs w:val="18"/>
              </w:rPr>
            </w:pPr>
          </w:p>
        </w:tc>
        <w:tc>
          <w:tcPr>
            <w:tcW w:w="1304" w:type="dxa"/>
            <w:tcBorders>
              <w:top w:val="nil"/>
              <w:left w:val="nil"/>
              <w:bottom w:val="nil"/>
              <w:right w:val="single" w:sz="4" w:space="0" w:color="auto"/>
            </w:tcBorders>
          </w:tcPr>
          <w:p w14:paraId="54D01A9C" w14:textId="63A45FC6" w:rsidR="007104B7" w:rsidRDefault="007104B7" w:rsidP="007104B7">
            <w:pPr>
              <w:jc w:val="right"/>
              <w:rPr>
                <w:rFonts w:ascii="Arial" w:hAnsi="Arial" w:cs="Arial"/>
                <w:color w:val="000000"/>
                <w:sz w:val="18"/>
                <w:szCs w:val="18"/>
              </w:rPr>
            </w:pPr>
          </w:p>
        </w:tc>
      </w:tr>
      <w:tr w:rsidR="007104B7" w:rsidRPr="00301088" w14:paraId="774265FC" w14:textId="4E99A877" w:rsidTr="00966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668" w:type="dxa"/>
            <w:tcBorders>
              <w:top w:val="nil"/>
              <w:left w:val="single" w:sz="4" w:space="0" w:color="auto"/>
              <w:bottom w:val="nil"/>
              <w:right w:val="nil"/>
            </w:tcBorders>
            <w:shd w:val="clear" w:color="auto" w:fill="auto"/>
            <w:noWrap/>
            <w:vAlign w:val="center"/>
            <w:hideMark/>
          </w:tcPr>
          <w:p w14:paraId="387BB071" w14:textId="77777777" w:rsidR="007104B7" w:rsidRPr="00B94017" w:rsidRDefault="007104B7" w:rsidP="007104B7">
            <w:pPr>
              <w:rPr>
                <w:rFonts w:ascii="Arial" w:hAnsi="Arial" w:cs="Arial"/>
                <w:color w:val="000000"/>
                <w:sz w:val="18"/>
                <w:szCs w:val="18"/>
              </w:rPr>
            </w:pPr>
            <w:r w:rsidRPr="00B94017">
              <w:rPr>
                <w:rFonts w:ascii="Arial" w:hAnsi="Arial" w:cs="Arial"/>
                <w:color w:val="000000"/>
                <w:sz w:val="18"/>
                <w:szCs w:val="18"/>
              </w:rPr>
              <w:t xml:space="preserve">       Public Services</w:t>
            </w:r>
          </w:p>
        </w:tc>
        <w:tc>
          <w:tcPr>
            <w:tcW w:w="1337" w:type="dxa"/>
            <w:tcBorders>
              <w:top w:val="nil"/>
              <w:left w:val="single" w:sz="4" w:space="0" w:color="auto"/>
              <w:bottom w:val="nil"/>
              <w:right w:val="single" w:sz="4" w:space="0" w:color="auto"/>
            </w:tcBorders>
          </w:tcPr>
          <w:p w14:paraId="5591DEA1" w14:textId="39737DD1" w:rsidR="007104B7" w:rsidRPr="00B94017" w:rsidRDefault="007104B7" w:rsidP="007104B7">
            <w:pPr>
              <w:jc w:val="right"/>
              <w:rPr>
                <w:rFonts w:ascii="Arial" w:hAnsi="Arial" w:cs="Arial"/>
                <w:color w:val="000000"/>
                <w:sz w:val="18"/>
                <w:szCs w:val="18"/>
              </w:rPr>
            </w:pPr>
            <w:r>
              <w:rPr>
                <w:rFonts w:ascii="Arial" w:hAnsi="Arial" w:cs="Arial"/>
                <w:color w:val="000000"/>
                <w:sz w:val="18"/>
                <w:szCs w:val="18"/>
              </w:rPr>
              <w:t>9,747,000</w:t>
            </w:r>
          </w:p>
        </w:tc>
        <w:tc>
          <w:tcPr>
            <w:tcW w:w="1424" w:type="dxa"/>
            <w:tcBorders>
              <w:top w:val="nil"/>
              <w:left w:val="nil"/>
              <w:bottom w:val="nil"/>
              <w:right w:val="single" w:sz="4" w:space="0" w:color="auto"/>
            </w:tcBorders>
          </w:tcPr>
          <w:p w14:paraId="5816A19A" w14:textId="291B258F" w:rsidR="007104B7" w:rsidRPr="00B94017" w:rsidRDefault="007104B7" w:rsidP="007104B7">
            <w:pPr>
              <w:jc w:val="right"/>
              <w:rPr>
                <w:rFonts w:ascii="Arial" w:hAnsi="Arial" w:cs="Arial"/>
                <w:color w:val="000000"/>
                <w:sz w:val="18"/>
                <w:szCs w:val="18"/>
              </w:rPr>
            </w:pPr>
            <w:r>
              <w:rPr>
                <w:rFonts w:ascii="Arial" w:hAnsi="Arial" w:cs="Arial"/>
                <w:color w:val="000000"/>
                <w:sz w:val="18"/>
                <w:szCs w:val="18"/>
              </w:rPr>
              <w:t>13,906,000</w:t>
            </w:r>
          </w:p>
        </w:tc>
        <w:tc>
          <w:tcPr>
            <w:tcW w:w="1337" w:type="dxa"/>
            <w:tcBorders>
              <w:top w:val="nil"/>
              <w:left w:val="nil"/>
              <w:bottom w:val="nil"/>
              <w:right w:val="single" w:sz="4" w:space="0" w:color="auto"/>
            </w:tcBorders>
          </w:tcPr>
          <w:p w14:paraId="530426CD" w14:textId="117CB2DF" w:rsidR="007104B7" w:rsidRDefault="007104B7" w:rsidP="007104B7">
            <w:pPr>
              <w:jc w:val="right"/>
              <w:rPr>
                <w:rFonts w:ascii="Arial" w:hAnsi="Arial" w:cs="Arial"/>
                <w:color w:val="000000"/>
                <w:sz w:val="18"/>
                <w:szCs w:val="18"/>
              </w:rPr>
            </w:pPr>
          </w:p>
        </w:tc>
        <w:tc>
          <w:tcPr>
            <w:tcW w:w="1304" w:type="dxa"/>
            <w:tcBorders>
              <w:top w:val="nil"/>
              <w:left w:val="nil"/>
              <w:bottom w:val="nil"/>
              <w:right w:val="single" w:sz="4" w:space="0" w:color="auto"/>
            </w:tcBorders>
          </w:tcPr>
          <w:p w14:paraId="77E0B63E" w14:textId="6B0A7325" w:rsidR="007104B7" w:rsidRDefault="007104B7" w:rsidP="007104B7">
            <w:pPr>
              <w:jc w:val="right"/>
              <w:rPr>
                <w:rFonts w:ascii="Arial" w:hAnsi="Arial" w:cs="Arial"/>
                <w:color w:val="000000"/>
                <w:sz w:val="18"/>
                <w:szCs w:val="18"/>
              </w:rPr>
            </w:pPr>
          </w:p>
        </w:tc>
      </w:tr>
      <w:tr w:rsidR="007104B7" w:rsidRPr="00301088" w14:paraId="36916ABB" w14:textId="02BC60A3" w:rsidTr="00966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668" w:type="dxa"/>
            <w:tcBorders>
              <w:top w:val="nil"/>
              <w:left w:val="single" w:sz="4" w:space="0" w:color="auto"/>
              <w:bottom w:val="nil"/>
              <w:right w:val="nil"/>
            </w:tcBorders>
            <w:shd w:val="clear" w:color="auto" w:fill="auto"/>
            <w:noWrap/>
            <w:vAlign w:val="center"/>
            <w:hideMark/>
          </w:tcPr>
          <w:p w14:paraId="494F7AF8" w14:textId="77777777" w:rsidR="007104B7" w:rsidRPr="00B94017" w:rsidRDefault="007104B7" w:rsidP="007104B7">
            <w:pPr>
              <w:rPr>
                <w:rFonts w:ascii="Arial" w:hAnsi="Arial" w:cs="Arial"/>
                <w:color w:val="000000"/>
                <w:sz w:val="18"/>
                <w:szCs w:val="18"/>
              </w:rPr>
            </w:pPr>
            <w:r w:rsidRPr="00B94017">
              <w:rPr>
                <w:rFonts w:ascii="Arial" w:hAnsi="Arial" w:cs="Arial"/>
                <w:color w:val="000000"/>
                <w:sz w:val="18"/>
                <w:szCs w:val="18"/>
              </w:rPr>
              <w:t xml:space="preserve">       Academic Support</w:t>
            </w:r>
          </w:p>
        </w:tc>
        <w:tc>
          <w:tcPr>
            <w:tcW w:w="1337" w:type="dxa"/>
            <w:tcBorders>
              <w:top w:val="nil"/>
              <w:left w:val="single" w:sz="4" w:space="0" w:color="auto"/>
              <w:bottom w:val="nil"/>
              <w:right w:val="single" w:sz="4" w:space="0" w:color="auto"/>
            </w:tcBorders>
          </w:tcPr>
          <w:p w14:paraId="007B57F7" w14:textId="6E2A181C" w:rsidR="007104B7" w:rsidRPr="00B94017" w:rsidRDefault="007104B7" w:rsidP="007104B7">
            <w:pPr>
              <w:jc w:val="right"/>
              <w:rPr>
                <w:rFonts w:ascii="Arial" w:hAnsi="Arial" w:cs="Arial"/>
                <w:color w:val="000000"/>
                <w:sz w:val="18"/>
                <w:szCs w:val="18"/>
              </w:rPr>
            </w:pPr>
            <w:r>
              <w:rPr>
                <w:rFonts w:ascii="Arial" w:hAnsi="Arial" w:cs="Arial"/>
                <w:color w:val="000000"/>
                <w:sz w:val="18"/>
                <w:szCs w:val="18"/>
              </w:rPr>
              <w:t>17,606,000</w:t>
            </w:r>
          </w:p>
        </w:tc>
        <w:tc>
          <w:tcPr>
            <w:tcW w:w="1424" w:type="dxa"/>
            <w:tcBorders>
              <w:top w:val="nil"/>
              <w:left w:val="nil"/>
              <w:bottom w:val="nil"/>
              <w:right w:val="single" w:sz="4" w:space="0" w:color="auto"/>
            </w:tcBorders>
          </w:tcPr>
          <w:p w14:paraId="16EA537C" w14:textId="7823BB46" w:rsidR="007104B7" w:rsidRPr="00B94017" w:rsidRDefault="007104B7" w:rsidP="007104B7">
            <w:pPr>
              <w:jc w:val="right"/>
              <w:rPr>
                <w:rFonts w:ascii="Arial" w:hAnsi="Arial" w:cs="Arial"/>
                <w:color w:val="000000"/>
                <w:sz w:val="18"/>
                <w:szCs w:val="18"/>
              </w:rPr>
            </w:pPr>
            <w:r>
              <w:rPr>
                <w:rFonts w:ascii="Arial" w:hAnsi="Arial" w:cs="Arial"/>
                <w:color w:val="000000"/>
                <w:sz w:val="18"/>
                <w:szCs w:val="18"/>
              </w:rPr>
              <w:t>19,770,000</w:t>
            </w:r>
          </w:p>
        </w:tc>
        <w:tc>
          <w:tcPr>
            <w:tcW w:w="1337" w:type="dxa"/>
            <w:tcBorders>
              <w:top w:val="nil"/>
              <w:left w:val="nil"/>
              <w:bottom w:val="nil"/>
              <w:right w:val="single" w:sz="4" w:space="0" w:color="auto"/>
            </w:tcBorders>
          </w:tcPr>
          <w:p w14:paraId="0CEB0C14" w14:textId="0DD46E0F" w:rsidR="007104B7" w:rsidRDefault="007104B7" w:rsidP="007104B7">
            <w:pPr>
              <w:jc w:val="right"/>
              <w:rPr>
                <w:rFonts w:ascii="Arial" w:hAnsi="Arial" w:cs="Arial"/>
                <w:color w:val="000000"/>
                <w:sz w:val="18"/>
                <w:szCs w:val="18"/>
              </w:rPr>
            </w:pPr>
          </w:p>
        </w:tc>
        <w:tc>
          <w:tcPr>
            <w:tcW w:w="1304" w:type="dxa"/>
            <w:tcBorders>
              <w:top w:val="nil"/>
              <w:left w:val="nil"/>
              <w:bottom w:val="nil"/>
              <w:right w:val="single" w:sz="4" w:space="0" w:color="auto"/>
            </w:tcBorders>
          </w:tcPr>
          <w:p w14:paraId="0FD4074A" w14:textId="2479F915" w:rsidR="007104B7" w:rsidRDefault="007104B7" w:rsidP="007104B7">
            <w:pPr>
              <w:jc w:val="right"/>
              <w:rPr>
                <w:rFonts w:ascii="Arial" w:hAnsi="Arial" w:cs="Arial"/>
                <w:color w:val="000000"/>
                <w:sz w:val="18"/>
                <w:szCs w:val="18"/>
              </w:rPr>
            </w:pPr>
          </w:p>
        </w:tc>
      </w:tr>
      <w:tr w:rsidR="007104B7" w:rsidRPr="00301088" w14:paraId="041274E8" w14:textId="54284C98" w:rsidTr="00966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668" w:type="dxa"/>
            <w:tcBorders>
              <w:top w:val="nil"/>
              <w:left w:val="single" w:sz="4" w:space="0" w:color="auto"/>
              <w:bottom w:val="nil"/>
              <w:right w:val="nil"/>
            </w:tcBorders>
            <w:shd w:val="clear" w:color="auto" w:fill="auto"/>
            <w:noWrap/>
            <w:vAlign w:val="center"/>
            <w:hideMark/>
          </w:tcPr>
          <w:p w14:paraId="03B84D22" w14:textId="77777777" w:rsidR="007104B7" w:rsidRPr="00B94017" w:rsidRDefault="007104B7" w:rsidP="007104B7">
            <w:pPr>
              <w:rPr>
                <w:rFonts w:ascii="Arial" w:hAnsi="Arial" w:cs="Arial"/>
                <w:color w:val="000000"/>
                <w:sz w:val="18"/>
                <w:szCs w:val="18"/>
              </w:rPr>
            </w:pPr>
            <w:r w:rsidRPr="00B94017">
              <w:rPr>
                <w:rFonts w:ascii="Arial" w:hAnsi="Arial" w:cs="Arial"/>
                <w:color w:val="000000"/>
                <w:sz w:val="18"/>
                <w:szCs w:val="18"/>
              </w:rPr>
              <w:t xml:space="preserve">       Libraries</w:t>
            </w:r>
          </w:p>
        </w:tc>
        <w:tc>
          <w:tcPr>
            <w:tcW w:w="1337" w:type="dxa"/>
            <w:tcBorders>
              <w:top w:val="nil"/>
              <w:left w:val="single" w:sz="4" w:space="0" w:color="auto"/>
              <w:bottom w:val="nil"/>
              <w:right w:val="single" w:sz="4" w:space="0" w:color="auto"/>
            </w:tcBorders>
          </w:tcPr>
          <w:p w14:paraId="4F984FA9" w14:textId="6BEF0DBB" w:rsidR="007104B7" w:rsidRPr="00B94017" w:rsidRDefault="007104B7" w:rsidP="007104B7">
            <w:pPr>
              <w:jc w:val="right"/>
              <w:rPr>
                <w:rFonts w:ascii="Arial" w:hAnsi="Arial" w:cs="Arial"/>
                <w:color w:val="000000"/>
                <w:sz w:val="18"/>
                <w:szCs w:val="18"/>
              </w:rPr>
            </w:pPr>
            <w:r>
              <w:rPr>
                <w:rFonts w:ascii="Arial" w:hAnsi="Arial" w:cs="Arial"/>
                <w:color w:val="000000"/>
                <w:sz w:val="18"/>
                <w:szCs w:val="18"/>
              </w:rPr>
              <w:t>3,422,000</w:t>
            </w:r>
          </w:p>
        </w:tc>
        <w:tc>
          <w:tcPr>
            <w:tcW w:w="1424" w:type="dxa"/>
            <w:tcBorders>
              <w:top w:val="nil"/>
              <w:left w:val="nil"/>
              <w:bottom w:val="nil"/>
              <w:right w:val="single" w:sz="4" w:space="0" w:color="auto"/>
            </w:tcBorders>
          </w:tcPr>
          <w:p w14:paraId="2134DD17" w14:textId="7C3EC972" w:rsidR="007104B7" w:rsidRPr="00B94017" w:rsidRDefault="007104B7" w:rsidP="007104B7">
            <w:pPr>
              <w:jc w:val="right"/>
              <w:rPr>
                <w:rFonts w:ascii="Arial" w:hAnsi="Arial" w:cs="Arial"/>
                <w:color w:val="000000"/>
                <w:sz w:val="18"/>
                <w:szCs w:val="18"/>
              </w:rPr>
            </w:pPr>
            <w:r>
              <w:rPr>
                <w:rFonts w:ascii="Arial" w:hAnsi="Arial" w:cs="Arial"/>
                <w:color w:val="000000"/>
                <w:sz w:val="18"/>
                <w:szCs w:val="18"/>
              </w:rPr>
              <w:t>3,746,000</w:t>
            </w:r>
          </w:p>
        </w:tc>
        <w:tc>
          <w:tcPr>
            <w:tcW w:w="1337" w:type="dxa"/>
            <w:tcBorders>
              <w:top w:val="nil"/>
              <w:left w:val="nil"/>
              <w:bottom w:val="nil"/>
              <w:right w:val="single" w:sz="4" w:space="0" w:color="auto"/>
            </w:tcBorders>
          </w:tcPr>
          <w:p w14:paraId="65D69381" w14:textId="0FC304D1" w:rsidR="007104B7" w:rsidRDefault="007104B7" w:rsidP="007104B7">
            <w:pPr>
              <w:jc w:val="right"/>
              <w:rPr>
                <w:rFonts w:ascii="Arial" w:hAnsi="Arial" w:cs="Arial"/>
                <w:color w:val="000000"/>
                <w:sz w:val="18"/>
                <w:szCs w:val="18"/>
              </w:rPr>
            </w:pPr>
          </w:p>
        </w:tc>
        <w:tc>
          <w:tcPr>
            <w:tcW w:w="1304" w:type="dxa"/>
            <w:tcBorders>
              <w:top w:val="nil"/>
              <w:left w:val="nil"/>
              <w:bottom w:val="nil"/>
              <w:right w:val="single" w:sz="4" w:space="0" w:color="auto"/>
            </w:tcBorders>
          </w:tcPr>
          <w:p w14:paraId="290F423B" w14:textId="124561AC" w:rsidR="007104B7" w:rsidRDefault="007104B7" w:rsidP="007104B7">
            <w:pPr>
              <w:jc w:val="right"/>
              <w:rPr>
                <w:rFonts w:ascii="Arial" w:hAnsi="Arial" w:cs="Arial"/>
                <w:color w:val="000000"/>
                <w:sz w:val="18"/>
                <w:szCs w:val="18"/>
              </w:rPr>
            </w:pPr>
          </w:p>
        </w:tc>
      </w:tr>
      <w:tr w:rsidR="007104B7" w:rsidRPr="00301088" w14:paraId="4DE6B78F" w14:textId="496C9133" w:rsidTr="00966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668" w:type="dxa"/>
            <w:tcBorders>
              <w:top w:val="nil"/>
              <w:left w:val="single" w:sz="4" w:space="0" w:color="auto"/>
              <w:bottom w:val="nil"/>
              <w:right w:val="nil"/>
            </w:tcBorders>
            <w:shd w:val="clear" w:color="auto" w:fill="auto"/>
            <w:noWrap/>
            <w:vAlign w:val="center"/>
            <w:hideMark/>
          </w:tcPr>
          <w:p w14:paraId="531B8893" w14:textId="77777777" w:rsidR="007104B7" w:rsidRPr="00B94017" w:rsidRDefault="007104B7" w:rsidP="007104B7">
            <w:pPr>
              <w:rPr>
                <w:rFonts w:ascii="Arial" w:hAnsi="Arial" w:cs="Arial"/>
                <w:color w:val="000000"/>
                <w:sz w:val="18"/>
                <w:szCs w:val="18"/>
              </w:rPr>
            </w:pPr>
            <w:r w:rsidRPr="00B94017">
              <w:rPr>
                <w:rFonts w:ascii="Arial" w:hAnsi="Arial" w:cs="Arial"/>
                <w:color w:val="000000"/>
                <w:sz w:val="18"/>
                <w:szCs w:val="18"/>
              </w:rPr>
              <w:t xml:space="preserve">       Student Services</w:t>
            </w:r>
          </w:p>
        </w:tc>
        <w:tc>
          <w:tcPr>
            <w:tcW w:w="1337" w:type="dxa"/>
            <w:tcBorders>
              <w:top w:val="nil"/>
              <w:left w:val="single" w:sz="4" w:space="0" w:color="auto"/>
              <w:bottom w:val="nil"/>
              <w:right w:val="single" w:sz="4" w:space="0" w:color="auto"/>
            </w:tcBorders>
          </w:tcPr>
          <w:p w14:paraId="33FCA27B" w14:textId="5882BABF" w:rsidR="007104B7" w:rsidRPr="00B94017" w:rsidRDefault="007104B7" w:rsidP="007104B7">
            <w:pPr>
              <w:jc w:val="right"/>
              <w:rPr>
                <w:rFonts w:ascii="Arial" w:hAnsi="Arial" w:cs="Arial"/>
                <w:color w:val="000000"/>
                <w:sz w:val="18"/>
                <w:szCs w:val="18"/>
              </w:rPr>
            </w:pPr>
            <w:r>
              <w:rPr>
                <w:rFonts w:ascii="Arial" w:hAnsi="Arial" w:cs="Arial"/>
                <w:color w:val="000000"/>
                <w:sz w:val="18"/>
                <w:szCs w:val="18"/>
              </w:rPr>
              <w:t>13,065,000</w:t>
            </w:r>
          </w:p>
        </w:tc>
        <w:tc>
          <w:tcPr>
            <w:tcW w:w="1424" w:type="dxa"/>
            <w:tcBorders>
              <w:top w:val="nil"/>
              <w:left w:val="nil"/>
              <w:bottom w:val="nil"/>
              <w:right w:val="single" w:sz="4" w:space="0" w:color="auto"/>
            </w:tcBorders>
          </w:tcPr>
          <w:p w14:paraId="7DF2279D" w14:textId="683DCB4F" w:rsidR="007104B7" w:rsidRPr="00B94017" w:rsidRDefault="007104B7" w:rsidP="007104B7">
            <w:pPr>
              <w:jc w:val="right"/>
              <w:rPr>
                <w:rFonts w:ascii="Arial" w:hAnsi="Arial" w:cs="Arial"/>
                <w:color w:val="000000"/>
                <w:sz w:val="18"/>
                <w:szCs w:val="18"/>
              </w:rPr>
            </w:pPr>
            <w:r>
              <w:rPr>
                <w:rFonts w:ascii="Arial" w:hAnsi="Arial" w:cs="Arial"/>
                <w:color w:val="000000"/>
                <w:sz w:val="18"/>
                <w:szCs w:val="18"/>
              </w:rPr>
              <w:t>14,468,000</w:t>
            </w:r>
          </w:p>
        </w:tc>
        <w:tc>
          <w:tcPr>
            <w:tcW w:w="1337" w:type="dxa"/>
            <w:tcBorders>
              <w:top w:val="nil"/>
              <w:left w:val="nil"/>
              <w:bottom w:val="nil"/>
              <w:right w:val="single" w:sz="4" w:space="0" w:color="auto"/>
            </w:tcBorders>
          </w:tcPr>
          <w:p w14:paraId="49DAE9FE" w14:textId="25AD9381" w:rsidR="007104B7" w:rsidRDefault="007104B7" w:rsidP="007104B7">
            <w:pPr>
              <w:jc w:val="right"/>
              <w:rPr>
                <w:rFonts w:ascii="Arial" w:hAnsi="Arial" w:cs="Arial"/>
                <w:color w:val="000000"/>
                <w:sz w:val="18"/>
                <w:szCs w:val="18"/>
              </w:rPr>
            </w:pPr>
          </w:p>
        </w:tc>
        <w:tc>
          <w:tcPr>
            <w:tcW w:w="1304" w:type="dxa"/>
            <w:tcBorders>
              <w:top w:val="nil"/>
              <w:left w:val="nil"/>
              <w:bottom w:val="nil"/>
              <w:right w:val="single" w:sz="4" w:space="0" w:color="auto"/>
            </w:tcBorders>
          </w:tcPr>
          <w:p w14:paraId="650B1B1B" w14:textId="536591F4" w:rsidR="007104B7" w:rsidRDefault="007104B7" w:rsidP="007104B7">
            <w:pPr>
              <w:jc w:val="right"/>
              <w:rPr>
                <w:rFonts w:ascii="Arial" w:hAnsi="Arial" w:cs="Arial"/>
                <w:color w:val="000000"/>
                <w:sz w:val="18"/>
                <w:szCs w:val="18"/>
              </w:rPr>
            </w:pPr>
          </w:p>
        </w:tc>
      </w:tr>
      <w:tr w:rsidR="007104B7" w:rsidRPr="00301088" w14:paraId="216AD0FC" w14:textId="761BC2E2" w:rsidTr="00966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668" w:type="dxa"/>
            <w:tcBorders>
              <w:top w:val="nil"/>
              <w:left w:val="single" w:sz="4" w:space="0" w:color="auto"/>
              <w:bottom w:val="nil"/>
              <w:right w:val="nil"/>
            </w:tcBorders>
            <w:shd w:val="clear" w:color="auto" w:fill="auto"/>
            <w:noWrap/>
            <w:vAlign w:val="center"/>
            <w:hideMark/>
          </w:tcPr>
          <w:p w14:paraId="271CB6CD" w14:textId="77777777" w:rsidR="007104B7" w:rsidRPr="00B94017" w:rsidRDefault="007104B7" w:rsidP="007104B7">
            <w:pPr>
              <w:rPr>
                <w:rFonts w:ascii="Arial" w:hAnsi="Arial" w:cs="Arial"/>
                <w:color w:val="000000"/>
                <w:sz w:val="18"/>
                <w:szCs w:val="18"/>
              </w:rPr>
            </w:pPr>
            <w:r w:rsidRPr="00B94017">
              <w:rPr>
                <w:rFonts w:ascii="Arial" w:hAnsi="Arial" w:cs="Arial"/>
                <w:color w:val="000000"/>
                <w:sz w:val="18"/>
                <w:szCs w:val="18"/>
              </w:rPr>
              <w:t xml:space="preserve">       Institutional Support</w:t>
            </w:r>
          </w:p>
        </w:tc>
        <w:tc>
          <w:tcPr>
            <w:tcW w:w="1337" w:type="dxa"/>
            <w:tcBorders>
              <w:top w:val="nil"/>
              <w:left w:val="single" w:sz="4" w:space="0" w:color="auto"/>
              <w:bottom w:val="nil"/>
              <w:right w:val="single" w:sz="4" w:space="0" w:color="auto"/>
            </w:tcBorders>
          </w:tcPr>
          <w:p w14:paraId="06B6B91B" w14:textId="24568DBF" w:rsidR="007104B7" w:rsidRPr="00B94017" w:rsidRDefault="007104B7" w:rsidP="007104B7">
            <w:pPr>
              <w:jc w:val="right"/>
              <w:rPr>
                <w:rFonts w:ascii="Arial" w:hAnsi="Arial" w:cs="Arial"/>
                <w:color w:val="000000"/>
                <w:sz w:val="18"/>
                <w:szCs w:val="18"/>
              </w:rPr>
            </w:pPr>
            <w:r>
              <w:rPr>
                <w:rFonts w:ascii="Arial" w:hAnsi="Arial" w:cs="Arial"/>
                <w:color w:val="000000"/>
                <w:sz w:val="18"/>
                <w:szCs w:val="18"/>
              </w:rPr>
              <w:t>26,447,000</w:t>
            </w:r>
          </w:p>
        </w:tc>
        <w:tc>
          <w:tcPr>
            <w:tcW w:w="1424" w:type="dxa"/>
            <w:tcBorders>
              <w:top w:val="nil"/>
              <w:left w:val="nil"/>
              <w:bottom w:val="nil"/>
              <w:right w:val="single" w:sz="4" w:space="0" w:color="auto"/>
            </w:tcBorders>
          </w:tcPr>
          <w:p w14:paraId="2AE80093" w14:textId="3EA0B57B" w:rsidR="007104B7" w:rsidRPr="00B94017" w:rsidRDefault="007104B7" w:rsidP="007104B7">
            <w:pPr>
              <w:jc w:val="right"/>
              <w:rPr>
                <w:rFonts w:ascii="Arial" w:hAnsi="Arial" w:cs="Arial"/>
                <w:color w:val="000000"/>
                <w:sz w:val="18"/>
                <w:szCs w:val="18"/>
              </w:rPr>
            </w:pPr>
            <w:r>
              <w:rPr>
                <w:rFonts w:ascii="Arial" w:hAnsi="Arial" w:cs="Arial"/>
                <w:color w:val="000000"/>
                <w:sz w:val="18"/>
                <w:szCs w:val="18"/>
              </w:rPr>
              <w:t>35,825,000</w:t>
            </w:r>
          </w:p>
        </w:tc>
        <w:tc>
          <w:tcPr>
            <w:tcW w:w="1337" w:type="dxa"/>
            <w:tcBorders>
              <w:top w:val="nil"/>
              <w:left w:val="nil"/>
              <w:bottom w:val="nil"/>
              <w:right w:val="single" w:sz="4" w:space="0" w:color="auto"/>
            </w:tcBorders>
          </w:tcPr>
          <w:p w14:paraId="7EC48B19" w14:textId="365F02DB" w:rsidR="007104B7" w:rsidRDefault="007104B7" w:rsidP="007104B7">
            <w:pPr>
              <w:jc w:val="right"/>
              <w:rPr>
                <w:rFonts w:ascii="Arial" w:hAnsi="Arial" w:cs="Arial"/>
                <w:color w:val="000000"/>
                <w:sz w:val="18"/>
                <w:szCs w:val="18"/>
              </w:rPr>
            </w:pPr>
          </w:p>
        </w:tc>
        <w:tc>
          <w:tcPr>
            <w:tcW w:w="1304" w:type="dxa"/>
            <w:tcBorders>
              <w:top w:val="nil"/>
              <w:left w:val="nil"/>
              <w:bottom w:val="nil"/>
              <w:right w:val="single" w:sz="4" w:space="0" w:color="auto"/>
            </w:tcBorders>
          </w:tcPr>
          <w:p w14:paraId="22103D68" w14:textId="6F2FDE2A" w:rsidR="007104B7" w:rsidRDefault="007104B7" w:rsidP="007104B7">
            <w:pPr>
              <w:jc w:val="right"/>
              <w:rPr>
                <w:rFonts w:ascii="Arial" w:hAnsi="Arial" w:cs="Arial"/>
                <w:color w:val="000000"/>
                <w:sz w:val="18"/>
                <w:szCs w:val="18"/>
              </w:rPr>
            </w:pPr>
          </w:p>
        </w:tc>
      </w:tr>
      <w:tr w:rsidR="007104B7" w:rsidRPr="00301088" w14:paraId="5EE485C8" w14:textId="6410886F" w:rsidTr="00966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668" w:type="dxa"/>
            <w:tcBorders>
              <w:top w:val="nil"/>
              <w:left w:val="single" w:sz="4" w:space="0" w:color="auto"/>
              <w:bottom w:val="nil"/>
              <w:right w:val="nil"/>
            </w:tcBorders>
            <w:shd w:val="clear" w:color="auto" w:fill="auto"/>
            <w:noWrap/>
            <w:vAlign w:val="center"/>
            <w:hideMark/>
          </w:tcPr>
          <w:p w14:paraId="19E01543" w14:textId="77777777" w:rsidR="007104B7" w:rsidRPr="00B94017" w:rsidRDefault="007104B7" w:rsidP="007104B7">
            <w:pPr>
              <w:rPr>
                <w:rFonts w:ascii="Arial" w:hAnsi="Arial" w:cs="Arial"/>
                <w:color w:val="000000"/>
                <w:sz w:val="18"/>
                <w:szCs w:val="18"/>
              </w:rPr>
            </w:pPr>
            <w:r w:rsidRPr="00B94017">
              <w:rPr>
                <w:rFonts w:ascii="Arial" w:hAnsi="Arial" w:cs="Arial"/>
                <w:color w:val="000000"/>
                <w:sz w:val="18"/>
                <w:szCs w:val="18"/>
              </w:rPr>
              <w:t xml:space="preserve">       Maintenance &amp; Operations</w:t>
            </w:r>
          </w:p>
        </w:tc>
        <w:tc>
          <w:tcPr>
            <w:tcW w:w="1337" w:type="dxa"/>
            <w:tcBorders>
              <w:top w:val="nil"/>
              <w:left w:val="single" w:sz="4" w:space="0" w:color="auto"/>
              <w:bottom w:val="nil"/>
              <w:right w:val="single" w:sz="4" w:space="0" w:color="auto"/>
            </w:tcBorders>
          </w:tcPr>
          <w:p w14:paraId="619F953E" w14:textId="12FA24D2" w:rsidR="007104B7" w:rsidRPr="00B94017" w:rsidRDefault="007104B7" w:rsidP="007104B7">
            <w:pPr>
              <w:jc w:val="right"/>
              <w:rPr>
                <w:rFonts w:ascii="Arial" w:hAnsi="Arial" w:cs="Arial"/>
                <w:color w:val="000000"/>
                <w:sz w:val="18"/>
                <w:szCs w:val="18"/>
              </w:rPr>
            </w:pPr>
            <w:r>
              <w:rPr>
                <w:rFonts w:ascii="Arial" w:hAnsi="Arial" w:cs="Arial"/>
                <w:color w:val="000000"/>
                <w:sz w:val="18"/>
                <w:szCs w:val="18"/>
              </w:rPr>
              <w:t>17,347,000</w:t>
            </w:r>
          </w:p>
        </w:tc>
        <w:tc>
          <w:tcPr>
            <w:tcW w:w="1424" w:type="dxa"/>
            <w:tcBorders>
              <w:top w:val="nil"/>
              <w:left w:val="nil"/>
              <w:bottom w:val="nil"/>
              <w:right w:val="single" w:sz="4" w:space="0" w:color="auto"/>
            </w:tcBorders>
          </w:tcPr>
          <w:p w14:paraId="422D4CB5" w14:textId="76951F41" w:rsidR="007104B7" w:rsidRPr="00B94017" w:rsidRDefault="007104B7" w:rsidP="007104B7">
            <w:pPr>
              <w:jc w:val="right"/>
              <w:rPr>
                <w:rFonts w:ascii="Arial" w:hAnsi="Arial" w:cs="Arial"/>
                <w:color w:val="000000"/>
                <w:sz w:val="18"/>
                <w:szCs w:val="18"/>
              </w:rPr>
            </w:pPr>
            <w:r>
              <w:rPr>
                <w:rFonts w:ascii="Arial" w:hAnsi="Arial" w:cs="Arial"/>
                <w:color w:val="000000"/>
                <w:sz w:val="18"/>
                <w:szCs w:val="18"/>
              </w:rPr>
              <w:t>21,128,000</w:t>
            </w:r>
          </w:p>
        </w:tc>
        <w:tc>
          <w:tcPr>
            <w:tcW w:w="1337" w:type="dxa"/>
            <w:tcBorders>
              <w:top w:val="nil"/>
              <w:left w:val="nil"/>
              <w:bottom w:val="nil"/>
              <w:right w:val="single" w:sz="4" w:space="0" w:color="auto"/>
            </w:tcBorders>
          </w:tcPr>
          <w:p w14:paraId="44324B5F" w14:textId="51DCEB63" w:rsidR="007104B7" w:rsidRDefault="007104B7" w:rsidP="007104B7">
            <w:pPr>
              <w:jc w:val="right"/>
              <w:rPr>
                <w:rFonts w:ascii="Arial" w:hAnsi="Arial" w:cs="Arial"/>
                <w:color w:val="000000"/>
                <w:sz w:val="18"/>
                <w:szCs w:val="18"/>
              </w:rPr>
            </w:pPr>
          </w:p>
        </w:tc>
        <w:tc>
          <w:tcPr>
            <w:tcW w:w="1304" w:type="dxa"/>
            <w:tcBorders>
              <w:top w:val="nil"/>
              <w:left w:val="nil"/>
              <w:bottom w:val="nil"/>
              <w:right w:val="single" w:sz="4" w:space="0" w:color="auto"/>
            </w:tcBorders>
          </w:tcPr>
          <w:p w14:paraId="694EF95E" w14:textId="51D029B4" w:rsidR="007104B7" w:rsidRDefault="007104B7" w:rsidP="007104B7">
            <w:pPr>
              <w:jc w:val="right"/>
              <w:rPr>
                <w:rFonts w:ascii="Arial" w:hAnsi="Arial" w:cs="Arial"/>
                <w:color w:val="000000"/>
                <w:sz w:val="18"/>
                <w:szCs w:val="18"/>
              </w:rPr>
            </w:pPr>
          </w:p>
        </w:tc>
      </w:tr>
      <w:tr w:rsidR="007104B7" w:rsidRPr="00301088" w14:paraId="162D23A6" w14:textId="15C16C55" w:rsidTr="00966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668" w:type="dxa"/>
            <w:tcBorders>
              <w:top w:val="nil"/>
              <w:left w:val="single" w:sz="4" w:space="0" w:color="auto"/>
              <w:bottom w:val="nil"/>
              <w:right w:val="nil"/>
            </w:tcBorders>
            <w:shd w:val="clear" w:color="auto" w:fill="auto"/>
            <w:noWrap/>
            <w:vAlign w:val="center"/>
            <w:hideMark/>
          </w:tcPr>
          <w:p w14:paraId="7FED352D" w14:textId="77777777" w:rsidR="007104B7" w:rsidRPr="00B94017" w:rsidRDefault="007104B7" w:rsidP="007104B7">
            <w:pPr>
              <w:rPr>
                <w:rFonts w:ascii="Arial" w:hAnsi="Arial" w:cs="Arial"/>
                <w:color w:val="000000"/>
                <w:sz w:val="18"/>
                <w:szCs w:val="18"/>
              </w:rPr>
            </w:pPr>
            <w:r w:rsidRPr="00B94017">
              <w:rPr>
                <w:rFonts w:ascii="Arial" w:hAnsi="Arial" w:cs="Arial"/>
                <w:color w:val="000000"/>
                <w:sz w:val="18"/>
                <w:szCs w:val="18"/>
              </w:rPr>
              <w:t xml:space="preserve">       Auxiliary Enterprises</w:t>
            </w:r>
          </w:p>
        </w:tc>
        <w:tc>
          <w:tcPr>
            <w:tcW w:w="1337" w:type="dxa"/>
            <w:tcBorders>
              <w:top w:val="nil"/>
              <w:left w:val="single" w:sz="4" w:space="0" w:color="auto"/>
              <w:bottom w:val="nil"/>
              <w:right w:val="single" w:sz="4" w:space="0" w:color="auto"/>
            </w:tcBorders>
          </w:tcPr>
          <w:p w14:paraId="5996D4AC" w14:textId="443C111D" w:rsidR="007104B7" w:rsidRPr="00B94017" w:rsidRDefault="007104B7" w:rsidP="007104B7">
            <w:pPr>
              <w:jc w:val="right"/>
              <w:rPr>
                <w:rFonts w:ascii="Arial" w:hAnsi="Arial" w:cs="Arial"/>
                <w:color w:val="000000"/>
                <w:sz w:val="18"/>
                <w:szCs w:val="18"/>
              </w:rPr>
            </w:pPr>
            <w:r>
              <w:rPr>
                <w:rFonts w:ascii="Arial" w:hAnsi="Arial" w:cs="Arial"/>
                <w:color w:val="000000"/>
                <w:sz w:val="18"/>
                <w:szCs w:val="18"/>
              </w:rPr>
              <w:t>24,292,000</w:t>
            </w:r>
          </w:p>
        </w:tc>
        <w:tc>
          <w:tcPr>
            <w:tcW w:w="1424" w:type="dxa"/>
            <w:tcBorders>
              <w:top w:val="nil"/>
              <w:left w:val="nil"/>
              <w:bottom w:val="nil"/>
              <w:right w:val="single" w:sz="4" w:space="0" w:color="auto"/>
            </w:tcBorders>
          </w:tcPr>
          <w:p w14:paraId="0A69C166" w14:textId="1751C500" w:rsidR="007104B7" w:rsidRPr="00B94017" w:rsidRDefault="007104B7" w:rsidP="007104B7">
            <w:pPr>
              <w:jc w:val="right"/>
              <w:rPr>
                <w:rFonts w:ascii="Arial" w:hAnsi="Arial" w:cs="Arial"/>
                <w:color w:val="000000"/>
                <w:sz w:val="18"/>
                <w:szCs w:val="18"/>
              </w:rPr>
            </w:pPr>
            <w:r>
              <w:rPr>
                <w:rFonts w:ascii="Arial" w:hAnsi="Arial" w:cs="Arial"/>
                <w:color w:val="000000"/>
                <w:sz w:val="18"/>
                <w:szCs w:val="18"/>
              </w:rPr>
              <w:t>25,785,000</w:t>
            </w:r>
          </w:p>
        </w:tc>
        <w:tc>
          <w:tcPr>
            <w:tcW w:w="1337" w:type="dxa"/>
            <w:tcBorders>
              <w:top w:val="nil"/>
              <w:left w:val="nil"/>
              <w:bottom w:val="nil"/>
              <w:right w:val="single" w:sz="4" w:space="0" w:color="auto"/>
            </w:tcBorders>
          </w:tcPr>
          <w:p w14:paraId="199E600E" w14:textId="36FF4A9F" w:rsidR="007104B7" w:rsidRDefault="007104B7" w:rsidP="007104B7">
            <w:pPr>
              <w:jc w:val="right"/>
              <w:rPr>
                <w:rFonts w:ascii="Arial" w:hAnsi="Arial" w:cs="Arial"/>
                <w:color w:val="000000"/>
                <w:sz w:val="18"/>
                <w:szCs w:val="18"/>
              </w:rPr>
            </w:pPr>
          </w:p>
        </w:tc>
        <w:tc>
          <w:tcPr>
            <w:tcW w:w="1304" w:type="dxa"/>
            <w:tcBorders>
              <w:top w:val="nil"/>
              <w:left w:val="nil"/>
              <w:bottom w:val="nil"/>
              <w:right w:val="single" w:sz="4" w:space="0" w:color="auto"/>
            </w:tcBorders>
          </w:tcPr>
          <w:p w14:paraId="3865C2E9" w14:textId="11B9DBBE" w:rsidR="007104B7" w:rsidRDefault="007104B7" w:rsidP="007104B7">
            <w:pPr>
              <w:jc w:val="right"/>
              <w:rPr>
                <w:rFonts w:ascii="Arial" w:hAnsi="Arial" w:cs="Arial"/>
                <w:color w:val="000000"/>
                <w:sz w:val="18"/>
                <w:szCs w:val="18"/>
              </w:rPr>
            </w:pPr>
          </w:p>
        </w:tc>
      </w:tr>
      <w:tr w:rsidR="007104B7" w:rsidRPr="00301088" w14:paraId="06925B62" w14:textId="32F329CE" w:rsidTr="00966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668" w:type="dxa"/>
            <w:tcBorders>
              <w:top w:val="nil"/>
              <w:left w:val="single" w:sz="4" w:space="0" w:color="auto"/>
              <w:right w:val="nil"/>
            </w:tcBorders>
            <w:shd w:val="clear" w:color="auto" w:fill="auto"/>
            <w:noWrap/>
            <w:vAlign w:val="center"/>
            <w:hideMark/>
          </w:tcPr>
          <w:p w14:paraId="5CBD569E" w14:textId="77777777" w:rsidR="007104B7" w:rsidRPr="00B94017" w:rsidRDefault="007104B7" w:rsidP="007104B7">
            <w:pPr>
              <w:rPr>
                <w:rFonts w:ascii="Arial" w:hAnsi="Arial" w:cs="Arial"/>
                <w:color w:val="000000"/>
                <w:sz w:val="18"/>
                <w:szCs w:val="18"/>
              </w:rPr>
            </w:pPr>
            <w:r w:rsidRPr="00B94017">
              <w:rPr>
                <w:rFonts w:ascii="Arial" w:hAnsi="Arial" w:cs="Arial"/>
                <w:color w:val="000000"/>
                <w:sz w:val="18"/>
                <w:szCs w:val="18"/>
              </w:rPr>
              <w:t>Scholarships and Fellowships</w:t>
            </w:r>
          </w:p>
        </w:tc>
        <w:tc>
          <w:tcPr>
            <w:tcW w:w="1337" w:type="dxa"/>
            <w:tcBorders>
              <w:top w:val="nil"/>
              <w:left w:val="single" w:sz="4" w:space="0" w:color="auto"/>
              <w:bottom w:val="nil"/>
              <w:right w:val="single" w:sz="4" w:space="0" w:color="auto"/>
            </w:tcBorders>
          </w:tcPr>
          <w:p w14:paraId="143D718C" w14:textId="45634DB3" w:rsidR="007104B7" w:rsidRPr="00B94017" w:rsidRDefault="007104B7" w:rsidP="007104B7">
            <w:pPr>
              <w:jc w:val="right"/>
              <w:rPr>
                <w:rFonts w:ascii="Arial" w:hAnsi="Arial" w:cs="Arial"/>
                <w:color w:val="000000"/>
                <w:sz w:val="18"/>
                <w:szCs w:val="18"/>
              </w:rPr>
            </w:pPr>
            <w:r>
              <w:rPr>
                <w:rFonts w:ascii="Arial" w:hAnsi="Arial" w:cs="Arial"/>
                <w:color w:val="000000"/>
                <w:sz w:val="18"/>
                <w:szCs w:val="18"/>
              </w:rPr>
              <w:t>30,487,000</w:t>
            </w:r>
          </w:p>
        </w:tc>
        <w:tc>
          <w:tcPr>
            <w:tcW w:w="1424" w:type="dxa"/>
            <w:tcBorders>
              <w:top w:val="nil"/>
              <w:left w:val="nil"/>
              <w:bottom w:val="nil"/>
              <w:right w:val="single" w:sz="4" w:space="0" w:color="auto"/>
            </w:tcBorders>
          </w:tcPr>
          <w:p w14:paraId="1439C049" w14:textId="1710286E" w:rsidR="007104B7" w:rsidRPr="00B94017" w:rsidRDefault="007104B7" w:rsidP="007104B7">
            <w:pPr>
              <w:jc w:val="right"/>
              <w:rPr>
                <w:rFonts w:ascii="Arial" w:hAnsi="Arial" w:cs="Arial"/>
                <w:color w:val="000000"/>
                <w:sz w:val="18"/>
                <w:szCs w:val="18"/>
              </w:rPr>
            </w:pPr>
            <w:r>
              <w:rPr>
                <w:rFonts w:ascii="Arial" w:hAnsi="Arial" w:cs="Arial"/>
                <w:color w:val="000000"/>
                <w:sz w:val="18"/>
                <w:szCs w:val="18"/>
              </w:rPr>
              <w:t>16,898,000</w:t>
            </w:r>
          </w:p>
        </w:tc>
        <w:tc>
          <w:tcPr>
            <w:tcW w:w="1337" w:type="dxa"/>
            <w:tcBorders>
              <w:top w:val="nil"/>
              <w:left w:val="nil"/>
              <w:bottom w:val="nil"/>
              <w:right w:val="single" w:sz="4" w:space="0" w:color="auto"/>
            </w:tcBorders>
          </w:tcPr>
          <w:p w14:paraId="4B20CC33" w14:textId="61EBCA2B" w:rsidR="007104B7" w:rsidRDefault="007104B7" w:rsidP="007104B7">
            <w:pPr>
              <w:jc w:val="right"/>
              <w:rPr>
                <w:rFonts w:ascii="Arial" w:hAnsi="Arial" w:cs="Arial"/>
                <w:color w:val="000000"/>
                <w:sz w:val="18"/>
                <w:szCs w:val="18"/>
              </w:rPr>
            </w:pPr>
          </w:p>
        </w:tc>
        <w:tc>
          <w:tcPr>
            <w:tcW w:w="1304" w:type="dxa"/>
            <w:tcBorders>
              <w:top w:val="nil"/>
              <w:left w:val="nil"/>
              <w:bottom w:val="nil"/>
              <w:right w:val="single" w:sz="4" w:space="0" w:color="auto"/>
            </w:tcBorders>
          </w:tcPr>
          <w:p w14:paraId="3597906A" w14:textId="29C316FC" w:rsidR="007104B7" w:rsidRDefault="007104B7" w:rsidP="007104B7">
            <w:pPr>
              <w:jc w:val="right"/>
              <w:rPr>
                <w:rFonts w:ascii="Arial" w:hAnsi="Arial" w:cs="Arial"/>
                <w:color w:val="000000"/>
                <w:sz w:val="18"/>
                <w:szCs w:val="18"/>
              </w:rPr>
            </w:pPr>
          </w:p>
        </w:tc>
      </w:tr>
      <w:tr w:rsidR="007104B7" w:rsidRPr="00301088" w14:paraId="1E86AA63" w14:textId="128BFE6A" w:rsidTr="00966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668" w:type="dxa"/>
            <w:tcBorders>
              <w:top w:val="nil"/>
              <w:left w:val="single" w:sz="4" w:space="0" w:color="auto"/>
              <w:bottom w:val="single" w:sz="4" w:space="0" w:color="auto"/>
              <w:right w:val="nil"/>
            </w:tcBorders>
            <w:shd w:val="clear" w:color="auto" w:fill="auto"/>
            <w:noWrap/>
            <w:vAlign w:val="center"/>
            <w:hideMark/>
          </w:tcPr>
          <w:p w14:paraId="37C86E2F" w14:textId="77777777" w:rsidR="007104B7" w:rsidRPr="00B94017" w:rsidRDefault="007104B7" w:rsidP="007104B7">
            <w:pPr>
              <w:rPr>
                <w:rFonts w:ascii="Arial" w:hAnsi="Arial" w:cs="Arial"/>
                <w:color w:val="000000"/>
                <w:sz w:val="18"/>
                <w:szCs w:val="18"/>
              </w:rPr>
            </w:pPr>
            <w:r w:rsidRPr="00B94017">
              <w:rPr>
                <w:rFonts w:ascii="Arial" w:hAnsi="Arial" w:cs="Arial"/>
                <w:color w:val="000000"/>
                <w:sz w:val="18"/>
                <w:szCs w:val="18"/>
              </w:rPr>
              <w:t xml:space="preserve">        Depreciation</w:t>
            </w:r>
          </w:p>
        </w:tc>
        <w:tc>
          <w:tcPr>
            <w:tcW w:w="1337" w:type="dxa"/>
            <w:tcBorders>
              <w:top w:val="nil"/>
              <w:left w:val="single" w:sz="4" w:space="0" w:color="auto"/>
              <w:bottom w:val="single" w:sz="4" w:space="0" w:color="auto"/>
              <w:right w:val="single" w:sz="4" w:space="0" w:color="auto"/>
            </w:tcBorders>
          </w:tcPr>
          <w:p w14:paraId="5132CB72" w14:textId="7BA8AC79" w:rsidR="007104B7" w:rsidRPr="00B94017" w:rsidRDefault="007104B7" w:rsidP="007104B7">
            <w:pPr>
              <w:jc w:val="right"/>
              <w:rPr>
                <w:rFonts w:ascii="Arial" w:hAnsi="Arial" w:cs="Arial"/>
                <w:color w:val="000000"/>
                <w:sz w:val="18"/>
                <w:szCs w:val="18"/>
              </w:rPr>
            </w:pPr>
            <w:r>
              <w:rPr>
                <w:rFonts w:ascii="Arial" w:hAnsi="Arial" w:cs="Arial"/>
                <w:color w:val="000000"/>
                <w:sz w:val="18"/>
                <w:szCs w:val="18"/>
              </w:rPr>
              <w:t>12,530,000</w:t>
            </w:r>
          </w:p>
        </w:tc>
        <w:tc>
          <w:tcPr>
            <w:tcW w:w="1424" w:type="dxa"/>
            <w:tcBorders>
              <w:top w:val="nil"/>
              <w:left w:val="nil"/>
              <w:bottom w:val="single" w:sz="4" w:space="0" w:color="auto"/>
              <w:right w:val="single" w:sz="4" w:space="0" w:color="auto"/>
            </w:tcBorders>
          </w:tcPr>
          <w:p w14:paraId="24B3BDD7" w14:textId="07A5738A" w:rsidR="007104B7" w:rsidRPr="00B94017" w:rsidRDefault="007104B7" w:rsidP="007104B7">
            <w:pPr>
              <w:jc w:val="right"/>
              <w:rPr>
                <w:rFonts w:ascii="Arial" w:hAnsi="Arial" w:cs="Arial"/>
                <w:color w:val="000000"/>
                <w:sz w:val="18"/>
                <w:szCs w:val="18"/>
              </w:rPr>
            </w:pPr>
            <w:r>
              <w:rPr>
                <w:rFonts w:ascii="Arial" w:hAnsi="Arial" w:cs="Arial"/>
                <w:color w:val="000000"/>
                <w:sz w:val="18"/>
                <w:szCs w:val="18"/>
              </w:rPr>
              <w:t>13,318,000</w:t>
            </w:r>
          </w:p>
        </w:tc>
        <w:tc>
          <w:tcPr>
            <w:tcW w:w="1337" w:type="dxa"/>
            <w:tcBorders>
              <w:top w:val="nil"/>
              <w:left w:val="nil"/>
              <w:bottom w:val="single" w:sz="4" w:space="0" w:color="auto"/>
              <w:right w:val="single" w:sz="4" w:space="0" w:color="auto"/>
            </w:tcBorders>
          </w:tcPr>
          <w:p w14:paraId="665A3A43" w14:textId="714E1E0A" w:rsidR="007104B7" w:rsidRDefault="007104B7" w:rsidP="007104B7">
            <w:pPr>
              <w:jc w:val="right"/>
              <w:rPr>
                <w:rFonts w:ascii="Arial" w:hAnsi="Arial" w:cs="Arial"/>
                <w:color w:val="000000"/>
                <w:sz w:val="18"/>
                <w:szCs w:val="18"/>
              </w:rPr>
            </w:pPr>
          </w:p>
        </w:tc>
        <w:tc>
          <w:tcPr>
            <w:tcW w:w="1304" w:type="dxa"/>
            <w:tcBorders>
              <w:top w:val="nil"/>
              <w:left w:val="nil"/>
              <w:bottom w:val="single" w:sz="4" w:space="0" w:color="auto"/>
              <w:right w:val="single" w:sz="4" w:space="0" w:color="auto"/>
            </w:tcBorders>
          </w:tcPr>
          <w:p w14:paraId="1FABDC10" w14:textId="46A0A49B" w:rsidR="007104B7" w:rsidRDefault="007104B7" w:rsidP="007104B7">
            <w:pPr>
              <w:jc w:val="right"/>
              <w:rPr>
                <w:rFonts w:ascii="Arial" w:hAnsi="Arial" w:cs="Arial"/>
                <w:color w:val="000000"/>
                <w:sz w:val="18"/>
                <w:szCs w:val="18"/>
              </w:rPr>
            </w:pPr>
          </w:p>
        </w:tc>
      </w:tr>
      <w:tr w:rsidR="007104B7" w:rsidRPr="00301088" w14:paraId="55B007BE" w14:textId="1F260417" w:rsidTr="00966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668" w:type="dxa"/>
            <w:tcBorders>
              <w:top w:val="single" w:sz="4" w:space="0" w:color="auto"/>
              <w:left w:val="single" w:sz="4" w:space="0" w:color="auto"/>
              <w:bottom w:val="single" w:sz="4" w:space="0" w:color="auto"/>
              <w:right w:val="nil"/>
            </w:tcBorders>
            <w:shd w:val="clear" w:color="auto" w:fill="auto"/>
            <w:noWrap/>
            <w:vAlign w:val="center"/>
            <w:hideMark/>
          </w:tcPr>
          <w:p w14:paraId="2F43642B" w14:textId="77777777" w:rsidR="007104B7" w:rsidRPr="00B94017" w:rsidRDefault="007104B7" w:rsidP="007104B7">
            <w:pPr>
              <w:rPr>
                <w:rFonts w:ascii="Arial" w:hAnsi="Arial" w:cs="Arial"/>
                <w:color w:val="000000"/>
                <w:sz w:val="18"/>
                <w:szCs w:val="18"/>
              </w:rPr>
            </w:pPr>
            <w:r w:rsidRPr="00B94017">
              <w:rPr>
                <w:rFonts w:ascii="Arial" w:hAnsi="Arial" w:cs="Arial"/>
                <w:color w:val="000000"/>
                <w:sz w:val="18"/>
                <w:szCs w:val="18"/>
              </w:rPr>
              <w:t xml:space="preserve">        Operating income/(loss)</w:t>
            </w:r>
          </w:p>
        </w:tc>
        <w:tc>
          <w:tcPr>
            <w:tcW w:w="1337" w:type="dxa"/>
            <w:tcBorders>
              <w:top w:val="nil"/>
              <w:left w:val="single" w:sz="4" w:space="0" w:color="auto"/>
              <w:bottom w:val="single" w:sz="4" w:space="0" w:color="auto"/>
              <w:right w:val="single" w:sz="4" w:space="0" w:color="auto"/>
            </w:tcBorders>
          </w:tcPr>
          <w:p w14:paraId="0FF05FB9" w14:textId="1BC948DA" w:rsidR="007104B7" w:rsidRPr="00B94017" w:rsidRDefault="007104B7" w:rsidP="007104B7">
            <w:pPr>
              <w:jc w:val="right"/>
              <w:rPr>
                <w:rFonts w:ascii="Arial" w:hAnsi="Arial" w:cs="Arial"/>
                <w:color w:val="000000"/>
                <w:sz w:val="18"/>
                <w:szCs w:val="18"/>
              </w:rPr>
            </w:pPr>
            <w:r>
              <w:rPr>
                <w:rFonts w:ascii="Arial" w:hAnsi="Arial" w:cs="Arial"/>
                <w:color w:val="000000"/>
                <w:sz w:val="18"/>
                <w:szCs w:val="18"/>
              </w:rPr>
              <w:t>(132,473,000)</w:t>
            </w:r>
          </w:p>
        </w:tc>
        <w:tc>
          <w:tcPr>
            <w:tcW w:w="1424" w:type="dxa"/>
            <w:tcBorders>
              <w:top w:val="nil"/>
              <w:left w:val="nil"/>
              <w:bottom w:val="single" w:sz="4" w:space="0" w:color="auto"/>
              <w:right w:val="single" w:sz="4" w:space="0" w:color="auto"/>
            </w:tcBorders>
          </w:tcPr>
          <w:p w14:paraId="1394FCB9" w14:textId="5CAA04EB" w:rsidR="007104B7" w:rsidRPr="00B94017" w:rsidRDefault="007104B7" w:rsidP="007104B7">
            <w:pPr>
              <w:jc w:val="right"/>
              <w:rPr>
                <w:rFonts w:ascii="Arial" w:hAnsi="Arial" w:cs="Arial"/>
                <w:color w:val="000000"/>
                <w:sz w:val="18"/>
                <w:szCs w:val="18"/>
              </w:rPr>
            </w:pPr>
            <w:r>
              <w:rPr>
                <w:rFonts w:ascii="Arial" w:hAnsi="Arial" w:cs="Arial"/>
                <w:color w:val="000000"/>
                <w:sz w:val="18"/>
                <w:szCs w:val="18"/>
              </w:rPr>
              <w:t>(152,744,000)</w:t>
            </w:r>
          </w:p>
        </w:tc>
        <w:tc>
          <w:tcPr>
            <w:tcW w:w="1337" w:type="dxa"/>
            <w:tcBorders>
              <w:top w:val="nil"/>
              <w:left w:val="nil"/>
              <w:bottom w:val="single" w:sz="4" w:space="0" w:color="auto"/>
              <w:right w:val="single" w:sz="4" w:space="0" w:color="auto"/>
            </w:tcBorders>
          </w:tcPr>
          <w:p w14:paraId="1C5E20EA" w14:textId="018B93D3" w:rsidR="007104B7" w:rsidRDefault="007104B7" w:rsidP="007104B7">
            <w:pPr>
              <w:jc w:val="right"/>
              <w:rPr>
                <w:rFonts w:ascii="Arial" w:hAnsi="Arial" w:cs="Arial"/>
                <w:color w:val="000000"/>
                <w:sz w:val="18"/>
                <w:szCs w:val="18"/>
              </w:rPr>
            </w:pPr>
          </w:p>
        </w:tc>
        <w:tc>
          <w:tcPr>
            <w:tcW w:w="1304" w:type="dxa"/>
            <w:tcBorders>
              <w:top w:val="nil"/>
              <w:left w:val="nil"/>
              <w:bottom w:val="single" w:sz="4" w:space="0" w:color="auto"/>
              <w:right w:val="single" w:sz="4" w:space="0" w:color="auto"/>
            </w:tcBorders>
          </w:tcPr>
          <w:p w14:paraId="1077BBA1" w14:textId="570383A8" w:rsidR="007104B7" w:rsidRDefault="007104B7" w:rsidP="007104B7">
            <w:pPr>
              <w:jc w:val="right"/>
              <w:rPr>
                <w:rFonts w:ascii="Arial" w:hAnsi="Arial" w:cs="Arial"/>
                <w:color w:val="000000"/>
                <w:sz w:val="18"/>
                <w:szCs w:val="18"/>
              </w:rPr>
            </w:pPr>
          </w:p>
        </w:tc>
      </w:tr>
      <w:tr w:rsidR="007104B7" w:rsidRPr="00301088" w14:paraId="4E466075" w14:textId="5C65B7B9" w:rsidTr="00966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6"/>
        </w:trPr>
        <w:tc>
          <w:tcPr>
            <w:tcW w:w="4668" w:type="dxa"/>
            <w:tcBorders>
              <w:top w:val="single" w:sz="4" w:space="0" w:color="auto"/>
              <w:left w:val="single" w:sz="4" w:space="0" w:color="auto"/>
              <w:right w:val="nil"/>
            </w:tcBorders>
            <w:shd w:val="clear" w:color="auto" w:fill="auto"/>
            <w:noWrap/>
            <w:vAlign w:val="center"/>
            <w:hideMark/>
          </w:tcPr>
          <w:p w14:paraId="5D25E940" w14:textId="77777777" w:rsidR="007104B7" w:rsidRPr="00B94017" w:rsidRDefault="007104B7" w:rsidP="007104B7">
            <w:pPr>
              <w:rPr>
                <w:rFonts w:ascii="Arial" w:hAnsi="Arial" w:cs="Arial"/>
                <w:color w:val="000000"/>
                <w:sz w:val="18"/>
                <w:szCs w:val="18"/>
              </w:rPr>
            </w:pPr>
            <w:r w:rsidRPr="00B94017">
              <w:rPr>
                <w:rFonts w:ascii="Arial" w:hAnsi="Arial" w:cs="Arial"/>
                <w:color w:val="000000"/>
                <w:sz w:val="18"/>
                <w:szCs w:val="18"/>
              </w:rPr>
              <w:t>Nonoperating revenues/(expenses)</w:t>
            </w:r>
          </w:p>
        </w:tc>
        <w:tc>
          <w:tcPr>
            <w:tcW w:w="1337" w:type="dxa"/>
            <w:tcBorders>
              <w:top w:val="nil"/>
              <w:left w:val="single" w:sz="4" w:space="0" w:color="auto"/>
              <w:bottom w:val="nil"/>
              <w:right w:val="single" w:sz="4" w:space="0" w:color="auto"/>
            </w:tcBorders>
          </w:tcPr>
          <w:p w14:paraId="6BB5D7BC" w14:textId="77777777" w:rsidR="007104B7" w:rsidRPr="00B94017" w:rsidRDefault="007104B7" w:rsidP="007104B7">
            <w:pPr>
              <w:jc w:val="right"/>
              <w:rPr>
                <w:rFonts w:ascii="Arial" w:hAnsi="Arial" w:cs="Arial"/>
                <w:color w:val="000000"/>
                <w:sz w:val="18"/>
                <w:szCs w:val="18"/>
              </w:rPr>
            </w:pPr>
          </w:p>
        </w:tc>
        <w:tc>
          <w:tcPr>
            <w:tcW w:w="1424" w:type="dxa"/>
            <w:tcBorders>
              <w:top w:val="nil"/>
              <w:left w:val="nil"/>
              <w:bottom w:val="nil"/>
              <w:right w:val="single" w:sz="4" w:space="0" w:color="auto"/>
            </w:tcBorders>
          </w:tcPr>
          <w:p w14:paraId="3A223B36" w14:textId="77777777" w:rsidR="007104B7" w:rsidRPr="00B94017" w:rsidRDefault="007104B7" w:rsidP="007104B7">
            <w:pPr>
              <w:jc w:val="right"/>
              <w:rPr>
                <w:rFonts w:ascii="Arial" w:hAnsi="Arial" w:cs="Arial"/>
                <w:color w:val="000000"/>
                <w:sz w:val="18"/>
                <w:szCs w:val="18"/>
              </w:rPr>
            </w:pPr>
          </w:p>
        </w:tc>
        <w:tc>
          <w:tcPr>
            <w:tcW w:w="1337" w:type="dxa"/>
            <w:tcBorders>
              <w:top w:val="nil"/>
              <w:left w:val="nil"/>
              <w:bottom w:val="nil"/>
              <w:right w:val="single" w:sz="4" w:space="0" w:color="auto"/>
            </w:tcBorders>
          </w:tcPr>
          <w:p w14:paraId="3771AB33" w14:textId="77777777" w:rsidR="007104B7" w:rsidRPr="00B94017" w:rsidRDefault="007104B7" w:rsidP="007104B7">
            <w:pPr>
              <w:jc w:val="right"/>
              <w:rPr>
                <w:rFonts w:ascii="Arial" w:hAnsi="Arial" w:cs="Arial"/>
                <w:color w:val="000000"/>
                <w:sz w:val="18"/>
                <w:szCs w:val="18"/>
              </w:rPr>
            </w:pPr>
          </w:p>
        </w:tc>
        <w:tc>
          <w:tcPr>
            <w:tcW w:w="1304" w:type="dxa"/>
            <w:tcBorders>
              <w:top w:val="nil"/>
              <w:left w:val="nil"/>
              <w:bottom w:val="nil"/>
              <w:right w:val="single" w:sz="4" w:space="0" w:color="auto"/>
            </w:tcBorders>
          </w:tcPr>
          <w:p w14:paraId="454622CD" w14:textId="77777777" w:rsidR="007104B7" w:rsidRPr="00B94017" w:rsidRDefault="007104B7" w:rsidP="007104B7">
            <w:pPr>
              <w:jc w:val="right"/>
              <w:rPr>
                <w:rFonts w:ascii="Arial" w:hAnsi="Arial" w:cs="Arial"/>
                <w:color w:val="000000"/>
                <w:sz w:val="18"/>
                <w:szCs w:val="18"/>
              </w:rPr>
            </w:pPr>
          </w:p>
        </w:tc>
      </w:tr>
      <w:tr w:rsidR="007104B7" w:rsidRPr="00301088" w14:paraId="5CDEA016" w14:textId="2EB1F036" w:rsidTr="00966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668" w:type="dxa"/>
            <w:tcBorders>
              <w:top w:val="nil"/>
              <w:left w:val="single" w:sz="4" w:space="0" w:color="auto"/>
              <w:bottom w:val="single" w:sz="4" w:space="0" w:color="auto"/>
              <w:right w:val="nil"/>
            </w:tcBorders>
            <w:shd w:val="clear" w:color="auto" w:fill="auto"/>
            <w:noWrap/>
            <w:vAlign w:val="center"/>
            <w:hideMark/>
          </w:tcPr>
          <w:p w14:paraId="7CEF3A2C" w14:textId="77777777" w:rsidR="007104B7" w:rsidRPr="00B94017" w:rsidRDefault="007104B7" w:rsidP="007104B7">
            <w:pPr>
              <w:rPr>
                <w:rFonts w:ascii="Arial" w:hAnsi="Arial" w:cs="Arial"/>
                <w:color w:val="000000"/>
                <w:sz w:val="18"/>
                <w:szCs w:val="18"/>
              </w:rPr>
            </w:pPr>
            <w:r w:rsidRPr="00B94017">
              <w:rPr>
                <w:rFonts w:ascii="Arial" w:hAnsi="Arial" w:cs="Arial"/>
                <w:color w:val="000000"/>
                <w:sz w:val="18"/>
                <w:szCs w:val="18"/>
              </w:rPr>
              <w:t xml:space="preserve">     State appropriations:</w:t>
            </w:r>
          </w:p>
        </w:tc>
        <w:tc>
          <w:tcPr>
            <w:tcW w:w="1337" w:type="dxa"/>
            <w:tcBorders>
              <w:top w:val="nil"/>
              <w:left w:val="single" w:sz="4" w:space="0" w:color="auto"/>
              <w:bottom w:val="single" w:sz="4" w:space="0" w:color="auto"/>
              <w:right w:val="single" w:sz="4" w:space="0" w:color="auto"/>
            </w:tcBorders>
          </w:tcPr>
          <w:p w14:paraId="19BB0118" w14:textId="7EA5AAF3" w:rsidR="007104B7" w:rsidRPr="00B94017" w:rsidRDefault="007104B7" w:rsidP="007104B7">
            <w:pPr>
              <w:jc w:val="right"/>
              <w:rPr>
                <w:rFonts w:ascii="Arial" w:hAnsi="Arial" w:cs="Arial"/>
                <w:color w:val="000000"/>
                <w:sz w:val="18"/>
                <w:szCs w:val="18"/>
              </w:rPr>
            </w:pPr>
            <w:r>
              <w:rPr>
                <w:rFonts w:ascii="Arial" w:hAnsi="Arial" w:cs="Arial"/>
                <w:color w:val="000000"/>
                <w:sz w:val="18"/>
                <w:szCs w:val="18"/>
              </w:rPr>
              <w:t>108,717,000</w:t>
            </w:r>
          </w:p>
        </w:tc>
        <w:tc>
          <w:tcPr>
            <w:tcW w:w="1424" w:type="dxa"/>
            <w:tcBorders>
              <w:top w:val="nil"/>
              <w:left w:val="nil"/>
              <w:bottom w:val="single" w:sz="4" w:space="0" w:color="auto"/>
              <w:right w:val="single" w:sz="4" w:space="0" w:color="auto"/>
            </w:tcBorders>
          </w:tcPr>
          <w:p w14:paraId="3625A2AD" w14:textId="65D0A2F3" w:rsidR="007104B7" w:rsidRPr="00B94017" w:rsidRDefault="007104B7" w:rsidP="007104B7">
            <w:pPr>
              <w:jc w:val="right"/>
              <w:rPr>
                <w:rFonts w:ascii="Arial" w:hAnsi="Arial" w:cs="Arial"/>
                <w:color w:val="000000"/>
                <w:sz w:val="18"/>
                <w:szCs w:val="18"/>
              </w:rPr>
            </w:pPr>
            <w:r>
              <w:rPr>
                <w:rFonts w:ascii="Arial" w:hAnsi="Arial" w:cs="Arial"/>
                <w:color w:val="000000"/>
                <w:sz w:val="18"/>
                <w:szCs w:val="18"/>
              </w:rPr>
              <w:t>117,729,000</w:t>
            </w:r>
          </w:p>
        </w:tc>
        <w:tc>
          <w:tcPr>
            <w:tcW w:w="1337" w:type="dxa"/>
            <w:tcBorders>
              <w:top w:val="nil"/>
              <w:left w:val="nil"/>
              <w:bottom w:val="single" w:sz="4" w:space="0" w:color="auto"/>
              <w:right w:val="single" w:sz="4" w:space="0" w:color="auto"/>
            </w:tcBorders>
          </w:tcPr>
          <w:p w14:paraId="054EAA5C" w14:textId="10083007" w:rsidR="007104B7" w:rsidRDefault="007104B7" w:rsidP="007104B7">
            <w:pPr>
              <w:jc w:val="right"/>
              <w:rPr>
                <w:rFonts w:ascii="Arial" w:hAnsi="Arial" w:cs="Arial"/>
                <w:color w:val="000000"/>
                <w:sz w:val="18"/>
                <w:szCs w:val="18"/>
              </w:rPr>
            </w:pPr>
          </w:p>
        </w:tc>
        <w:tc>
          <w:tcPr>
            <w:tcW w:w="1304" w:type="dxa"/>
            <w:tcBorders>
              <w:top w:val="nil"/>
              <w:left w:val="nil"/>
              <w:bottom w:val="single" w:sz="4" w:space="0" w:color="auto"/>
              <w:right w:val="single" w:sz="4" w:space="0" w:color="auto"/>
            </w:tcBorders>
          </w:tcPr>
          <w:p w14:paraId="7B590402" w14:textId="1D6805B0" w:rsidR="007104B7" w:rsidRDefault="007104B7" w:rsidP="007104B7">
            <w:pPr>
              <w:jc w:val="right"/>
              <w:rPr>
                <w:rFonts w:ascii="Arial" w:hAnsi="Arial" w:cs="Arial"/>
                <w:color w:val="000000"/>
                <w:sz w:val="18"/>
                <w:szCs w:val="18"/>
              </w:rPr>
            </w:pPr>
          </w:p>
        </w:tc>
      </w:tr>
      <w:tr w:rsidR="007104B7" w:rsidRPr="00301088" w14:paraId="02E9B834" w14:textId="20FBAA01" w:rsidTr="00966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668" w:type="dxa"/>
            <w:tcBorders>
              <w:top w:val="single" w:sz="4" w:space="0" w:color="auto"/>
              <w:left w:val="single" w:sz="4" w:space="0" w:color="auto"/>
              <w:bottom w:val="nil"/>
              <w:right w:val="nil"/>
            </w:tcBorders>
            <w:shd w:val="clear" w:color="auto" w:fill="auto"/>
            <w:noWrap/>
            <w:vAlign w:val="center"/>
            <w:hideMark/>
          </w:tcPr>
          <w:p w14:paraId="63B052A4" w14:textId="77777777" w:rsidR="007104B7" w:rsidRPr="00B94017" w:rsidRDefault="007104B7" w:rsidP="007104B7">
            <w:pPr>
              <w:rPr>
                <w:rFonts w:ascii="Arial" w:hAnsi="Arial" w:cs="Arial"/>
                <w:color w:val="000000"/>
                <w:sz w:val="18"/>
                <w:szCs w:val="18"/>
              </w:rPr>
            </w:pPr>
            <w:r w:rsidRPr="00B94017">
              <w:rPr>
                <w:rFonts w:ascii="Arial" w:hAnsi="Arial" w:cs="Arial"/>
                <w:color w:val="000000"/>
                <w:sz w:val="18"/>
                <w:szCs w:val="18"/>
              </w:rPr>
              <w:t xml:space="preserve">         State General Account</w:t>
            </w:r>
          </w:p>
        </w:tc>
        <w:tc>
          <w:tcPr>
            <w:tcW w:w="1337" w:type="dxa"/>
            <w:tcBorders>
              <w:top w:val="nil"/>
              <w:left w:val="single" w:sz="4" w:space="0" w:color="auto"/>
              <w:bottom w:val="nil"/>
              <w:right w:val="single" w:sz="4" w:space="0" w:color="auto"/>
            </w:tcBorders>
          </w:tcPr>
          <w:p w14:paraId="3DB5936F" w14:textId="6C8F344B" w:rsidR="007104B7" w:rsidRPr="00B94017" w:rsidRDefault="007104B7" w:rsidP="007104B7">
            <w:pPr>
              <w:jc w:val="right"/>
              <w:rPr>
                <w:rFonts w:ascii="Arial" w:hAnsi="Arial" w:cs="Arial"/>
                <w:color w:val="000000"/>
                <w:sz w:val="18"/>
                <w:szCs w:val="18"/>
              </w:rPr>
            </w:pPr>
            <w:r>
              <w:rPr>
                <w:rFonts w:ascii="Arial" w:hAnsi="Arial" w:cs="Arial"/>
                <w:color w:val="000000"/>
                <w:sz w:val="18"/>
                <w:szCs w:val="18"/>
              </w:rPr>
              <w:t>84,346,000</w:t>
            </w:r>
          </w:p>
        </w:tc>
        <w:tc>
          <w:tcPr>
            <w:tcW w:w="1424" w:type="dxa"/>
            <w:tcBorders>
              <w:top w:val="nil"/>
              <w:left w:val="nil"/>
              <w:bottom w:val="nil"/>
              <w:right w:val="single" w:sz="4" w:space="0" w:color="auto"/>
            </w:tcBorders>
          </w:tcPr>
          <w:p w14:paraId="79E5E0B0" w14:textId="4DFC0874" w:rsidR="007104B7" w:rsidRPr="00B94017" w:rsidRDefault="007104B7" w:rsidP="007104B7">
            <w:pPr>
              <w:jc w:val="right"/>
              <w:rPr>
                <w:rFonts w:ascii="Arial" w:hAnsi="Arial" w:cs="Arial"/>
                <w:color w:val="000000"/>
                <w:sz w:val="18"/>
                <w:szCs w:val="18"/>
              </w:rPr>
            </w:pPr>
            <w:r>
              <w:rPr>
                <w:rFonts w:ascii="Arial" w:hAnsi="Arial" w:cs="Arial"/>
                <w:color w:val="000000"/>
                <w:sz w:val="18"/>
                <w:szCs w:val="18"/>
              </w:rPr>
              <w:t>91,922,000</w:t>
            </w:r>
          </w:p>
        </w:tc>
        <w:tc>
          <w:tcPr>
            <w:tcW w:w="1337" w:type="dxa"/>
            <w:tcBorders>
              <w:top w:val="nil"/>
              <w:left w:val="nil"/>
              <w:bottom w:val="nil"/>
              <w:right w:val="single" w:sz="4" w:space="0" w:color="auto"/>
            </w:tcBorders>
          </w:tcPr>
          <w:p w14:paraId="74486892" w14:textId="58DD3549" w:rsidR="007104B7" w:rsidRDefault="007104B7" w:rsidP="007104B7">
            <w:pPr>
              <w:jc w:val="right"/>
              <w:rPr>
                <w:rFonts w:ascii="Arial" w:hAnsi="Arial" w:cs="Arial"/>
                <w:color w:val="000000"/>
                <w:sz w:val="18"/>
                <w:szCs w:val="18"/>
              </w:rPr>
            </w:pPr>
          </w:p>
        </w:tc>
        <w:tc>
          <w:tcPr>
            <w:tcW w:w="1304" w:type="dxa"/>
            <w:tcBorders>
              <w:top w:val="nil"/>
              <w:left w:val="nil"/>
              <w:bottom w:val="nil"/>
              <w:right w:val="single" w:sz="4" w:space="0" w:color="auto"/>
            </w:tcBorders>
          </w:tcPr>
          <w:p w14:paraId="71B5A3C7" w14:textId="358271A9" w:rsidR="007104B7" w:rsidRDefault="007104B7" w:rsidP="007104B7">
            <w:pPr>
              <w:jc w:val="right"/>
              <w:rPr>
                <w:rFonts w:ascii="Arial" w:hAnsi="Arial" w:cs="Arial"/>
                <w:color w:val="000000"/>
                <w:sz w:val="18"/>
                <w:szCs w:val="18"/>
              </w:rPr>
            </w:pPr>
          </w:p>
        </w:tc>
      </w:tr>
      <w:tr w:rsidR="007104B7" w:rsidRPr="00301088" w14:paraId="29CAEC8C" w14:textId="60590B11" w:rsidTr="00966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668" w:type="dxa"/>
            <w:tcBorders>
              <w:top w:val="nil"/>
              <w:left w:val="single" w:sz="4" w:space="0" w:color="auto"/>
              <w:bottom w:val="nil"/>
              <w:right w:val="nil"/>
            </w:tcBorders>
            <w:shd w:val="clear" w:color="auto" w:fill="auto"/>
            <w:noWrap/>
            <w:vAlign w:val="center"/>
            <w:hideMark/>
          </w:tcPr>
          <w:p w14:paraId="5B4C4488" w14:textId="77777777" w:rsidR="007104B7" w:rsidRPr="00B94017" w:rsidRDefault="007104B7" w:rsidP="007104B7">
            <w:pPr>
              <w:rPr>
                <w:rFonts w:ascii="Arial" w:hAnsi="Arial" w:cs="Arial"/>
                <w:color w:val="000000"/>
                <w:sz w:val="18"/>
                <w:szCs w:val="18"/>
              </w:rPr>
            </w:pPr>
            <w:r w:rsidRPr="00B94017">
              <w:rPr>
                <w:rFonts w:ascii="Arial" w:hAnsi="Arial" w:cs="Arial"/>
                <w:color w:val="000000"/>
                <w:sz w:val="18"/>
                <w:szCs w:val="18"/>
              </w:rPr>
              <w:t xml:space="preserve">         Endowment Income</w:t>
            </w:r>
          </w:p>
        </w:tc>
        <w:tc>
          <w:tcPr>
            <w:tcW w:w="1337" w:type="dxa"/>
            <w:tcBorders>
              <w:top w:val="nil"/>
              <w:left w:val="single" w:sz="4" w:space="0" w:color="auto"/>
              <w:bottom w:val="nil"/>
              <w:right w:val="single" w:sz="4" w:space="0" w:color="auto"/>
            </w:tcBorders>
          </w:tcPr>
          <w:p w14:paraId="4C1E4379" w14:textId="1FD4A8B2" w:rsidR="007104B7" w:rsidRPr="00B94017" w:rsidRDefault="007104B7" w:rsidP="007104B7">
            <w:pPr>
              <w:jc w:val="right"/>
              <w:rPr>
                <w:rFonts w:ascii="Arial" w:hAnsi="Arial" w:cs="Arial"/>
                <w:color w:val="000000"/>
                <w:sz w:val="18"/>
                <w:szCs w:val="18"/>
              </w:rPr>
            </w:pPr>
            <w:r>
              <w:rPr>
                <w:rFonts w:ascii="Arial" w:hAnsi="Arial" w:cs="Arial"/>
                <w:color w:val="000000"/>
                <w:sz w:val="18"/>
                <w:szCs w:val="18"/>
              </w:rPr>
              <w:t>4,392,000</w:t>
            </w:r>
          </w:p>
        </w:tc>
        <w:tc>
          <w:tcPr>
            <w:tcW w:w="1424" w:type="dxa"/>
            <w:tcBorders>
              <w:top w:val="nil"/>
              <w:left w:val="nil"/>
              <w:bottom w:val="nil"/>
              <w:right w:val="single" w:sz="4" w:space="0" w:color="auto"/>
            </w:tcBorders>
          </w:tcPr>
          <w:p w14:paraId="400F660E" w14:textId="265B01DB" w:rsidR="007104B7" w:rsidRPr="00B94017" w:rsidRDefault="007104B7" w:rsidP="007104B7">
            <w:pPr>
              <w:jc w:val="right"/>
              <w:rPr>
                <w:rFonts w:ascii="Arial" w:hAnsi="Arial" w:cs="Arial"/>
                <w:color w:val="000000"/>
                <w:sz w:val="18"/>
                <w:szCs w:val="18"/>
              </w:rPr>
            </w:pPr>
            <w:r>
              <w:rPr>
                <w:rFonts w:ascii="Arial" w:hAnsi="Arial" w:cs="Arial"/>
                <w:color w:val="000000"/>
                <w:sz w:val="18"/>
                <w:szCs w:val="18"/>
              </w:rPr>
              <w:t>5,153,000</w:t>
            </w:r>
          </w:p>
        </w:tc>
        <w:tc>
          <w:tcPr>
            <w:tcW w:w="1337" w:type="dxa"/>
            <w:tcBorders>
              <w:top w:val="nil"/>
              <w:left w:val="nil"/>
              <w:bottom w:val="nil"/>
              <w:right w:val="single" w:sz="4" w:space="0" w:color="auto"/>
            </w:tcBorders>
          </w:tcPr>
          <w:p w14:paraId="7E08BE6C" w14:textId="0C62F7C4" w:rsidR="007104B7" w:rsidRDefault="007104B7" w:rsidP="007104B7">
            <w:pPr>
              <w:jc w:val="right"/>
              <w:rPr>
                <w:rFonts w:ascii="Arial" w:hAnsi="Arial" w:cs="Arial"/>
                <w:color w:val="000000"/>
                <w:sz w:val="18"/>
                <w:szCs w:val="18"/>
              </w:rPr>
            </w:pPr>
          </w:p>
        </w:tc>
        <w:tc>
          <w:tcPr>
            <w:tcW w:w="1304" w:type="dxa"/>
            <w:tcBorders>
              <w:top w:val="nil"/>
              <w:left w:val="nil"/>
              <w:bottom w:val="nil"/>
              <w:right w:val="single" w:sz="4" w:space="0" w:color="auto"/>
            </w:tcBorders>
          </w:tcPr>
          <w:p w14:paraId="530A7C18" w14:textId="60E396AA" w:rsidR="007104B7" w:rsidRDefault="007104B7" w:rsidP="007104B7">
            <w:pPr>
              <w:jc w:val="right"/>
              <w:rPr>
                <w:rFonts w:ascii="Arial" w:hAnsi="Arial" w:cs="Arial"/>
                <w:color w:val="000000"/>
                <w:sz w:val="18"/>
                <w:szCs w:val="18"/>
              </w:rPr>
            </w:pPr>
          </w:p>
        </w:tc>
      </w:tr>
      <w:tr w:rsidR="007104B7" w:rsidRPr="00301088" w14:paraId="427B8561" w14:textId="5447744B" w:rsidTr="00966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668" w:type="dxa"/>
            <w:tcBorders>
              <w:top w:val="nil"/>
              <w:left w:val="single" w:sz="4" w:space="0" w:color="auto"/>
              <w:bottom w:val="nil"/>
              <w:right w:val="nil"/>
            </w:tcBorders>
            <w:shd w:val="clear" w:color="auto" w:fill="auto"/>
            <w:noWrap/>
            <w:vAlign w:val="center"/>
            <w:hideMark/>
          </w:tcPr>
          <w:p w14:paraId="68E178F2" w14:textId="77777777" w:rsidR="007104B7" w:rsidRPr="00B94017" w:rsidRDefault="007104B7" w:rsidP="007104B7">
            <w:pPr>
              <w:rPr>
                <w:rFonts w:ascii="Arial" w:hAnsi="Arial" w:cs="Arial"/>
                <w:color w:val="000000"/>
                <w:sz w:val="18"/>
                <w:szCs w:val="18"/>
              </w:rPr>
            </w:pPr>
            <w:r w:rsidRPr="00B94017">
              <w:rPr>
                <w:rFonts w:ascii="Arial" w:hAnsi="Arial" w:cs="Arial"/>
                <w:color w:val="000000"/>
                <w:sz w:val="18"/>
                <w:szCs w:val="18"/>
              </w:rPr>
              <w:t xml:space="preserve">         Other State Appropriations</w:t>
            </w:r>
          </w:p>
        </w:tc>
        <w:tc>
          <w:tcPr>
            <w:tcW w:w="1337" w:type="dxa"/>
            <w:tcBorders>
              <w:top w:val="nil"/>
              <w:left w:val="single" w:sz="4" w:space="0" w:color="auto"/>
              <w:bottom w:val="nil"/>
              <w:right w:val="single" w:sz="4" w:space="0" w:color="auto"/>
            </w:tcBorders>
          </w:tcPr>
          <w:p w14:paraId="2DAA96D2" w14:textId="4DD39F3B" w:rsidR="007104B7" w:rsidRPr="00B94017" w:rsidRDefault="007104B7" w:rsidP="007104B7">
            <w:pPr>
              <w:jc w:val="right"/>
              <w:rPr>
                <w:rFonts w:ascii="Arial" w:hAnsi="Arial" w:cs="Arial"/>
                <w:color w:val="000000"/>
                <w:sz w:val="18"/>
                <w:szCs w:val="18"/>
              </w:rPr>
            </w:pPr>
            <w:r>
              <w:rPr>
                <w:rFonts w:ascii="Arial" w:hAnsi="Arial" w:cs="Arial"/>
                <w:color w:val="000000"/>
                <w:sz w:val="18"/>
                <w:szCs w:val="18"/>
              </w:rPr>
              <w:t>6,091,000</w:t>
            </w:r>
          </w:p>
        </w:tc>
        <w:tc>
          <w:tcPr>
            <w:tcW w:w="1424" w:type="dxa"/>
            <w:tcBorders>
              <w:top w:val="nil"/>
              <w:left w:val="nil"/>
              <w:bottom w:val="nil"/>
              <w:right w:val="single" w:sz="4" w:space="0" w:color="auto"/>
            </w:tcBorders>
          </w:tcPr>
          <w:p w14:paraId="0468C5DE" w14:textId="25D4700E" w:rsidR="007104B7" w:rsidRPr="00B94017" w:rsidRDefault="007104B7" w:rsidP="007104B7">
            <w:pPr>
              <w:jc w:val="right"/>
              <w:rPr>
                <w:rFonts w:ascii="Arial" w:hAnsi="Arial" w:cs="Arial"/>
                <w:color w:val="000000"/>
                <w:sz w:val="18"/>
                <w:szCs w:val="18"/>
              </w:rPr>
            </w:pPr>
            <w:r>
              <w:rPr>
                <w:rFonts w:ascii="Arial" w:hAnsi="Arial" w:cs="Arial"/>
                <w:color w:val="000000"/>
                <w:sz w:val="18"/>
                <w:szCs w:val="18"/>
              </w:rPr>
              <w:t>5,123,000</w:t>
            </w:r>
          </w:p>
        </w:tc>
        <w:tc>
          <w:tcPr>
            <w:tcW w:w="1337" w:type="dxa"/>
            <w:tcBorders>
              <w:top w:val="nil"/>
              <w:left w:val="nil"/>
              <w:bottom w:val="nil"/>
              <w:right w:val="single" w:sz="4" w:space="0" w:color="auto"/>
            </w:tcBorders>
          </w:tcPr>
          <w:p w14:paraId="73B84829" w14:textId="61DB9E34" w:rsidR="007104B7" w:rsidRDefault="007104B7" w:rsidP="007104B7">
            <w:pPr>
              <w:jc w:val="right"/>
              <w:rPr>
                <w:rFonts w:ascii="Arial" w:hAnsi="Arial" w:cs="Arial"/>
                <w:color w:val="000000"/>
                <w:sz w:val="18"/>
                <w:szCs w:val="18"/>
              </w:rPr>
            </w:pPr>
          </w:p>
        </w:tc>
        <w:tc>
          <w:tcPr>
            <w:tcW w:w="1304" w:type="dxa"/>
            <w:tcBorders>
              <w:top w:val="nil"/>
              <w:left w:val="nil"/>
              <w:bottom w:val="nil"/>
              <w:right w:val="single" w:sz="4" w:space="0" w:color="auto"/>
            </w:tcBorders>
          </w:tcPr>
          <w:p w14:paraId="54453756" w14:textId="1FEA9D68" w:rsidR="007104B7" w:rsidRDefault="007104B7" w:rsidP="007104B7">
            <w:pPr>
              <w:jc w:val="right"/>
              <w:rPr>
                <w:rFonts w:ascii="Arial" w:hAnsi="Arial" w:cs="Arial"/>
                <w:color w:val="000000"/>
                <w:sz w:val="18"/>
                <w:szCs w:val="18"/>
              </w:rPr>
            </w:pPr>
          </w:p>
        </w:tc>
      </w:tr>
      <w:tr w:rsidR="007104B7" w:rsidRPr="00301088" w14:paraId="3CDFE4A6" w14:textId="7E68D320" w:rsidTr="00966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668" w:type="dxa"/>
            <w:tcBorders>
              <w:top w:val="nil"/>
              <w:left w:val="single" w:sz="4" w:space="0" w:color="auto"/>
              <w:bottom w:val="nil"/>
              <w:right w:val="nil"/>
            </w:tcBorders>
            <w:shd w:val="clear" w:color="auto" w:fill="auto"/>
            <w:noWrap/>
            <w:vAlign w:val="center"/>
            <w:hideMark/>
          </w:tcPr>
          <w:p w14:paraId="17B8A8C4" w14:textId="77777777" w:rsidR="007104B7" w:rsidRPr="00B94017" w:rsidRDefault="007104B7" w:rsidP="007104B7">
            <w:pPr>
              <w:rPr>
                <w:rFonts w:ascii="Arial" w:hAnsi="Arial" w:cs="Arial"/>
                <w:color w:val="000000"/>
                <w:sz w:val="18"/>
                <w:szCs w:val="18"/>
              </w:rPr>
            </w:pPr>
            <w:r w:rsidRPr="00B94017">
              <w:rPr>
                <w:rFonts w:ascii="Arial" w:hAnsi="Arial" w:cs="Arial"/>
                <w:color w:val="000000"/>
                <w:sz w:val="18"/>
                <w:szCs w:val="18"/>
              </w:rPr>
              <w:t xml:space="preserve">         Professional Technical Education</w:t>
            </w:r>
          </w:p>
        </w:tc>
        <w:tc>
          <w:tcPr>
            <w:tcW w:w="1337" w:type="dxa"/>
            <w:tcBorders>
              <w:top w:val="nil"/>
              <w:left w:val="single" w:sz="4" w:space="0" w:color="auto"/>
              <w:bottom w:val="nil"/>
              <w:right w:val="single" w:sz="4" w:space="0" w:color="auto"/>
            </w:tcBorders>
          </w:tcPr>
          <w:p w14:paraId="03F11161" w14:textId="5F0F62D8" w:rsidR="007104B7" w:rsidRPr="00B94017" w:rsidRDefault="007104B7" w:rsidP="007104B7">
            <w:pPr>
              <w:jc w:val="right"/>
              <w:rPr>
                <w:rFonts w:ascii="Arial" w:hAnsi="Arial" w:cs="Arial"/>
                <w:color w:val="000000"/>
                <w:sz w:val="18"/>
                <w:szCs w:val="18"/>
              </w:rPr>
            </w:pPr>
            <w:r>
              <w:rPr>
                <w:rFonts w:ascii="Arial" w:hAnsi="Arial" w:cs="Arial"/>
                <w:color w:val="000000"/>
                <w:sz w:val="18"/>
                <w:szCs w:val="18"/>
              </w:rPr>
              <w:t>13,889,000</w:t>
            </w:r>
          </w:p>
        </w:tc>
        <w:tc>
          <w:tcPr>
            <w:tcW w:w="1424" w:type="dxa"/>
            <w:tcBorders>
              <w:top w:val="nil"/>
              <w:left w:val="nil"/>
              <w:bottom w:val="nil"/>
              <w:right w:val="single" w:sz="4" w:space="0" w:color="auto"/>
            </w:tcBorders>
          </w:tcPr>
          <w:p w14:paraId="5234564F" w14:textId="4DBCACF0" w:rsidR="007104B7" w:rsidRPr="00B94017" w:rsidRDefault="007104B7" w:rsidP="007104B7">
            <w:pPr>
              <w:jc w:val="right"/>
              <w:rPr>
                <w:rFonts w:ascii="Arial" w:hAnsi="Arial" w:cs="Arial"/>
                <w:color w:val="000000"/>
                <w:sz w:val="18"/>
                <w:szCs w:val="18"/>
              </w:rPr>
            </w:pPr>
            <w:r>
              <w:rPr>
                <w:rFonts w:ascii="Arial" w:hAnsi="Arial" w:cs="Arial"/>
                <w:color w:val="000000"/>
                <w:sz w:val="18"/>
                <w:szCs w:val="18"/>
              </w:rPr>
              <w:t>15,531,000</w:t>
            </w:r>
          </w:p>
        </w:tc>
        <w:tc>
          <w:tcPr>
            <w:tcW w:w="1337" w:type="dxa"/>
            <w:tcBorders>
              <w:top w:val="nil"/>
              <w:left w:val="nil"/>
              <w:bottom w:val="nil"/>
              <w:right w:val="single" w:sz="4" w:space="0" w:color="auto"/>
            </w:tcBorders>
          </w:tcPr>
          <w:p w14:paraId="6730C2DD" w14:textId="5A435F4F" w:rsidR="007104B7" w:rsidRDefault="007104B7" w:rsidP="007104B7">
            <w:pPr>
              <w:jc w:val="right"/>
              <w:rPr>
                <w:rFonts w:ascii="Arial" w:hAnsi="Arial" w:cs="Arial"/>
                <w:color w:val="000000"/>
                <w:sz w:val="18"/>
                <w:szCs w:val="18"/>
              </w:rPr>
            </w:pPr>
          </w:p>
        </w:tc>
        <w:tc>
          <w:tcPr>
            <w:tcW w:w="1304" w:type="dxa"/>
            <w:tcBorders>
              <w:top w:val="nil"/>
              <w:left w:val="nil"/>
              <w:bottom w:val="nil"/>
              <w:right w:val="single" w:sz="4" w:space="0" w:color="auto"/>
            </w:tcBorders>
          </w:tcPr>
          <w:p w14:paraId="1678809E" w14:textId="59C4E39C" w:rsidR="007104B7" w:rsidRDefault="007104B7" w:rsidP="007104B7">
            <w:pPr>
              <w:jc w:val="right"/>
              <w:rPr>
                <w:rFonts w:ascii="Arial" w:hAnsi="Arial" w:cs="Arial"/>
                <w:color w:val="000000"/>
                <w:sz w:val="18"/>
                <w:szCs w:val="18"/>
              </w:rPr>
            </w:pPr>
          </w:p>
        </w:tc>
      </w:tr>
      <w:tr w:rsidR="007104B7" w:rsidRPr="00301088" w14:paraId="01CCAF8A" w14:textId="27EAE8F8" w:rsidTr="00966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668" w:type="dxa"/>
            <w:tcBorders>
              <w:top w:val="nil"/>
              <w:left w:val="single" w:sz="4" w:space="0" w:color="auto"/>
              <w:bottom w:val="nil"/>
              <w:right w:val="nil"/>
            </w:tcBorders>
            <w:shd w:val="clear" w:color="auto" w:fill="auto"/>
            <w:noWrap/>
            <w:vAlign w:val="center"/>
            <w:hideMark/>
          </w:tcPr>
          <w:p w14:paraId="745386DF" w14:textId="77777777" w:rsidR="007104B7" w:rsidRPr="00B94017" w:rsidRDefault="007104B7" w:rsidP="007104B7">
            <w:pPr>
              <w:rPr>
                <w:rFonts w:ascii="Arial" w:hAnsi="Arial" w:cs="Arial"/>
                <w:color w:val="000000"/>
                <w:sz w:val="18"/>
                <w:szCs w:val="18"/>
              </w:rPr>
            </w:pPr>
            <w:r w:rsidRPr="00B94017">
              <w:rPr>
                <w:rFonts w:ascii="Arial" w:hAnsi="Arial" w:cs="Arial"/>
                <w:color w:val="000000"/>
                <w:sz w:val="18"/>
                <w:szCs w:val="18"/>
              </w:rPr>
              <w:t>State Department of Public Works</w:t>
            </w:r>
          </w:p>
        </w:tc>
        <w:tc>
          <w:tcPr>
            <w:tcW w:w="1337" w:type="dxa"/>
            <w:tcBorders>
              <w:top w:val="nil"/>
              <w:left w:val="single" w:sz="4" w:space="0" w:color="auto"/>
              <w:bottom w:val="nil"/>
              <w:right w:val="single" w:sz="4" w:space="0" w:color="auto"/>
            </w:tcBorders>
          </w:tcPr>
          <w:p w14:paraId="07736687" w14:textId="1AE01FB2" w:rsidR="007104B7" w:rsidRPr="00B94017" w:rsidRDefault="007104B7" w:rsidP="007104B7">
            <w:pPr>
              <w:jc w:val="right"/>
              <w:rPr>
                <w:rFonts w:ascii="Arial" w:hAnsi="Arial" w:cs="Arial"/>
                <w:color w:val="000000"/>
                <w:sz w:val="18"/>
                <w:szCs w:val="18"/>
              </w:rPr>
            </w:pPr>
            <w:r>
              <w:rPr>
                <w:rFonts w:ascii="Arial" w:hAnsi="Arial" w:cs="Arial"/>
                <w:color w:val="000000"/>
                <w:sz w:val="18"/>
                <w:szCs w:val="18"/>
              </w:rPr>
              <w:t>0</w:t>
            </w:r>
          </w:p>
        </w:tc>
        <w:tc>
          <w:tcPr>
            <w:tcW w:w="1424" w:type="dxa"/>
            <w:tcBorders>
              <w:top w:val="nil"/>
              <w:left w:val="nil"/>
              <w:bottom w:val="nil"/>
              <w:right w:val="single" w:sz="4" w:space="0" w:color="auto"/>
            </w:tcBorders>
          </w:tcPr>
          <w:p w14:paraId="71310D00" w14:textId="02F14874" w:rsidR="007104B7" w:rsidRPr="00B94017" w:rsidRDefault="007104B7" w:rsidP="007104B7">
            <w:pPr>
              <w:jc w:val="right"/>
              <w:rPr>
                <w:rFonts w:ascii="Arial" w:hAnsi="Arial" w:cs="Arial"/>
                <w:color w:val="000000"/>
                <w:sz w:val="18"/>
                <w:szCs w:val="18"/>
              </w:rPr>
            </w:pPr>
            <w:r>
              <w:rPr>
                <w:rFonts w:ascii="Arial" w:hAnsi="Arial" w:cs="Arial"/>
                <w:color w:val="000000"/>
                <w:sz w:val="18"/>
                <w:szCs w:val="18"/>
              </w:rPr>
              <w:t>1,480,000</w:t>
            </w:r>
          </w:p>
        </w:tc>
        <w:tc>
          <w:tcPr>
            <w:tcW w:w="1337" w:type="dxa"/>
            <w:tcBorders>
              <w:top w:val="nil"/>
              <w:left w:val="nil"/>
              <w:bottom w:val="nil"/>
              <w:right w:val="single" w:sz="4" w:space="0" w:color="auto"/>
            </w:tcBorders>
          </w:tcPr>
          <w:p w14:paraId="1095819C" w14:textId="7D752DA7" w:rsidR="007104B7" w:rsidRDefault="007104B7" w:rsidP="007104B7">
            <w:pPr>
              <w:jc w:val="right"/>
              <w:rPr>
                <w:rFonts w:ascii="Arial" w:hAnsi="Arial" w:cs="Arial"/>
                <w:color w:val="000000"/>
                <w:sz w:val="18"/>
                <w:szCs w:val="18"/>
              </w:rPr>
            </w:pPr>
          </w:p>
        </w:tc>
        <w:tc>
          <w:tcPr>
            <w:tcW w:w="1304" w:type="dxa"/>
            <w:tcBorders>
              <w:top w:val="nil"/>
              <w:left w:val="nil"/>
              <w:bottom w:val="nil"/>
              <w:right w:val="single" w:sz="4" w:space="0" w:color="auto"/>
            </w:tcBorders>
          </w:tcPr>
          <w:p w14:paraId="79F83514" w14:textId="51EF194B" w:rsidR="007104B7" w:rsidRDefault="007104B7" w:rsidP="007104B7">
            <w:pPr>
              <w:jc w:val="right"/>
              <w:rPr>
                <w:rFonts w:ascii="Arial" w:hAnsi="Arial" w:cs="Arial"/>
                <w:color w:val="000000"/>
                <w:sz w:val="18"/>
                <w:szCs w:val="18"/>
              </w:rPr>
            </w:pPr>
          </w:p>
        </w:tc>
      </w:tr>
      <w:tr w:rsidR="007104B7" w:rsidRPr="00301088" w14:paraId="572B3E76" w14:textId="421928F1" w:rsidTr="00966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668" w:type="dxa"/>
            <w:tcBorders>
              <w:top w:val="nil"/>
              <w:left w:val="single" w:sz="4" w:space="0" w:color="auto"/>
              <w:bottom w:val="nil"/>
              <w:right w:val="nil"/>
            </w:tcBorders>
            <w:shd w:val="clear" w:color="auto" w:fill="auto"/>
            <w:noWrap/>
            <w:vAlign w:val="center"/>
            <w:hideMark/>
          </w:tcPr>
          <w:p w14:paraId="24770266" w14:textId="77777777" w:rsidR="007104B7" w:rsidRPr="00B94017" w:rsidRDefault="007104B7" w:rsidP="007104B7">
            <w:pPr>
              <w:rPr>
                <w:rFonts w:ascii="Arial" w:hAnsi="Arial" w:cs="Arial"/>
                <w:color w:val="000000"/>
                <w:sz w:val="18"/>
                <w:szCs w:val="18"/>
              </w:rPr>
            </w:pPr>
            <w:r w:rsidRPr="00B94017">
              <w:rPr>
                <w:rFonts w:ascii="Arial" w:hAnsi="Arial" w:cs="Arial"/>
                <w:color w:val="000000"/>
                <w:sz w:val="18"/>
                <w:szCs w:val="18"/>
              </w:rPr>
              <w:t>Title IV grants</w:t>
            </w:r>
          </w:p>
        </w:tc>
        <w:tc>
          <w:tcPr>
            <w:tcW w:w="1337" w:type="dxa"/>
            <w:tcBorders>
              <w:top w:val="nil"/>
              <w:left w:val="single" w:sz="4" w:space="0" w:color="auto"/>
              <w:bottom w:val="nil"/>
              <w:right w:val="single" w:sz="4" w:space="0" w:color="auto"/>
            </w:tcBorders>
          </w:tcPr>
          <w:p w14:paraId="4A7A0041" w14:textId="33AB9039" w:rsidR="007104B7" w:rsidRPr="00B94017" w:rsidRDefault="007104B7" w:rsidP="007104B7">
            <w:pPr>
              <w:jc w:val="right"/>
              <w:rPr>
                <w:rFonts w:ascii="Arial" w:hAnsi="Arial" w:cs="Arial"/>
                <w:color w:val="000000"/>
                <w:sz w:val="18"/>
                <w:szCs w:val="18"/>
              </w:rPr>
            </w:pPr>
            <w:r>
              <w:rPr>
                <w:rFonts w:ascii="Arial" w:hAnsi="Arial" w:cs="Arial"/>
                <w:color w:val="000000"/>
                <w:sz w:val="18"/>
                <w:szCs w:val="18"/>
              </w:rPr>
              <w:t>14,095,000</w:t>
            </w:r>
          </w:p>
        </w:tc>
        <w:tc>
          <w:tcPr>
            <w:tcW w:w="1424" w:type="dxa"/>
            <w:tcBorders>
              <w:top w:val="nil"/>
              <w:left w:val="nil"/>
              <w:bottom w:val="nil"/>
              <w:right w:val="single" w:sz="4" w:space="0" w:color="auto"/>
            </w:tcBorders>
          </w:tcPr>
          <w:p w14:paraId="45688E63" w14:textId="4633F987" w:rsidR="007104B7" w:rsidRPr="00B94017" w:rsidRDefault="007104B7" w:rsidP="007104B7">
            <w:pPr>
              <w:jc w:val="right"/>
              <w:rPr>
                <w:rFonts w:ascii="Arial" w:hAnsi="Arial" w:cs="Arial"/>
                <w:color w:val="000000"/>
                <w:sz w:val="18"/>
                <w:szCs w:val="18"/>
              </w:rPr>
            </w:pPr>
            <w:r>
              <w:rPr>
                <w:rFonts w:ascii="Arial" w:hAnsi="Arial" w:cs="Arial"/>
                <w:color w:val="000000"/>
                <w:sz w:val="18"/>
                <w:szCs w:val="18"/>
              </w:rPr>
              <w:t>14,245,000</w:t>
            </w:r>
          </w:p>
        </w:tc>
        <w:tc>
          <w:tcPr>
            <w:tcW w:w="1337" w:type="dxa"/>
            <w:tcBorders>
              <w:top w:val="nil"/>
              <w:left w:val="nil"/>
              <w:bottom w:val="nil"/>
              <w:right w:val="single" w:sz="4" w:space="0" w:color="auto"/>
            </w:tcBorders>
          </w:tcPr>
          <w:p w14:paraId="78463F25" w14:textId="52F88B74" w:rsidR="007104B7" w:rsidRDefault="007104B7" w:rsidP="007104B7">
            <w:pPr>
              <w:jc w:val="right"/>
              <w:rPr>
                <w:rFonts w:ascii="Arial" w:hAnsi="Arial" w:cs="Arial"/>
                <w:color w:val="000000"/>
                <w:sz w:val="18"/>
                <w:szCs w:val="18"/>
              </w:rPr>
            </w:pPr>
          </w:p>
        </w:tc>
        <w:tc>
          <w:tcPr>
            <w:tcW w:w="1304" w:type="dxa"/>
            <w:tcBorders>
              <w:top w:val="nil"/>
              <w:left w:val="nil"/>
              <w:bottom w:val="nil"/>
              <w:right w:val="single" w:sz="4" w:space="0" w:color="auto"/>
            </w:tcBorders>
          </w:tcPr>
          <w:p w14:paraId="5A4475F3" w14:textId="0430465C" w:rsidR="007104B7" w:rsidRDefault="007104B7" w:rsidP="007104B7">
            <w:pPr>
              <w:jc w:val="right"/>
              <w:rPr>
                <w:rFonts w:ascii="Arial" w:hAnsi="Arial" w:cs="Arial"/>
                <w:color w:val="000000"/>
                <w:sz w:val="18"/>
                <w:szCs w:val="18"/>
              </w:rPr>
            </w:pPr>
          </w:p>
        </w:tc>
      </w:tr>
      <w:tr w:rsidR="007104B7" w:rsidRPr="00301088" w14:paraId="747338BA" w14:textId="0F6DC14C" w:rsidTr="00966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668" w:type="dxa"/>
            <w:tcBorders>
              <w:top w:val="nil"/>
              <w:left w:val="single" w:sz="4" w:space="0" w:color="auto"/>
              <w:bottom w:val="nil"/>
              <w:right w:val="nil"/>
            </w:tcBorders>
            <w:shd w:val="clear" w:color="auto" w:fill="auto"/>
            <w:noWrap/>
            <w:vAlign w:val="center"/>
          </w:tcPr>
          <w:p w14:paraId="223D0A1A" w14:textId="43C86D3F" w:rsidR="007104B7" w:rsidRPr="00B94017" w:rsidRDefault="007104B7" w:rsidP="007104B7">
            <w:pPr>
              <w:rPr>
                <w:rFonts w:ascii="Arial" w:hAnsi="Arial" w:cs="Arial"/>
                <w:color w:val="000000"/>
                <w:sz w:val="18"/>
                <w:szCs w:val="18"/>
              </w:rPr>
            </w:pPr>
            <w:r>
              <w:rPr>
                <w:rFonts w:ascii="Arial" w:hAnsi="Arial" w:cs="Arial"/>
                <w:color w:val="000000"/>
                <w:sz w:val="18"/>
                <w:szCs w:val="18"/>
              </w:rPr>
              <w:t>Other Federal grants</w:t>
            </w:r>
          </w:p>
        </w:tc>
        <w:tc>
          <w:tcPr>
            <w:tcW w:w="1337" w:type="dxa"/>
            <w:tcBorders>
              <w:top w:val="nil"/>
              <w:left w:val="single" w:sz="4" w:space="0" w:color="auto"/>
              <w:bottom w:val="nil"/>
              <w:right w:val="single" w:sz="4" w:space="0" w:color="auto"/>
            </w:tcBorders>
          </w:tcPr>
          <w:p w14:paraId="62E49A23" w14:textId="4E295906" w:rsidR="007104B7" w:rsidRDefault="007104B7" w:rsidP="007104B7">
            <w:pPr>
              <w:jc w:val="right"/>
              <w:rPr>
                <w:rFonts w:ascii="Arial" w:hAnsi="Arial" w:cs="Arial"/>
                <w:color w:val="000000"/>
                <w:sz w:val="18"/>
                <w:szCs w:val="18"/>
              </w:rPr>
            </w:pPr>
            <w:r>
              <w:rPr>
                <w:rFonts w:ascii="Arial" w:hAnsi="Arial" w:cs="Arial"/>
                <w:color w:val="000000"/>
                <w:sz w:val="18"/>
                <w:szCs w:val="18"/>
              </w:rPr>
              <w:t>22,823,000</w:t>
            </w:r>
          </w:p>
        </w:tc>
        <w:tc>
          <w:tcPr>
            <w:tcW w:w="1424" w:type="dxa"/>
            <w:tcBorders>
              <w:top w:val="nil"/>
              <w:left w:val="nil"/>
              <w:bottom w:val="nil"/>
              <w:right w:val="single" w:sz="4" w:space="0" w:color="auto"/>
            </w:tcBorders>
          </w:tcPr>
          <w:p w14:paraId="76FA1E8F" w14:textId="452878F4" w:rsidR="007104B7" w:rsidRDefault="007104B7" w:rsidP="007104B7">
            <w:pPr>
              <w:jc w:val="right"/>
              <w:rPr>
                <w:rFonts w:ascii="Arial" w:hAnsi="Arial" w:cs="Arial"/>
                <w:color w:val="000000"/>
                <w:sz w:val="18"/>
                <w:szCs w:val="18"/>
              </w:rPr>
            </w:pPr>
            <w:r>
              <w:rPr>
                <w:rFonts w:ascii="Arial" w:hAnsi="Arial" w:cs="Arial"/>
                <w:color w:val="000000"/>
                <w:sz w:val="18"/>
                <w:szCs w:val="18"/>
              </w:rPr>
              <w:t>0</w:t>
            </w:r>
          </w:p>
        </w:tc>
        <w:tc>
          <w:tcPr>
            <w:tcW w:w="1337" w:type="dxa"/>
            <w:tcBorders>
              <w:top w:val="nil"/>
              <w:left w:val="nil"/>
              <w:bottom w:val="nil"/>
              <w:right w:val="single" w:sz="4" w:space="0" w:color="auto"/>
            </w:tcBorders>
          </w:tcPr>
          <w:p w14:paraId="7BD89C96" w14:textId="3CB51044" w:rsidR="007104B7" w:rsidRDefault="007104B7" w:rsidP="007104B7">
            <w:pPr>
              <w:jc w:val="right"/>
              <w:rPr>
                <w:rFonts w:ascii="Arial" w:hAnsi="Arial" w:cs="Arial"/>
                <w:color w:val="000000"/>
                <w:sz w:val="18"/>
                <w:szCs w:val="18"/>
              </w:rPr>
            </w:pPr>
          </w:p>
        </w:tc>
        <w:tc>
          <w:tcPr>
            <w:tcW w:w="1304" w:type="dxa"/>
            <w:tcBorders>
              <w:top w:val="nil"/>
              <w:left w:val="nil"/>
              <w:bottom w:val="nil"/>
              <w:right w:val="single" w:sz="4" w:space="0" w:color="auto"/>
            </w:tcBorders>
          </w:tcPr>
          <w:p w14:paraId="009D482C" w14:textId="5C883B70" w:rsidR="007104B7" w:rsidRDefault="007104B7" w:rsidP="007104B7">
            <w:pPr>
              <w:jc w:val="right"/>
              <w:rPr>
                <w:rFonts w:ascii="Arial" w:hAnsi="Arial" w:cs="Arial"/>
                <w:color w:val="000000"/>
                <w:sz w:val="18"/>
                <w:szCs w:val="18"/>
              </w:rPr>
            </w:pPr>
          </w:p>
        </w:tc>
      </w:tr>
      <w:tr w:rsidR="007104B7" w:rsidRPr="00301088" w14:paraId="25D8AA3A" w14:textId="2CE65F02" w:rsidTr="00966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668" w:type="dxa"/>
            <w:tcBorders>
              <w:top w:val="nil"/>
              <w:left w:val="single" w:sz="4" w:space="0" w:color="auto"/>
              <w:bottom w:val="nil"/>
              <w:right w:val="nil"/>
            </w:tcBorders>
            <w:shd w:val="clear" w:color="auto" w:fill="auto"/>
            <w:noWrap/>
            <w:vAlign w:val="center"/>
            <w:hideMark/>
          </w:tcPr>
          <w:p w14:paraId="31080E2F" w14:textId="77777777" w:rsidR="007104B7" w:rsidRPr="00B94017" w:rsidRDefault="007104B7" w:rsidP="007104B7">
            <w:pPr>
              <w:rPr>
                <w:rFonts w:ascii="Arial" w:hAnsi="Arial" w:cs="Arial"/>
                <w:color w:val="000000"/>
                <w:sz w:val="18"/>
                <w:szCs w:val="18"/>
              </w:rPr>
            </w:pPr>
            <w:r w:rsidRPr="00B94017">
              <w:rPr>
                <w:rFonts w:ascii="Arial" w:hAnsi="Arial" w:cs="Arial"/>
                <w:color w:val="000000"/>
                <w:sz w:val="18"/>
                <w:szCs w:val="18"/>
              </w:rPr>
              <w:t>Gifts</w:t>
            </w:r>
          </w:p>
        </w:tc>
        <w:tc>
          <w:tcPr>
            <w:tcW w:w="1337" w:type="dxa"/>
            <w:tcBorders>
              <w:top w:val="nil"/>
              <w:left w:val="single" w:sz="4" w:space="0" w:color="auto"/>
              <w:bottom w:val="nil"/>
              <w:right w:val="single" w:sz="4" w:space="0" w:color="auto"/>
            </w:tcBorders>
          </w:tcPr>
          <w:p w14:paraId="1AEBBBB8" w14:textId="26296A55" w:rsidR="007104B7" w:rsidRPr="00B94017" w:rsidRDefault="007104B7" w:rsidP="007104B7">
            <w:pPr>
              <w:jc w:val="right"/>
              <w:rPr>
                <w:rFonts w:ascii="Arial" w:hAnsi="Arial" w:cs="Arial"/>
                <w:color w:val="000000"/>
                <w:sz w:val="18"/>
                <w:szCs w:val="18"/>
              </w:rPr>
            </w:pPr>
            <w:r>
              <w:rPr>
                <w:rFonts w:ascii="Arial" w:hAnsi="Arial" w:cs="Arial"/>
                <w:color w:val="000000"/>
                <w:sz w:val="18"/>
                <w:szCs w:val="18"/>
              </w:rPr>
              <w:t>12,935,000</w:t>
            </w:r>
          </w:p>
        </w:tc>
        <w:tc>
          <w:tcPr>
            <w:tcW w:w="1424" w:type="dxa"/>
            <w:tcBorders>
              <w:top w:val="nil"/>
              <w:left w:val="nil"/>
              <w:bottom w:val="nil"/>
              <w:right w:val="single" w:sz="4" w:space="0" w:color="auto"/>
            </w:tcBorders>
          </w:tcPr>
          <w:p w14:paraId="608D3FE2" w14:textId="5C959E02" w:rsidR="007104B7" w:rsidRPr="00B94017" w:rsidRDefault="007104B7" w:rsidP="007104B7">
            <w:pPr>
              <w:jc w:val="right"/>
              <w:rPr>
                <w:rFonts w:ascii="Arial" w:hAnsi="Arial" w:cs="Arial"/>
                <w:color w:val="000000"/>
                <w:sz w:val="18"/>
                <w:szCs w:val="18"/>
              </w:rPr>
            </w:pPr>
            <w:r>
              <w:rPr>
                <w:rFonts w:ascii="Arial" w:hAnsi="Arial" w:cs="Arial"/>
                <w:color w:val="000000"/>
                <w:sz w:val="18"/>
                <w:szCs w:val="18"/>
              </w:rPr>
              <w:t>22,847,000</w:t>
            </w:r>
          </w:p>
        </w:tc>
        <w:tc>
          <w:tcPr>
            <w:tcW w:w="1337" w:type="dxa"/>
            <w:tcBorders>
              <w:top w:val="nil"/>
              <w:left w:val="nil"/>
              <w:bottom w:val="nil"/>
              <w:right w:val="single" w:sz="4" w:space="0" w:color="auto"/>
            </w:tcBorders>
          </w:tcPr>
          <w:p w14:paraId="44998CB0" w14:textId="72DBABA8" w:rsidR="007104B7" w:rsidRDefault="007104B7" w:rsidP="007104B7">
            <w:pPr>
              <w:jc w:val="right"/>
              <w:rPr>
                <w:rFonts w:ascii="Arial" w:hAnsi="Arial" w:cs="Arial"/>
                <w:color w:val="000000"/>
                <w:sz w:val="18"/>
                <w:szCs w:val="18"/>
              </w:rPr>
            </w:pPr>
          </w:p>
        </w:tc>
        <w:tc>
          <w:tcPr>
            <w:tcW w:w="1304" w:type="dxa"/>
            <w:tcBorders>
              <w:top w:val="nil"/>
              <w:left w:val="nil"/>
              <w:bottom w:val="nil"/>
              <w:right w:val="single" w:sz="4" w:space="0" w:color="auto"/>
            </w:tcBorders>
          </w:tcPr>
          <w:p w14:paraId="1CD78AD9" w14:textId="019787BF" w:rsidR="007104B7" w:rsidRDefault="007104B7" w:rsidP="007104B7">
            <w:pPr>
              <w:jc w:val="right"/>
              <w:rPr>
                <w:rFonts w:ascii="Arial" w:hAnsi="Arial" w:cs="Arial"/>
                <w:color w:val="000000"/>
                <w:sz w:val="18"/>
                <w:szCs w:val="18"/>
              </w:rPr>
            </w:pPr>
          </w:p>
        </w:tc>
      </w:tr>
      <w:tr w:rsidR="007104B7" w:rsidRPr="00301088" w14:paraId="7B9EF928" w14:textId="13F671E0" w:rsidTr="00966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668" w:type="dxa"/>
            <w:tcBorders>
              <w:top w:val="nil"/>
              <w:left w:val="single" w:sz="4" w:space="0" w:color="auto"/>
              <w:bottom w:val="nil"/>
              <w:right w:val="nil"/>
            </w:tcBorders>
            <w:shd w:val="clear" w:color="auto" w:fill="auto"/>
            <w:noWrap/>
            <w:vAlign w:val="center"/>
            <w:hideMark/>
          </w:tcPr>
          <w:p w14:paraId="040746D8" w14:textId="7505E82F" w:rsidR="007104B7" w:rsidRPr="00B94017" w:rsidRDefault="007104B7" w:rsidP="007104B7">
            <w:pPr>
              <w:rPr>
                <w:rFonts w:ascii="Arial" w:hAnsi="Arial" w:cs="Arial"/>
                <w:color w:val="000000"/>
                <w:sz w:val="18"/>
                <w:szCs w:val="18"/>
              </w:rPr>
            </w:pPr>
            <w:r w:rsidRPr="00B94017">
              <w:rPr>
                <w:rFonts w:ascii="Arial" w:hAnsi="Arial" w:cs="Arial"/>
                <w:color w:val="000000"/>
                <w:sz w:val="18"/>
                <w:szCs w:val="18"/>
              </w:rPr>
              <w:t>Net investment income</w:t>
            </w:r>
            <w:r>
              <w:rPr>
                <w:rFonts w:ascii="Arial" w:hAnsi="Arial" w:cs="Arial"/>
                <w:color w:val="000000"/>
                <w:sz w:val="18"/>
                <w:szCs w:val="18"/>
              </w:rPr>
              <w:t>/(loss)</w:t>
            </w:r>
          </w:p>
        </w:tc>
        <w:tc>
          <w:tcPr>
            <w:tcW w:w="1337" w:type="dxa"/>
            <w:tcBorders>
              <w:top w:val="nil"/>
              <w:left w:val="single" w:sz="4" w:space="0" w:color="auto"/>
              <w:bottom w:val="nil"/>
              <w:right w:val="single" w:sz="4" w:space="0" w:color="auto"/>
            </w:tcBorders>
          </w:tcPr>
          <w:p w14:paraId="634D63BA" w14:textId="1451A06D" w:rsidR="007104B7" w:rsidRPr="00B94017" w:rsidRDefault="007104B7" w:rsidP="007104B7">
            <w:pPr>
              <w:jc w:val="right"/>
              <w:rPr>
                <w:rFonts w:ascii="Arial" w:hAnsi="Arial" w:cs="Arial"/>
                <w:color w:val="000000"/>
                <w:sz w:val="18"/>
                <w:szCs w:val="18"/>
              </w:rPr>
            </w:pPr>
            <w:r>
              <w:rPr>
                <w:rFonts w:ascii="Arial" w:hAnsi="Arial" w:cs="Arial"/>
                <w:color w:val="000000"/>
                <w:sz w:val="18"/>
                <w:szCs w:val="18"/>
              </w:rPr>
              <w:t>(43,000)</w:t>
            </w:r>
          </w:p>
        </w:tc>
        <w:tc>
          <w:tcPr>
            <w:tcW w:w="1424" w:type="dxa"/>
            <w:tcBorders>
              <w:top w:val="nil"/>
              <w:left w:val="nil"/>
              <w:bottom w:val="nil"/>
              <w:right w:val="single" w:sz="4" w:space="0" w:color="auto"/>
            </w:tcBorders>
          </w:tcPr>
          <w:p w14:paraId="2AF7B31C" w14:textId="5AC6D3F8" w:rsidR="007104B7" w:rsidRPr="00B94017" w:rsidRDefault="007104B7" w:rsidP="007104B7">
            <w:pPr>
              <w:jc w:val="right"/>
              <w:rPr>
                <w:rFonts w:ascii="Arial" w:hAnsi="Arial" w:cs="Arial"/>
                <w:color w:val="000000"/>
                <w:sz w:val="18"/>
                <w:szCs w:val="18"/>
              </w:rPr>
            </w:pPr>
            <w:r>
              <w:rPr>
                <w:rFonts w:ascii="Arial" w:hAnsi="Arial" w:cs="Arial"/>
                <w:color w:val="000000"/>
                <w:sz w:val="18"/>
                <w:szCs w:val="18"/>
              </w:rPr>
              <w:t>3,726,000</w:t>
            </w:r>
          </w:p>
        </w:tc>
        <w:tc>
          <w:tcPr>
            <w:tcW w:w="1337" w:type="dxa"/>
            <w:tcBorders>
              <w:top w:val="nil"/>
              <w:left w:val="nil"/>
              <w:bottom w:val="nil"/>
              <w:right w:val="single" w:sz="4" w:space="0" w:color="auto"/>
            </w:tcBorders>
          </w:tcPr>
          <w:p w14:paraId="785DDE5E" w14:textId="18BEC383" w:rsidR="007104B7" w:rsidRDefault="007104B7" w:rsidP="007104B7">
            <w:pPr>
              <w:jc w:val="right"/>
              <w:rPr>
                <w:rFonts w:ascii="Arial" w:hAnsi="Arial" w:cs="Arial"/>
                <w:color w:val="000000"/>
                <w:sz w:val="18"/>
                <w:szCs w:val="18"/>
              </w:rPr>
            </w:pPr>
          </w:p>
        </w:tc>
        <w:tc>
          <w:tcPr>
            <w:tcW w:w="1304" w:type="dxa"/>
            <w:tcBorders>
              <w:top w:val="nil"/>
              <w:left w:val="nil"/>
              <w:bottom w:val="nil"/>
              <w:right w:val="single" w:sz="4" w:space="0" w:color="auto"/>
            </w:tcBorders>
          </w:tcPr>
          <w:p w14:paraId="707B61B2" w14:textId="79D78EA8" w:rsidR="007104B7" w:rsidRDefault="007104B7" w:rsidP="007104B7">
            <w:pPr>
              <w:jc w:val="right"/>
              <w:rPr>
                <w:rFonts w:ascii="Arial" w:hAnsi="Arial" w:cs="Arial"/>
                <w:color w:val="000000"/>
                <w:sz w:val="18"/>
                <w:szCs w:val="18"/>
              </w:rPr>
            </w:pPr>
          </w:p>
        </w:tc>
      </w:tr>
      <w:tr w:rsidR="007104B7" w:rsidRPr="00301088" w14:paraId="6A07359E" w14:textId="485FDE84" w:rsidTr="00966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668" w:type="dxa"/>
            <w:tcBorders>
              <w:top w:val="nil"/>
              <w:left w:val="single" w:sz="4" w:space="0" w:color="auto"/>
              <w:bottom w:val="nil"/>
              <w:right w:val="nil"/>
            </w:tcBorders>
            <w:shd w:val="clear" w:color="auto" w:fill="auto"/>
            <w:noWrap/>
            <w:vAlign w:val="center"/>
            <w:hideMark/>
          </w:tcPr>
          <w:p w14:paraId="1CC97862" w14:textId="77777777" w:rsidR="007104B7" w:rsidRPr="00B94017" w:rsidRDefault="007104B7" w:rsidP="007104B7">
            <w:pPr>
              <w:rPr>
                <w:rFonts w:ascii="Arial" w:hAnsi="Arial" w:cs="Arial"/>
                <w:color w:val="000000"/>
                <w:sz w:val="18"/>
                <w:szCs w:val="18"/>
              </w:rPr>
            </w:pPr>
            <w:r w:rsidRPr="00B94017">
              <w:rPr>
                <w:rFonts w:ascii="Arial" w:hAnsi="Arial" w:cs="Arial"/>
                <w:color w:val="000000"/>
                <w:sz w:val="18"/>
                <w:szCs w:val="18"/>
              </w:rPr>
              <w:t>Amortization of bond financing costs</w:t>
            </w:r>
          </w:p>
        </w:tc>
        <w:tc>
          <w:tcPr>
            <w:tcW w:w="1337" w:type="dxa"/>
            <w:tcBorders>
              <w:top w:val="nil"/>
              <w:left w:val="single" w:sz="4" w:space="0" w:color="auto"/>
              <w:bottom w:val="nil"/>
              <w:right w:val="single" w:sz="4" w:space="0" w:color="auto"/>
            </w:tcBorders>
          </w:tcPr>
          <w:p w14:paraId="373D34BC" w14:textId="0543E1AB" w:rsidR="007104B7" w:rsidRPr="00B94017" w:rsidRDefault="007104B7" w:rsidP="007104B7">
            <w:pPr>
              <w:jc w:val="right"/>
              <w:rPr>
                <w:rFonts w:ascii="Arial" w:hAnsi="Arial" w:cs="Arial"/>
                <w:color w:val="000000"/>
                <w:sz w:val="18"/>
                <w:szCs w:val="18"/>
              </w:rPr>
            </w:pPr>
            <w:r>
              <w:rPr>
                <w:rFonts w:ascii="Arial" w:hAnsi="Arial" w:cs="Arial"/>
                <w:color w:val="000000"/>
                <w:sz w:val="18"/>
                <w:szCs w:val="18"/>
              </w:rPr>
              <w:t>(229,000)</w:t>
            </w:r>
          </w:p>
        </w:tc>
        <w:tc>
          <w:tcPr>
            <w:tcW w:w="1424" w:type="dxa"/>
            <w:tcBorders>
              <w:top w:val="nil"/>
              <w:left w:val="nil"/>
              <w:bottom w:val="nil"/>
              <w:right w:val="single" w:sz="4" w:space="0" w:color="auto"/>
            </w:tcBorders>
          </w:tcPr>
          <w:p w14:paraId="421CE843" w14:textId="4637F5D9" w:rsidR="007104B7" w:rsidRPr="00B94017" w:rsidRDefault="007104B7" w:rsidP="007104B7">
            <w:pPr>
              <w:jc w:val="right"/>
              <w:rPr>
                <w:rFonts w:ascii="Arial" w:hAnsi="Arial" w:cs="Arial"/>
                <w:color w:val="000000"/>
                <w:sz w:val="18"/>
                <w:szCs w:val="18"/>
              </w:rPr>
            </w:pPr>
            <w:r>
              <w:rPr>
                <w:rFonts w:ascii="Arial" w:hAnsi="Arial" w:cs="Arial"/>
                <w:color w:val="000000"/>
                <w:sz w:val="18"/>
                <w:szCs w:val="18"/>
              </w:rPr>
              <w:t>(234,000)</w:t>
            </w:r>
          </w:p>
        </w:tc>
        <w:tc>
          <w:tcPr>
            <w:tcW w:w="1337" w:type="dxa"/>
            <w:tcBorders>
              <w:top w:val="nil"/>
              <w:left w:val="nil"/>
              <w:bottom w:val="nil"/>
              <w:right w:val="single" w:sz="4" w:space="0" w:color="auto"/>
            </w:tcBorders>
          </w:tcPr>
          <w:p w14:paraId="66FD1AD3" w14:textId="6BDF7194" w:rsidR="007104B7" w:rsidRDefault="007104B7" w:rsidP="007104B7">
            <w:pPr>
              <w:jc w:val="right"/>
              <w:rPr>
                <w:rFonts w:ascii="Arial" w:hAnsi="Arial" w:cs="Arial"/>
                <w:color w:val="000000"/>
                <w:sz w:val="18"/>
                <w:szCs w:val="18"/>
              </w:rPr>
            </w:pPr>
          </w:p>
        </w:tc>
        <w:tc>
          <w:tcPr>
            <w:tcW w:w="1304" w:type="dxa"/>
            <w:tcBorders>
              <w:top w:val="nil"/>
              <w:left w:val="nil"/>
              <w:bottom w:val="nil"/>
              <w:right w:val="single" w:sz="4" w:space="0" w:color="auto"/>
            </w:tcBorders>
          </w:tcPr>
          <w:p w14:paraId="20E83EF4" w14:textId="29C67E33" w:rsidR="007104B7" w:rsidRDefault="007104B7" w:rsidP="007104B7">
            <w:pPr>
              <w:jc w:val="right"/>
              <w:rPr>
                <w:rFonts w:ascii="Arial" w:hAnsi="Arial" w:cs="Arial"/>
                <w:color w:val="000000"/>
                <w:sz w:val="18"/>
                <w:szCs w:val="18"/>
              </w:rPr>
            </w:pPr>
          </w:p>
        </w:tc>
      </w:tr>
      <w:tr w:rsidR="007104B7" w:rsidRPr="00301088" w14:paraId="65AF39FF" w14:textId="08C3D7AF" w:rsidTr="00966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668" w:type="dxa"/>
            <w:tcBorders>
              <w:top w:val="nil"/>
              <w:left w:val="single" w:sz="4" w:space="0" w:color="auto"/>
              <w:right w:val="nil"/>
            </w:tcBorders>
            <w:shd w:val="clear" w:color="auto" w:fill="auto"/>
            <w:noWrap/>
            <w:vAlign w:val="center"/>
          </w:tcPr>
          <w:p w14:paraId="7DF39FAF" w14:textId="14520595" w:rsidR="007104B7" w:rsidRPr="00B94017" w:rsidRDefault="007104B7" w:rsidP="007104B7">
            <w:pPr>
              <w:rPr>
                <w:rFonts w:ascii="Arial" w:hAnsi="Arial" w:cs="Arial"/>
                <w:color w:val="000000"/>
                <w:sz w:val="18"/>
                <w:szCs w:val="18"/>
              </w:rPr>
            </w:pPr>
            <w:r w:rsidRPr="00B94017">
              <w:rPr>
                <w:rFonts w:ascii="Arial" w:hAnsi="Arial" w:cs="Arial"/>
                <w:color w:val="000000"/>
                <w:sz w:val="18"/>
                <w:szCs w:val="18"/>
              </w:rPr>
              <w:t xml:space="preserve">Interest on capital </w:t>
            </w:r>
            <w:r w:rsidRPr="00B94017">
              <w:rPr>
                <w:rFonts w:ascii="Arial" w:hAnsi="Arial" w:cs="Arial"/>
                <w:noProof/>
                <w:color w:val="000000"/>
                <w:sz w:val="18"/>
                <w:szCs w:val="18"/>
              </w:rPr>
              <w:t>asset-related</w:t>
            </w:r>
            <w:r w:rsidRPr="00B94017">
              <w:rPr>
                <w:rFonts w:ascii="Arial" w:hAnsi="Arial" w:cs="Arial"/>
                <w:color w:val="000000"/>
                <w:sz w:val="18"/>
                <w:szCs w:val="18"/>
              </w:rPr>
              <w:t xml:space="preserve"> debt</w:t>
            </w:r>
          </w:p>
        </w:tc>
        <w:tc>
          <w:tcPr>
            <w:tcW w:w="1337" w:type="dxa"/>
            <w:tcBorders>
              <w:top w:val="nil"/>
              <w:left w:val="single" w:sz="4" w:space="0" w:color="auto"/>
              <w:bottom w:val="nil"/>
              <w:right w:val="single" w:sz="4" w:space="0" w:color="auto"/>
            </w:tcBorders>
          </w:tcPr>
          <w:p w14:paraId="47EE4DBB" w14:textId="22E982DE" w:rsidR="007104B7" w:rsidRDefault="007104B7" w:rsidP="007104B7">
            <w:pPr>
              <w:jc w:val="right"/>
              <w:rPr>
                <w:rFonts w:ascii="Arial" w:hAnsi="Arial" w:cs="Arial"/>
                <w:color w:val="000000"/>
                <w:sz w:val="18"/>
                <w:szCs w:val="18"/>
              </w:rPr>
            </w:pPr>
            <w:r>
              <w:rPr>
                <w:rFonts w:ascii="Arial" w:hAnsi="Arial" w:cs="Arial"/>
                <w:color w:val="000000"/>
                <w:sz w:val="18"/>
                <w:szCs w:val="18"/>
              </w:rPr>
              <w:t>(1,473,000)</w:t>
            </w:r>
          </w:p>
        </w:tc>
        <w:tc>
          <w:tcPr>
            <w:tcW w:w="1424" w:type="dxa"/>
            <w:tcBorders>
              <w:top w:val="nil"/>
              <w:left w:val="nil"/>
              <w:bottom w:val="nil"/>
              <w:right w:val="single" w:sz="4" w:space="0" w:color="auto"/>
            </w:tcBorders>
          </w:tcPr>
          <w:p w14:paraId="1C28D63A" w14:textId="1B21F913" w:rsidR="007104B7" w:rsidRDefault="007104B7" w:rsidP="007104B7">
            <w:pPr>
              <w:jc w:val="right"/>
              <w:rPr>
                <w:rFonts w:ascii="Arial" w:hAnsi="Arial" w:cs="Arial"/>
                <w:color w:val="000000"/>
                <w:sz w:val="18"/>
                <w:szCs w:val="18"/>
              </w:rPr>
            </w:pPr>
            <w:r>
              <w:rPr>
                <w:rFonts w:ascii="Arial" w:hAnsi="Arial" w:cs="Arial"/>
                <w:color w:val="000000"/>
                <w:sz w:val="18"/>
                <w:szCs w:val="18"/>
              </w:rPr>
              <w:t>(1,682,000)</w:t>
            </w:r>
          </w:p>
        </w:tc>
        <w:tc>
          <w:tcPr>
            <w:tcW w:w="1337" w:type="dxa"/>
            <w:tcBorders>
              <w:top w:val="nil"/>
              <w:left w:val="nil"/>
              <w:bottom w:val="nil"/>
              <w:right w:val="single" w:sz="4" w:space="0" w:color="auto"/>
            </w:tcBorders>
          </w:tcPr>
          <w:p w14:paraId="444CD2CF" w14:textId="015D07FA" w:rsidR="007104B7" w:rsidRDefault="007104B7" w:rsidP="007104B7">
            <w:pPr>
              <w:jc w:val="right"/>
              <w:rPr>
                <w:rFonts w:ascii="Arial" w:hAnsi="Arial" w:cs="Arial"/>
                <w:color w:val="000000"/>
                <w:sz w:val="18"/>
                <w:szCs w:val="18"/>
              </w:rPr>
            </w:pPr>
          </w:p>
        </w:tc>
        <w:tc>
          <w:tcPr>
            <w:tcW w:w="1304" w:type="dxa"/>
            <w:tcBorders>
              <w:top w:val="nil"/>
              <w:left w:val="nil"/>
              <w:bottom w:val="nil"/>
              <w:right w:val="single" w:sz="4" w:space="0" w:color="auto"/>
            </w:tcBorders>
          </w:tcPr>
          <w:p w14:paraId="5C35FB29" w14:textId="0C272C5D" w:rsidR="007104B7" w:rsidRDefault="007104B7" w:rsidP="007104B7">
            <w:pPr>
              <w:jc w:val="right"/>
              <w:rPr>
                <w:rFonts w:ascii="Arial" w:hAnsi="Arial" w:cs="Arial"/>
                <w:color w:val="000000"/>
                <w:sz w:val="18"/>
                <w:szCs w:val="18"/>
              </w:rPr>
            </w:pPr>
          </w:p>
        </w:tc>
      </w:tr>
      <w:tr w:rsidR="007104B7" w:rsidRPr="00301088" w14:paraId="3D1351A0" w14:textId="1DF142A4" w:rsidTr="00966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668" w:type="dxa"/>
            <w:tcBorders>
              <w:top w:val="nil"/>
              <w:left w:val="single" w:sz="4" w:space="0" w:color="auto"/>
              <w:bottom w:val="single" w:sz="4" w:space="0" w:color="auto"/>
              <w:right w:val="nil"/>
            </w:tcBorders>
            <w:shd w:val="clear" w:color="auto" w:fill="auto"/>
            <w:noWrap/>
            <w:vAlign w:val="center"/>
            <w:hideMark/>
          </w:tcPr>
          <w:p w14:paraId="29E01B7E" w14:textId="7B02F424" w:rsidR="007104B7" w:rsidRPr="00B94017" w:rsidRDefault="007104B7" w:rsidP="007104B7">
            <w:pPr>
              <w:rPr>
                <w:rFonts w:ascii="Arial" w:hAnsi="Arial" w:cs="Arial"/>
                <w:color w:val="000000"/>
                <w:sz w:val="18"/>
                <w:szCs w:val="18"/>
              </w:rPr>
            </w:pPr>
            <w:r w:rsidRPr="00301088">
              <w:rPr>
                <w:rFonts w:ascii="Arial" w:hAnsi="Arial" w:cs="Arial"/>
                <w:color w:val="000000"/>
                <w:sz w:val="18"/>
                <w:szCs w:val="18"/>
              </w:rPr>
              <w:t>Gain or (loss) on disposal of fixed assets</w:t>
            </w:r>
          </w:p>
        </w:tc>
        <w:tc>
          <w:tcPr>
            <w:tcW w:w="1337" w:type="dxa"/>
            <w:tcBorders>
              <w:top w:val="nil"/>
              <w:left w:val="single" w:sz="4" w:space="0" w:color="auto"/>
              <w:bottom w:val="single" w:sz="4" w:space="0" w:color="auto"/>
              <w:right w:val="single" w:sz="4" w:space="0" w:color="auto"/>
            </w:tcBorders>
          </w:tcPr>
          <w:p w14:paraId="1119E27B" w14:textId="6672A569" w:rsidR="007104B7" w:rsidRPr="00B94017" w:rsidRDefault="007104B7" w:rsidP="007104B7">
            <w:pPr>
              <w:jc w:val="right"/>
              <w:rPr>
                <w:rFonts w:ascii="Arial" w:hAnsi="Arial" w:cs="Arial"/>
                <w:color w:val="000000"/>
                <w:sz w:val="18"/>
                <w:szCs w:val="18"/>
              </w:rPr>
            </w:pPr>
            <w:r>
              <w:rPr>
                <w:rFonts w:ascii="Arial" w:hAnsi="Arial" w:cs="Arial"/>
                <w:color w:val="000000"/>
                <w:sz w:val="18"/>
                <w:szCs w:val="18"/>
              </w:rPr>
              <w:t>(36,000)</w:t>
            </w:r>
          </w:p>
        </w:tc>
        <w:tc>
          <w:tcPr>
            <w:tcW w:w="1424" w:type="dxa"/>
            <w:tcBorders>
              <w:top w:val="nil"/>
              <w:left w:val="nil"/>
              <w:bottom w:val="single" w:sz="4" w:space="0" w:color="auto"/>
              <w:right w:val="single" w:sz="4" w:space="0" w:color="auto"/>
            </w:tcBorders>
          </w:tcPr>
          <w:p w14:paraId="291245FA" w14:textId="66724A92" w:rsidR="007104B7" w:rsidRPr="00B94017" w:rsidRDefault="007104B7" w:rsidP="007104B7">
            <w:pPr>
              <w:jc w:val="right"/>
              <w:rPr>
                <w:rFonts w:ascii="Arial" w:hAnsi="Arial" w:cs="Arial"/>
                <w:color w:val="000000"/>
                <w:sz w:val="18"/>
                <w:szCs w:val="18"/>
              </w:rPr>
            </w:pPr>
            <w:r>
              <w:rPr>
                <w:rFonts w:ascii="Arial" w:hAnsi="Arial" w:cs="Arial"/>
                <w:color w:val="000000"/>
                <w:sz w:val="18"/>
                <w:szCs w:val="18"/>
              </w:rPr>
              <w:t>(145,000)</w:t>
            </w:r>
          </w:p>
        </w:tc>
        <w:tc>
          <w:tcPr>
            <w:tcW w:w="1337" w:type="dxa"/>
            <w:tcBorders>
              <w:top w:val="nil"/>
              <w:left w:val="nil"/>
              <w:bottom w:val="single" w:sz="4" w:space="0" w:color="auto"/>
              <w:right w:val="single" w:sz="4" w:space="0" w:color="auto"/>
            </w:tcBorders>
          </w:tcPr>
          <w:p w14:paraId="0208DB18" w14:textId="49A3C0D8" w:rsidR="007104B7" w:rsidRDefault="007104B7" w:rsidP="007104B7">
            <w:pPr>
              <w:jc w:val="right"/>
              <w:rPr>
                <w:rFonts w:ascii="Arial" w:hAnsi="Arial" w:cs="Arial"/>
                <w:color w:val="000000"/>
                <w:sz w:val="18"/>
                <w:szCs w:val="18"/>
              </w:rPr>
            </w:pPr>
          </w:p>
        </w:tc>
        <w:tc>
          <w:tcPr>
            <w:tcW w:w="1304" w:type="dxa"/>
            <w:tcBorders>
              <w:top w:val="nil"/>
              <w:left w:val="nil"/>
              <w:bottom w:val="single" w:sz="4" w:space="0" w:color="auto"/>
              <w:right w:val="single" w:sz="4" w:space="0" w:color="auto"/>
            </w:tcBorders>
          </w:tcPr>
          <w:p w14:paraId="4B9652E3" w14:textId="26E13CDF" w:rsidR="007104B7" w:rsidRDefault="007104B7" w:rsidP="007104B7">
            <w:pPr>
              <w:jc w:val="right"/>
              <w:rPr>
                <w:rFonts w:ascii="Arial" w:hAnsi="Arial" w:cs="Arial"/>
                <w:color w:val="000000"/>
                <w:sz w:val="18"/>
                <w:szCs w:val="18"/>
              </w:rPr>
            </w:pPr>
          </w:p>
        </w:tc>
      </w:tr>
      <w:tr w:rsidR="007104B7" w:rsidRPr="00301088" w14:paraId="678540B2" w14:textId="60F6A8FA" w:rsidTr="00966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6"/>
        </w:trPr>
        <w:tc>
          <w:tcPr>
            <w:tcW w:w="4668" w:type="dxa"/>
            <w:tcBorders>
              <w:top w:val="single" w:sz="4" w:space="0" w:color="auto"/>
              <w:left w:val="single" w:sz="4" w:space="0" w:color="auto"/>
              <w:bottom w:val="nil"/>
              <w:right w:val="nil"/>
            </w:tcBorders>
            <w:shd w:val="clear" w:color="auto" w:fill="auto"/>
            <w:noWrap/>
            <w:vAlign w:val="center"/>
          </w:tcPr>
          <w:p w14:paraId="292F3DBE" w14:textId="77777777" w:rsidR="007104B7" w:rsidRPr="00B94017" w:rsidRDefault="007104B7" w:rsidP="007104B7">
            <w:pPr>
              <w:rPr>
                <w:rFonts w:ascii="Arial" w:hAnsi="Arial" w:cs="Arial"/>
                <w:color w:val="000000"/>
                <w:sz w:val="18"/>
                <w:szCs w:val="18"/>
              </w:rPr>
            </w:pPr>
            <w:r w:rsidRPr="00B94017">
              <w:rPr>
                <w:rFonts w:ascii="Arial" w:hAnsi="Arial" w:cs="Arial"/>
                <w:color w:val="000000"/>
                <w:sz w:val="18"/>
                <w:szCs w:val="18"/>
              </w:rPr>
              <w:t>Net nonoperating revenues/(expenses)</w:t>
            </w:r>
          </w:p>
        </w:tc>
        <w:tc>
          <w:tcPr>
            <w:tcW w:w="1337" w:type="dxa"/>
            <w:tcBorders>
              <w:top w:val="nil"/>
              <w:left w:val="single" w:sz="4" w:space="0" w:color="auto"/>
              <w:bottom w:val="nil"/>
              <w:right w:val="single" w:sz="4" w:space="0" w:color="auto"/>
            </w:tcBorders>
          </w:tcPr>
          <w:p w14:paraId="209DFFB5" w14:textId="2702620E" w:rsidR="007104B7" w:rsidRPr="00B94017" w:rsidRDefault="007104B7" w:rsidP="007104B7">
            <w:pPr>
              <w:jc w:val="right"/>
              <w:rPr>
                <w:rFonts w:ascii="Arial" w:hAnsi="Arial" w:cs="Arial"/>
                <w:color w:val="000000"/>
                <w:sz w:val="18"/>
                <w:szCs w:val="18"/>
              </w:rPr>
            </w:pPr>
            <w:r>
              <w:rPr>
                <w:rFonts w:ascii="Arial" w:hAnsi="Arial" w:cs="Arial"/>
                <w:color w:val="000000"/>
                <w:sz w:val="18"/>
                <w:szCs w:val="18"/>
              </w:rPr>
              <w:t>156,790,000</w:t>
            </w:r>
          </w:p>
        </w:tc>
        <w:tc>
          <w:tcPr>
            <w:tcW w:w="1424" w:type="dxa"/>
            <w:tcBorders>
              <w:top w:val="nil"/>
              <w:left w:val="nil"/>
              <w:bottom w:val="nil"/>
              <w:right w:val="single" w:sz="4" w:space="0" w:color="auto"/>
            </w:tcBorders>
          </w:tcPr>
          <w:p w14:paraId="68678C7B" w14:textId="2539BA82" w:rsidR="007104B7" w:rsidRPr="00B94017" w:rsidRDefault="007104B7" w:rsidP="007104B7">
            <w:pPr>
              <w:jc w:val="right"/>
              <w:rPr>
                <w:rFonts w:ascii="Arial" w:hAnsi="Arial" w:cs="Arial"/>
                <w:color w:val="000000"/>
                <w:sz w:val="18"/>
                <w:szCs w:val="18"/>
              </w:rPr>
            </w:pPr>
            <w:r>
              <w:rPr>
                <w:rFonts w:ascii="Arial" w:hAnsi="Arial" w:cs="Arial"/>
                <w:color w:val="000000"/>
                <w:sz w:val="18"/>
                <w:szCs w:val="18"/>
              </w:rPr>
              <w:t>157,966,000</w:t>
            </w:r>
          </w:p>
        </w:tc>
        <w:tc>
          <w:tcPr>
            <w:tcW w:w="1337" w:type="dxa"/>
            <w:tcBorders>
              <w:top w:val="nil"/>
              <w:left w:val="nil"/>
              <w:bottom w:val="nil"/>
              <w:right w:val="single" w:sz="4" w:space="0" w:color="auto"/>
            </w:tcBorders>
          </w:tcPr>
          <w:p w14:paraId="62B4414B" w14:textId="32B4E066" w:rsidR="007104B7" w:rsidRDefault="007104B7" w:rsidP="007104B7">
            <w:pPr>
              <w:jc w:val="right"/>
              <w:rPr>
                <w:rFonts w:ascii="Arial" w:hAnsi="Arial" w:cs="Arial"/>
                <w:color w:val="000000"/>
                <w:sz w:val="18"/>
                <w:szCs w:val="18"/>
              </w:rPr>
            </w:pPr>
          </w:p>
        </w:tc>
        <w:tc>
          <w:tcPr>
            <w:tcW w:w="1304" w:type="dxa"/>
            <w:tcBorders>
              <w:top w:val="nil"/>
              <w:left w:val="nil"/>
              <w:bottom w:val="nil"/>
              <w:right w:val="single" w:sz="4" w:space="0" w:color="auto"/>
            </w:tcBorders>
          </w:tcPr>
          <w:p w14:paraId="71BD68D7" w14:textId="1AA57FEF" w:rsidR="007104B7" w:rsidRDefault="007104B7" w:rsidP="007104B7">
            <w:pPr>
              <w:jc w:val="right"/>
              <w:rPr>
                <w:rFonts w:ascii="Arial" w:hAnsi="Arial" w:cs="Arial"/>
                <w:color w:val="000000"/>
                <w:sz w:val="18"/>
                <w:szCs w:val="18"/>
              </w:rPr>
            </w:pPr>
          </w:p>
        </w:tc>
      </w:tr>
      <w:tr w:rsidR="007104B7" w:rsidRPr="00301088" w14:paraId="00E5039D" w14:textId="0A6C0123" w:rsidTr="0096682B">
        <w:trPr>
          <w:trHeight w:val="212"/>
        </w:trPr>
        <w:tc>
          <w:tcPr>
            <w:tcW w:w="4668" w:type="dxa"/>
            <w:tcBorders>
              <w:top w:val="single" w:sz="4" w:space="0" w:color="auto"/>
              <w:left w:val="single" w:sz="4" w:space="0" w:color="auto"/>
              <w:bottom w:val="single" w:sz="4" w:space="0" w:color="auto"/>
              <w:right w:val="single" w:sz="4" w:space="0" w:color="auto"/>
            </w:tcBorders>
            <w:shd w:val="clear" w:color="auto" w:fill="000080"/>
            <w:vAlign w:val="center"/>
          </w:tcPr>
          <w:p w14:paraId="7E0FC9B9" w14:textId="77777777" w:rsidR="007104B7" w:rsidRPr="00301088" w:rsidRDefault="007104B7" w:rsidP="007104B7">
            <w:pPr>
              <w:rPr>
                <w:rFonts w:ascii="Arial" w:hAnsi="Arial" w:cs="Arial"/>
                <w:b/>
                <w:bCs/>
                <w:color w:val="FFFFFF"/>
                <w:sz w:val="20"/>
              </w:rPr>
            </w:pPr>
            <w:r>
              <w:rPr>
                <w:rFonts w:ascii="Arial" w:hAnsi="Arial" w:cs="Arial"/>
                <w:b/>
                <w:bCs/>
                <w:color w:val="FFFFFF"/>
                <w:sz w:val="20"/>
              </w:rPr>
              <w:t>Other Revenue and Expenses</w:t>
            </w:r>
          </w:p>
        </w:tc>
        <w:tc>
          <w:tcPr>
            <w:tcW w:w="1337" w:type="dxa"/>
            <w:tcBorders>
              <w:top w:val="single" w:sz="4" w:space="0" w:color="auto"/>
              <w:left w:val="single" w:sz="4" w:space="0" w:color="auto"/>
              <w:bottom w:val="single" w:sz="4" w:space="0" w:color="auto"/>
              <w:right w:val="single" w:sz="4" w:space="0" w:color="auto"/>
            </w:tcBorders>
            <w:shd w:val="clear" w:color="auto" w:fill="000080"/>
          </w:tcPr>
          <w:p w14:paraId="55B83CB5" w14:textId="18A9B5F5" w:rsidR="007104B7" w:rsidRPr="00301088" w:rsidRDefault="007104B7" w:rsidP="007104B7">
            <w:pPr>
              <w:jc w:val="right"/>
              <w:rPr>
                <w:rFonts w:ascii="Arial" w:hAnsi="Arial" w:cs="Arial"/>
                <w:b/>
                <w:bCs/>
                <w:color w:val="FFFFFF"/>
                <w:sz w:val="20"/>
              </w:rPr>
            </w:pPr>
            <w:r>
              <w:rPr>
                <w:rFonts w:ascii="Arial" w:hAnsi="Arial" w:cs="Arial"/>
                <w:b/>
                <w:bCs/>
                <w:color w:val="FFFFFF"/>
                <w:sz w:val="20"/>
              </w:rPr>
              <w:t>FY 2022</w:t>
            </w:r>
          </w:p>
        </w:tc>
        <w:tc>
          <w:tcPr>
            <w:tcW w:w="1424" w:type="dxa"/>
            <w:tcBorders>
              <w:top w:val="single" w:sz="4" w:space="0" w:color="auto"/>
              <w:left w:val="single" w:sz="4" w:space="0" w:color="auto"/>
              <w:bottom w:val="single" w:sz="4" w:space="0" w:color="auto"/>
              <w:right w:val="single" w:sz="4" w:space="0" w:color="auto"/>
            </w:tcBorders>
            <w:shd w:val="clear" w:color="auto" w:fill="000080"/>
          </w:tcPr>
          <w:p w14:paraId="17FDDBC6" w14:textId="03B1EABD" w:rsidR="007104B7" w:rsidRPr="00301088" w:rsidRDefault="007104B7" w:rsidP="007104B7">
            <w:pPr>
              <w:jc w:val="right"/>
              <w:rPr>
                <w:rFonts w:ascii="Arial" w:hAnsi="Arial" w:cs="Arial"/>
                <w:b/>
                <w:bCs/>
                <w:color w:val="FFFFFF"/>
                <w:sz w:val="20"/>
              </w:rPr>
            </w:pPr>
            <w:r>
              <w:rPr>
                <w:rFonts w:ascii="Arial" w:hAnsi="Arial" w:cs="Arial"/>
                <w:b/>
                <w:bCs/>
                <w:color w:val="FFFFFF"/>
                <w:sz w:val="20"/>
              </w:rPr>
              <w:t>FY 2023</w:t>
            </w:r>
          </w:p>
        </w:tc>
        <w:tc>
          <w:tcPr>
            <w:tcW w:w="1337" w:type="dxa"/>
            <w:tcBorders>
              <w:top w:val="single" w:sz="4" w:space="0" w:color="auto"/>
              <w:left w:val="single" w:sz="4" w:space="0" w:color="auto"/>
              <w:bottom w:val="single" w:sz="4" w:space="0" w:color="auto"/>
              <w:right w:val="single" w:sz="4" w:space="0" w:color="auto"/>
            </w:tcBorders>
            <w:shd w:val="clear" w:color="auto" w:fill="000080"/>
          </w:tcPr>
          <w:p w14:paraId="1C5C1806" w14:textId="68D99B28" w:rsidR="007104B7" w:rsidRDefault="007104B7" w:rsidP="007104B7">
            <w:pPr>
              <w:jc w:val="center"/>
              <w:rPr>
                <w:rFonts w:ascii="Arial" w:hAnsi="Arial" w:cs="Arial"/>
                <w:b/>
                <w:bCs/>
                <w:color w:val="FFFFFF"/>
                <w:sz w:val="20"/>
              </w:rPr>
            </w:pPr>
            <w:r>
              <w:rPr>
                <w:rFonts w:ascii="Arial" w:hAnsi="Arial" w:cs="Arial"/>
                <w:b/>
                <w:bCs/>
                <w:color w:val="FFFFFF"/>
                <w:sz w:val="20"/>
              </w:rPr>
              <w:t>FY 2024</w:t>
            </w:r>
          </w:p>
        </w:tc>
        <w:tc>
          <w:tcPr>
            <w:tcW w:w="1304" w:type="dxa"/>
            <w:tcBorders>
              <w:top w:val="single" w:sz="4" w:space="0" w:color="auto"/>
              <w:left w:val="single" w:sz="4" w:space="0" w:color="auto"/>
              <w:bottom w:val="single" w:sz="4" w:space="0" w:color="auto"/>
              <w:right w:val="single" w:sz="4" w:space="0" w:color="auto"/>
            </w:tcBorders>
            <w:shd w:val="clear" w:color="auto" w:fill="000080"/>
          </w:tcPr>
          <w:p w14:paraId="6C744719" w14:textId="36159FEF" w:rsidR="007104B7" w:rsidRDefault="007104B7" w:rsidP="007104B7">
            <w:pPr>
              <w:jc w:val="center"/>
              <w:rPr>
                <w:rFonts w:ascii="Arial" w:hAnsi="Arial" w:cs="Arial"/>
                <w:b/>
                <w:bCs/>
                <w:color w:val="FFFFFF"/>
                <w:sz w:val="20"/>
              </w:rPr>
            </w:pPr>
            <w:r>
              <w:rPr>
                <w:rFonts w:ascii="Arial" w:hAnsi="Arial" w:cs="Arial"/>
                <w:b/>
                <w:bCs/>
                <w:color w:val="FFFFFF"/>
                <w:sz w:val="20"/>
              </w:rPr>
              <w:t>FY 2025</w:t>
            </w:r>
          </w:p>
        </w:tc>
      </w:tr>
      <w:tr w:rsidR="007104B7" w:rsidRPr="00301088" w14:paraId="0BC37B58" w14:textId="43D86A71" w:rsidTr="00966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668" w:type="dxa"/>
            <w:tcBorders>
              <w:top w:val="nil"/>
              <w:left w:val="single" w:sz="4" w:space="0" w:color="auto"/>
              <w:right w:val="nil"/>
            </w:tcBorders>
            <w:shd w:val="clear" w:color="auto" w:fill="auto"/>
            <w:noWrap/>
            <w:vAlign w:val="center"/>
            <w:hideMark/>
          </w:tcPr>
          <w:p w14:paraId="6CC858DA" w14:textId="77777777" w:rsidR="007104B7" w:rsidRPr="00301088" w:rsidRDefault="007104B7" w:rsidP="007104B7">
            <w:pPr>
              <w:ind w:firstLineChars="100" w:firstLine="180"/>
              <w:rPr>
                <w:rFonts w:ascii="Arial" w:hAnsi="Arial" w:cs="Arial"/>
                <w:color w:val="000000"/>
                <w:sz w:val="18"/>
                <w:szCs w:val="18"/>
              </w:rPr>
            </w:pPr>
            <w:r w:rsidRPr="00301088">
              <w:rPr>
                <w:rFonts w:ascii="Arial" w:hAnsi="Arial" w:cs="Arial"/>
                <w:color w:val="000000"/>
                <w:sz w:val="18"/>
                <w:szCs w:val="18"/>
              </w:rPr>
              <w:t>Capital gifts and grants</w:t>
            </w:r>
          </w:p>
        </w:tc>
        <w:tc>
          <w:tcPr>
            <w:tcW w:w="1337" w:type="dxa"/>
            <w:tcBorders>
              <w:top w:val="single" w:sz="4" w:space="0" w:color="auto"/>
              <w:left w:val="single" w:sz="4" w:space="0" w:color="auto"/>
              <w:right w:val="single" w:sz="4" w:space="0" w:color="auto"/>
            </w:tcBorders>
            <w:shd w:val="clear" w:color="auto" w:fill="auto"/>
            <w:noWrap/>
          </w:tcPr>
          <w:p w14:paraId="0DAF8B1E" w14:textId="60638A1B" w:rsidR="007104B7" w:rsidRPr="00301088" w:rsidRDefault="007104B7" w:rsidP="007104B7">
            <w:pPr>
              <w:jc w:val="right"/>
              <w:rPr>
                <w:rFonts w:ascii="Arial" w:hAnsi="Arial" w:cs="Arial"/>
                <w:color w:val="000000"/>
                <w:sz w:val="18"/>
                <w:szCs w:val="18"/>
              </w:rPr>
            </w:pPr>
            <w:r>
              <w:rPr>
                <w:rFonts w:ascii="Arial" w:hAnsi="Arial" w:cs="Arial"/>
                <w:color w:val="000000"/>
                <w:sz w:val="18"/>
                <w:szCs w:val="18"/>
              </w:rPr>
              <w:t>7,248,000</w:t>
            </w:r>
          </w:p>
        </w:tc>
        <w:tc>
          <w:tcPr>
            <w:tcW w:w="1424" w:type="dxa"/>
            <w:tcBorders>
              <w:top w:val="single" w:sz="4" w:space="0" w:color="auto"/>
              <w:left w:val="nil"/>
              <w:right w:val="single" w:sz="4" w:space="0" w:color="auto"/>
            </w:tcBorders>
          </w:tcPr>
          <w:p w14:paraId="2278B4F9" w14:textId="186F0202" w:rsidR="007104B7" w:rsidRPr="00301088" w:rsidRDefault="007104B7" w:rsidP="007104B7">
            <w:pPr>
              <w:jc w:val="right"/>
              <w:rPr>
                <w:rFonts w:ascii="Arial" w:hAnsi="Arial" w:cs="Arial"/>
                <w:color w:val="000000"/>
                <w:sz w:val="18"/>
                <w:szCs w:val="18"/>
              </w:rPr>
            </w:pPr>
            <w:r>
              <w:rPr>
                <w:rFonts w:ascii="Arial" w:hAnsi="Arial" w:cs="Arial"/>
                <w:color w:val="000000"/>
                <w:sz w:val="18"/>
                <w:szCs w:val="18"/>
              </w:rPr>
              <w:t>8,760,000</w:t>
            </w:r>
          </w:p>
        </w:tc>
        <w:tc>
          <w:tcPr>
            <w:tcW w:w="1337" w:type="dxa"/>
            <w:tcBorders>
              <w:top w:val="single" w:sz="4" w:space="0" w:color="auto"/>
              <w:left w:val="nil"/>
              <w:right w:val="single" w:sz="4" w:space="0" w:color="auto"/>
            </w:tcBorders>
          </w:tcPr>
          <w:p w14:paraId="201DD153" w14:textId="75ACBA59" w:rsidR="007104B7" w:rsidRDefault="007104B7" w:rsidP="007104B7">
            <w:pPr>
              <w:jc w:val="right"/>
              <w:rPr>
                <w:rFonts w:ascii="Arial" w:hAnsi="Arial" w:cs="Arial"/>
                <w:color w:val="000000"/>
                <w:sz w:val="18"/>
                <w:szCs w:val="18"/>
              </w:rPr>
            </w:pPr>
          </w:p>
        </w:tc>
        <w:tc>
          <w:tcPr>
            <w:tcW w:w="1304" w:type="dxa"/>
            <w:tcBorders>
              <w:top w:val="single" w:sz="4" w:space="0" w:color="auto"/>
              <w:left w:val="nil"/>
              <w:right w:val="single" w:sz="4" w:space="0" w:color="auto"/>
            </w:tcBorders>
          </w:tcPr>
          <w:p w14:paraId="60783B4E" w14:textId="3124E812" w:rsidR="007104B7" w:rsidRDefault="007104B7" w:rsidP="007104B7">
            <w:pPr>
              <w:jc w:val="right"/>
              <w:rPr>
                <w:rFonts w:ascii="Arial" w:hAnsi="Arial" w:cs="Arial"/>
                <w:color w:val="000000"/>
                <w:sz w:val="18"/>
                <w:szCs w:val="18"/>
              </w:rPr>
            </w:pPr>
          </w:p>
        </w:tc>
      </w:tr>
      <w:tr w:rsidR="007104B7" w:rsidRPr="00301088" w14:paraId="0F898669" w14:textId="7F87F965" w:rsidTr="00966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668" w:type="dxa"/>
            <w:tcBorders>
              <w:top w:val="nil"/>
              <w:left w:val="single" w:sz="4" w:space="0" w:color="auto"/>
              <w:bottom w:val="single" w:sz="4" w:space="0" w:color="auto"/>
              <w:right w:val="nil"/>
            </w:tcBorders>
            <w:shd w:val="clear" w:color="auto" w:fill="auto"/>
            <w:noWrap/>
            <w:vAlign w:val="center"/>
            <w:hideMark/>
          </w:tcPr>
          <w:p w14:paraId="62F5BA1B" w14:textId="77777777" w:rsidR="007104B7" w:rsidRDefault="007104B7" w:rsidP="007104B7">
            <w:pPr>
              <w:ind w:firstLineChars="100" w:firstLine="180"/>
              <w:rPr>
                <w:rFonts w:ascii="Arial" w:hAnsi="Arial" w:cs="Arial"/>
                <w:color w:val="000000"/>
                <w:sz w:val="18"/>
                <w:szCs w:val="18"/>
              </w:rPr>
            </w:pPr>
            <w:r>
              <w:rPr>
                <w:rFonts w:ascii="Arial" w:hAnsi="Arial" w:cs="Arial"/>
                <w:color w:val="000000"/>
                <w:sz w:val="18"/>
                <w:szCs w:val="18"/>
              </w:rPr>
              <w:t>Other Expenses</w:t>
            </w:r>
          </w:p>
          <w:p w14:paraId="655F8C00" w14:textId="58094B27" w:rsidR="007104B7" w:rsidRPr="00301088" w:rsidRDefault="007104B7" w:rsidP="007104B7">
            <w:pPr>
              <w:ind w:firstLineChars="100" w:firstLine="180"/>
              <w:rPr>
                <w:rFonts w:ascii="Arial" w:hAnsi="Arial" w:cs="Arial"/>
                <w:color w:val="000000"/>
                <w:sz w:val="18"/>
                <w:szCs w:val="18"/>
              </w:rPr>
            </w:pPr>
            <w:r>
              <w:rPr>
                <w:rFonts w:ascii="Arial" w:hAnsi="Arial" w:cs="Arial"/>
                <w:color w:val="000000"/>
                <w:sz w:val="18"/>
                <w:szCs w:val="18"/>
              </w:rPr>
              <w:t>Special Items - Transfer of Operations</w:t>
            </w:r>
          </w:p>
        </w:tc>
        <w:tc>
          <w:tcPr>
            <w:tcW w:w="1337" w:type="dxa"/>
            <w:tcBorders>
              <w:top w:val="nil"/>
              <w:left w:val="single" w:sz="4" w:space="0" w:color="auto"/>
              <w:bottom w:val="single" w:sz="4" w:space="0" w:color="auto"/>
              <w:right w:val="single" w:sz="4" w:space="0" w:color="auto"/>
            </w:tcBorders>
            <w:shd w:val="clear" w:color="auto" w:fill="auto"/>
            <w:noWrap/>
          </w:tcPr>
          <w:p w14:paraId="6BC73663" w14:textId="0D43F77D" w:rsidR="007104B7" w:rsidRPr="00301088" w:rsidRDefault="007104B7" w:rsidP="007104B7">
            <w:pPr>
              <w:jc w:val="right"/>
              <w:rPr>
                <w:rFonts w:ascii="Arial" w:hAnsi="Arial" w:cs="Arial"/>
                <w:color w:val="000000"/>
                <w:sz w:val="18"/>
                <w:szCs w:val="18"/>
              </w:rPr>
            </w:pPr>
            <w:r>
              <w:rPr>
                <w:rFonts w:ascii="Arial" w:hAnsi="Arial" w:cs="Arial"/>
                <w:color w:val="000000"/>
                <w:sz w:val="18"/>
                <w:szCs w:val="18"/>
              </w:rPr>
              <w:t>0</w:t>
            </w:r>
          </w:p>
        </w:tc>
        <w:tc>
          <w:tcPr>
            <w:tcW w:w="1424" w:type="dxa"/>
            <w:tcBorders>
              <w:top w:val="nil"/>
              <w:left w:val="nil"/>
              <w:bottom w:val="single" w:sz="4" w:space="0" w:color="auto"/>
              <w:right w:val="single" w:sz="4" w:space="0" w:color="auto"/>
            </w:tcBorders>
          </w:tcPr>
          <w:p w14:paraId="547E622F" w14:textId="7F07CDC2" w:rsidR="007104B7" w:rsidRPr="00301088" w:rsidRDefault="007104B7" w:rsidP="007104B7">
            <w:pPr>
              <w:jc w:val="right"/>
              <w:rPr>
                <w:rFonts w:ascii="Arial" w:hAnsi="Arial" w:cs="Arial"/>
                <w:color w:val="000000"/>
                <w:sz w:val="18"/>
                <w:szCs w:val="18"/>
              </w:rPr>
            </w:pPr>
            <w:r>
              <w:rPr>
                <w:rFonts w:ascii="Arial" w:hAnsi="Arial" w:cs="Arial"/>
                <w:color w:val="000000"/>
                <w:sz w:val="18"/>
                <w:szCs w:val="18"/>
              </w:rPr>
              <w:t>0</w:t>
            </w:r>
          </w:p>
        </w:tc>
        <w:tc>
          <w:tcPr>
            <w:tcW w:w="1337" w:type="dxa"/>
            <w:tcBorders>
              <w:top w:val="nil"/>
              <w:left w:val="nil"/>
              <w:bottom w:val="single" w:sz="4" w:space="0" w:color="auto"/>
              <w:right w:val="single" w:sz="4" w:space="0" w:color="auto"/>
            </w:tcBorders>
          </w:tcPr>
          <w:p w14:paraId="589BFD3F" w14:textId="696D76D9" w:rsidR="007104B7" w:rsidRDefault="007104B7" w:rsidP="007104B7">
            <w:pPr>
              <w:jc w:val="right"/>
              <w:rPr>
                <w:rFonts w:ascii="Arial" w:hAnsi="Arial" w:cs="Arial"/>
                <w:color w:val="000000"/>
                <w:sz w:val="18"/>
                <w:szCs w:val="18"/>
              </w:rPr>
            </w:pPr>
          </w:p>
        </w:tc>
        <w:tc>
          <w:tcPr>
            <w:tcW w:w="1304" w:type="dxa"/>
            <w:tcBorders>
              <w:top w:val="nil"/>
              <w:left w:val="nil"/>
              <w:bottom w:val="single" w:sz="4" w:space="0" w:color="auto"/>
              <w:right w:val="single" w:sz="4" w:space="0" w:color="auto"/>
            </w:tcBorders>
          </w:tcPr>
          <w:p w14:paraId="1E77A4A2" w14:textId="6F43AFDF" w:rsidR="007104B7" w:rsidRDefault="007104B7" w:rsidP="007104B7">
            <w:pPr>
              <w:jc w:val="right"/>
              <w:rPr>
                <w:rFonts w:ascii="Arial" w:hAnsi="Arial" w:cs="Arial"/>
                <w:color w:val="000000"/>
                <w:sz w:val="18"/>
                <w:szCs w:val="18"/>
              </w:rPr>
            </w:pPr>
          </w:p>
        </w:tc>
      </w:tr>
      <w:tr w:rsidR="007104B7" w:rsidRPr="00301088" w14:paraId="630E7C7D" w14:textId="6EF3A7F3" w:rsidTr="00966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668" w:type="dxa"/>
            <w:tcBorders>
              <w:top w:val="single" w:sz="4" w:space="0" w:color="auto"/>
              <w:left w:val="single" w:sz="4" w:space="0" w:color="auto"/>
              <w:right w:val="nil"/>
            </w:tcBorders>
            <w:shd w:val="clear" w:color="auto" w:fill="auto"/>
            <w:noWrap/>
            <w:vAlign w:val="center"/>
            <w:hideMark/>
          </w:tcPr>
          <w:p w14:paraId="29F61BC0" w14:textId="631DE976" w:rsidR="007104B7" w:rsidRPr="00301088" w:rsidRDefault="007104B7" w:rsidP="007104B7">
            <w:pPr>
              <w:rPr>
                <w:rFonts w:ascii="Arial" w:hAnsi="Arial" w:cs="Arial"/>
                <w:color w:val="000000"/>
                <w:sz w:val="18"/>
                <w:szCs w:val="18"/>
              </w:rPr>
            </w:pPr>
            <w:r>
              <w:rPr>
                <w:rFonts w:ascii="Arial" w:hAnsi="Arial" w:cs="Arial"/>
                <w:color w:val="000000"/>
                <w:sz w:val="18"/>
                <w:szCs w:val="18"/>
              </w:rPr>
              <w:t xml:space="preserve">   </w:t>
            </w:r>
            <w:r w:rsidRPr="00301088">
              <w:rPr>
                <w:rFonts w:ascii="Arial" w:hAnsi="Arial" w:cs="Arial"/>
                <w:color w:val="000000"/>
                <w:sz w:val="18"/>
                <w:szCs w:val="18"/>
              </w:rPr>
              <w:t>Net other revenues and expenses</w:t>
            </w:r>
          </w:p>
        </w:tc>
        <w:tc>
          <w:tcPr>
            <w:tcW w:w="1337" w:type="dxa"/>
            <w:tcBorders>
              <w:top w:val="single" w:sz="4" w:space="0" w:color="auto"/>
              <w:left w:val="single" w:sz="4" w:space="0" w:color="auto"/>
              <w:right w:val="single" w:sz="4" w:space="0" w:color="auto"/>
            </w:tcBorders>
            <w:shd w:val="clear" w:color="auto" w:fill="auto"/>
            <w:noWrap/>
          </w:tcPr>
          <w:p w14:paraId="7AB932A2" w14:textId="595490C2" w:rsidR="007104B7" w:rsidRPr="00301088" w:rsidRDefault="007104B7" w:rsidP="007104B7">
            <w:pPr>
              <w:jc w:val="right"/>
              <w:rPr>
                <w:rFonts w:ascii="Arial" w:hAnsi="Arial" w:cs="Arial"/>
                <w:color w:val="000000"/>
                <w:sz w:val="18"/>
                <w:szCs w:val="18"/>
              </w:rPr>
            </w:pPr>
            <w:r>
              <w:rPr>
                <w:rFonts w:ascii="Arial" w:hAnsi="Arial" w:cs="Arial"/>
                <w:color w:val="000000"/>
                <w:sz w:val="18"/>
                <w:szCs w:val="18"/>
              </w:rPr>
              <w:t>7,248,000</w:t>
            </w:r>
          </w:p>
        </w:tc>
        <w:tc>
          <w:tcPr>
            <w:tcW w:w="1424" w:type="dxa"/>
            <w:tcBorders>
              <w:top w:val="single" w:sz="4" w:space="0" w:color="auto"/>
              <w:left w:val="nil"/>
              <w:right w:val="single" w:sz="4" w:space="0" w:color="auto"/>
            </w:tcBorders>
          </w:tcPr>
          <w:p w14:paraId="2DD86E5C" w14:textId="3358C960" w:rsidR="007104B7" w:rsidRPr="00301088" w:rsidRDefault="007104B7" w:rsidP="007104B7">
            <w:pPr>
              <w:jc w:val="right"/>
              <w:rPr>
                <w:rFonts w:ascii="Arial" w:hAnsi="Arial" w:cs="Arial"/>
                <w:color w:val="000000"/>
                <w:sz w:val="18"/>
                <w:szCs w:val="18"/>
              </w:rPr>
            </w:pPr>
            <w:r>
              <w:rPr>
                <w:rFonts w:ascii="Arial" w:hAnsi="Arial" w:cs="Arial"/>
                <w:color w:val="000000"/>
                <w:sz w:val="18"/>
                <w:szCs w:val="18"/>
              </w:rPr>
              <w:t>8,760,000</w:t>
            </w:r>
          </w:p>
        </w:tc>
        <w:tc>
          <w:tcPr>
            <w:tcW w:w="1337" w:type="dxa"/>
            <w:tcBorders>
              <w:top w:val="single" w:sz="4" w:space="0" w:color="auto"/>
              <w:left w:val="nil"/>
              <w:right w:val="single" w:sz="4" w:space="0" w:color="auto"/>
            </w:tcBorders>
          </w:tcPr>
          <w:p w14:paraId="3FF63E73" w14:textId="70323C77" w:rsidR="007104B7" w:rsidRDefault="007104B7" w:rsidP="007104B7">
            <w:pPr>
              <w:jc w:val="right"/>
              <w:rPr>
                <w:rFonts w:ascii="Arial" w:hAnsi="Arial" w:cs="Arial"/>
                <w:color w:val="000000"/>
                <w:sz w:val="18"/>
                <w:szCs w:val="18"/>
              </w:rPr>
            </w:pPr>
          </w:p>
        </w:tc>
        <w:tc>
          <w:tcPr>
            <w:tcW w:w="1304" w:type="dxa"/>
            <w:tcBorders>
              <w:top w:val="single" w:sz="4" w:space="0" w:color="auto"/>
              <w:left w:val="nil"/>
              <w:right w:val="single" w:sz="4" w:space="0" w:color="auto"/>
            </w:tcBorders>
          </w:tcPr>
          <w:p w14:paraId="147F11F6" w14:textId="3DF308F8" w:rsidR="007104B7" w:rsidRDefault="007104B7" w:rsidP="007104B7">
            <w:pPr>
              <w:jc w:val="right"/>
              <w:rPr>
                <w:rFonts w:ascii="Arial" w:hAnsi="Arial" w:cs="Arial"/>
                <w:color w:val="000000"/>
                <w:sz w:val="18"/>
                <w:szCs w:val="18"/>
              </w:rPr>
            </w:pPr>
          </w:p>
        </w:tc>
      </w:tr>
      <w:tr w:rsidR="007104B7" w:rsidRPr="00301088" w14:paraId="197534A1" w14:textId="69E0C76E" w:rsidTr="00966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668" w:type="dxa"/>
            <w:tcBorders>
              <w:top w:val="nil"/>
              <w:left w:val="single" w:sz="4" w:space="0" w:color="auto"/>
              <w:bottom w:val="single" w:sz="4" w:space="0" w:color="auto"/>
              <w:right w:val="nil"/>
            </w:tcBorders>
            <w:shd w:val="clear" w:color="auto" w:fill="auto"/>
            <w:noWrap/>
            <w:vAlign w:val="center"/>
            <w:hideMark/>
          </w:tcPr>
          <w:p w14:paraId="3DCAA2AC" w14:textId="518E8A45" w:rsidR="007104B7" w:rsidRPr="00301088" w:rsidRDefault="007104B7" w:rsidP="007104B7">
            <w:pPr>
              <w:rPr>
                <w:rFonts w:ascii="Arial" w:hAnsi="Arial" w:cs="Arial"/>
                <w:color w:val="000000"/>
                <w:sz w:val="18"/>
                <w:szCs w:val="18"/>
              </w:rPr>
            </w:pPr>
            <w:r>
              <w:rPr>
                <w:rFonts w:ascii="Arial" w:hAnsi="Arial" w:cs="Arial"/>
                <w:color w:val="000000"/>
                <w:sz w:val="18"/>
                <w:szCs w:val="18"/>
              </w:rPr>
              <w:t xml:space="preserve">   </w:t>
            </w:r>
            <w:r w:rsidRPr="00301088">
              <w:rPr>
                <w:rFonts w:ascii="Arial" w:hAnsi="Arial" w:cs="Arial"/>
                <w:color w:val="000000"/>
                <w:sz w:val="18"/>
                <w:szCs w:val="18"/>
              </w:rPr>
              <w:t>Increase in net assets</w:t>
            </w:r>
          </w:p>
        </w:tc>
        <w:tc>
          <w:tcPr>
            <w:tcW w:w="1337" w:type="dxa"/>
            <w:tcBorders>
              <w:left w:val="single" w:sz="4" w:space="0" w:color="auto"/>
              <w:bottom w:val="single" w:sz="4" w:space="0" w:color="auto"/>
              <w:right w:val="single" w:sz="4" w:space="0" w:color="auto"/>
            </w:tcBorders>
            <w:shd w:val="clear" w:color="auto" w:fill="auto"/>
            <w:noWrap/>
          </w:tcPr>
          <w:p w14:paraId="7F8655B3" w14:textId="7B164C35" w:rsidR="007104B7" w:rsidRPr="00301088" w:rsidRDefault="007104B7" w:rsidP="007104B7">
            <w:pPr>
              <w:jc w:val="right"/>
              <w:rPr>
                <w:rFonts w:ascii="Arial" w:hAnsi="Arial" w:cs="Arial"/>
                <w:color w:val="000000"/>
                <w:sz w:val="18"/>
                <w:szCs w:val="18"/>
              </w:rPr>
            </w:pPr>
            <w:r>
              <w:rPr>
                <w:rFonts w:ascii="Arial" w:hAnsi="Arial" w:cs="Arial"/>
                <w:color w:val="000000"/>
                <w:sz w:val="18"/>
                <w:szCs w:val="18"/>
              </w:rPr>
              <w:t>31,565,000</w:t>
            </w:r>
          </w:p>
        </w:tc>
        <w:tc>
          <w:tcPr>
            <w:tcW w:w="1424" w:type="dxa"/>
            <w:tcBorders>
              <w:left w:val="nil"/>
              <w:bottom w:val="single" w:sz="4" w:space="0" w:color="auto"/>
              <w:right w:val="single" w:sz="4" w:space="0" w:color="auto"/>
            </w:tcBorders>
          </w:tcPr>
          <w:p w14:paraId="5F92AFF5" w14:textId="5C31B26B" w:rsidR="007104B7" w:rsidRPr="00301088" w:rsidRDefault="007104B7" w:rsidP="007104B7">
            <w:pPr>
              <w:jc w:val="right"/>
              <w:rPr>
                <w:rFonts w:ascii="Arial" w:hAnsi="Arial" w:cs="Arial"/>
                <w:color w:val="000000"/>
                <w:sz w:val="18"/>
                <w:szCs w:val="18"/>
              </w:rPr>
            </w:pPr>
            <w:r>
              <w:rPr>
                <w:rFonts w:ascii="Arial" w:hAnsi="Arial" w:cs="Arial"/>
                <w:color w:val="000000"/>
                <w:sz w:val="18"/>
                <w:szCs w:val="18"/>
              </w:rPr>
              <w:t>13,982,000</w:t>
            </w:r>
          </w:p>
        </w:tc>
        <w:tc>
          <w:tcPr>
            <w:tcW w:w="1337" w:type="dxa"/>
            <w:tcBorders>
              <w:left w:val="nil"/>
              <w:bottom w:val="single" w:sz="4" w:space="0" w:color="auto"/>
              <w:right w:val="single" w:sz="4" w:space="0" w:color="auto"/>
            </w:tcBorders>
          </w:tcPr>
          <w:p w14:paraId="3327443E" w14:textId="7996A3B6" w:rsidR="007104B7" w:rsidRDefault="007104B7" w:rsidP="007104B7">
            <w:pPr>
              <w:jc w:val="right"/>
              <w:rPr>
                <w:rFonts w:ascii="Arial" w:hAnsi="Arial" w:cs="Arial"/>
                <w:color w:val="000000"/>
                <w:sz w:val="18"/>
                <w:szCs w:val="18"/>
              </w:rPr>
            </w:pPr>
          </w:p>
        </w:tc>
        <w:tc>
          <w:tcPr>
            <w:tcW w:w="1304" w:type="dxa"/>
            <w:tcBorders>
              <w:left w:val="nil"/>
              <w:bottom w:val="single" w:sz="4" w:space="0" w:color="auto"/>
              <w:right w:val="single" w:sz="4" w:space="0" w:color="auto"/>
            </w:tcBorders>
          </w:tcPr>
          <w:p w14:paraId="6F4FC896" w14:textId="7B5B125C" w:rsidR="007104B7" w:rsidRDefault="007104B7" w:rsidP="007104B7">
            <w:pPr>
              <w:jc w:val="right"/>
              <w:rPr>
                <w:rFonts w:ascii="Arial" w:hAnsi="Arial" w:cs="Arial"/>
                <w:color w:val="000000"/>
                <w:sz w:val="18"/>
                <w:szCs w:val="18"/>
              </w:rPr>
            </w:pPr>
          </w:p>
        </w:tc>
      </w:tr>
      <w:tr w:rsidR="007104B7" w:rsidRPr="00301088" w14:paraId="79FC63A9" w14:textId="62CF0578" w:rsidTr="005E4F40">
        <w:trPr>
          <w:trHeight w:val="212"/>
        </w:trPr>
        <w:tc>
          <w:tcPr>
            <w:tcW w:w="4668" w:type="dxa"/>
            <w:tcBorders>
              <w:top w:val="single" w:sz="4" w:space="0" w:color="auto"/>
              <w:left w:val="nil"/>
              <w:bottom w:val="nil"/>
              <w:right w:val="nil"/>
            </w:tcBorders>
            <w:shd w:val="clear" w:color="auto" w:fill="auto"/>
            <w:vAlign w:val="center"/>
          </w:tcPr>
          <w:p w14:paraId="764876A7" w14:textId="052DA34C" w:rsidR="007104B7" w:rsidRPr="00301088" w:rsidRDefault="007104B7" w:rsidP="007104B7">
            <w:pPr>
              <w:rPr>
                <w:rFonts w:ascii="Arial" w:hAnsi="Arial" w:cs="Arial"/>
                <w:b/>
                <w:bCs/>
                <w:color w:val="FFFFFF"/>
                <w:sz w:val="20"/>
              </w:rPr>
            </w:pPr>
          </w:p>
        </w:tc>
        <w:tc>
          <w:tcPr>
            <w:tcW w:w="1337" w:type="dxa"/>
            <w:tcBorders>
              <w:top w:val="single" w:sz="4" w:space="0" w:color="auto"/>
              <w:left w:val="nil"/>
              <w:bottom w:val="nil"/>
              <w:right w:val="nil"/>
            </w:tcBorders>
            <w:shd w:val="clear" w:color="auto" w:fill="auto"/>
            <w:vAlign w:val="center"/>
          </w:tcPr>
          <w:p w14:paraId="7D11B1EC" w14:textId="5D87B300" w:rsidR="007104B7" w:rsidRPr="00301088" w:rsidRDefault="007104B7" w:rsidP="007104B7">
            <w:pPr>
              <w:jc w:val="right"/>
              <w:rPr>
                <w:rFonts w:ascii="Arial" w:hAnsi="Arial" w:cs="Arial"/>
                <w:b/>
                <w:bCs/>
                <w:color w:val="FFFFFF"/>
                <w:sz w:val="20"/>
              </w:rPr>
            </w:pPr>
          </w:p>
        </w:tc>
        <w:tc>
          <w:tcPr>
            <w:tcW w:w="1424" w:type="dxa"/>
            <w:tcBorders>
              <w:top w:val="single" w:sz="4" w:space="0" w:color="auto"/>
              <w:left w:val="nil"/>
              <w:bottom w:val="nil"/>
              <w:right w:val="nil"/>
            </w:tcBorders>
            <w:shd w:val="clear" w:color="auto" w:fill="auto"/>
          </w:tcPr>
          <w:p w14:paraId="2AE3A34C" w14:textId="64B70D57" w:rsidR="007104B7" w:rsidRPr="00301088" w:rsidRDefault="007104B7" w:rsidP="007104B7">
            <w:pPr>
              <w:jc w:val="right"/>
              <w:rPr>
                <w:rFonts w:ascii="Arial" w:hAnsi="Arial" w:cs="Arial"/>
                <w:b/>
                <w:bCs/>
                <w:color w:val="FFFFFF"/>
                <w:sz w:val="20"/>
              </w:rPr>
            </w:pPr>
          </w:p>
        </w:tc>
        <w:tc>
          <w:tcPr>
            <w:tcW w:w="1337" w:type="dxa"/>
            <w:tcBorders>
              <w:top w:val="single" w:sz="4" w:space="0" w:color="auto"/>
              <w:left w:val="nil"/>
              <w:bottom w:val="nil"/>
              <w:right w:val="nil"/>
            </w:tcBorders>
          </w:tcPr>
          <w:p w14:paraId="1D838519" w14:textId="77777777" w:rsidR="007104B7" w:rsidRPr="00301088" w:rsidRDefault="007104B7" w:rsidP="007104B7">
            <w:pPr>
              <w:jc w:val="right"/>
              <w:rPr>
                <w:rFonts w:ascii="Arial" w:hAnsi="Arial" w:cs="Arial"/>
                <w:b/>
                <w:bCs/>
                <w:color w:val="FFFFFF"/>
                <w:sz w:val="20"/>
              </w:rPr>
            </w:pPr>
          </w:p>
        </w:tc>
        <w:tc>
          <w:tcPr>
            <w:tcW w:w="1304" w:type="dxa"/>
            <w:tcBorders>
              <w:top w:val="single" w:sz="4" w:space="0" w:color="auto"/>
              <w:left w:val="nil"/>
              <w:bottom w:val="nil"/>
              <w:right w:val="nil"/>
            </w:tcBorders>
          </w:tcPr>
          <w:p w14:paraId="3B11CAD9" w14:textId="77777777" w:rsidR="007104B7" w:rsidRPr="00301088" w:rsidRDefault="007104B7" w:rsidP="007104B7">
            <w:pPr>
              <w:jc w:val="right"/>
              <w:rPr>
                <w:rFonts w:ascii="Arial" w:hAnsi="Arial" w:cs="Arial"/>
                <w:b/>
                <w:bCs/>
                <w:color w:val="FFFFFF"/>
                <w:sz w:val="20"/>
              </w:rPr>
            </w:pPr>
          </w:p>
        </w:tc>
      </w:tr>
      <w:tr w:rsidR="007104B7" w:rsidRPr="00301088" w14:paraId="2520AD5A" w14:textId="349FC325" w:rsidTr="0096682B">
        <w:trPr>
          <w:trHeight w:val="212"/>
        </w:trPr>
        <w:tc>
          <w:tcPr>
            <w:tcW w:w="4668" w:type="dxa"/>
            <w:tcBorders>
              <w:top w:val="nil"/>
              <w:left w:val="single" w:sz="4" w:space="0" w:color="auto"/>
              <w:bottom w:val="single" w:sz="4" w:space="0" w:color="auto"/>
              <w:right w:val="single" w:sz="4" w:space="0" w:color="auto"/>
            </w:tcBorders>
            <w:shd w:val="clear" w:color="auto" w:fill="000080"/>
            <w:vAlign w:val="center"/>
          </w:tcPr>
          <w:p w14:paraId="294FD8D2" w14:textId="77777777" w:rsidR="007104B7" w:rsidRPr="00301088" w:rsidRDefault="007104B7" w:rsidP="007104B7">
            <w:pPr>
              <w:rPr>
                <w:rFonts w:ascii="Arial" w:hAnsi="Arial" w:cs="Arial"/>
                <w:b/>
                <w:bCs/>
                <w:color w:val="FFFFFF"/>
                <w:sz w:val="20"/>
              </w:rPr>
            </w:pPr>
            <w:r>
              <w:rPr>
                <w:rFonts w:ascii="Arial" w:hAnsi="Arial" w:cs="Arial"/>
                <w:b/>
                <w:bCs/>
                <w:color w:val="FFFFFF"/>
                <w:sz w:val="20"/>
              </w:rPr>
              <w:t>Other Revenue and Expenses</w:t>
            </w:r>
          </w:p>
        </w:tc>
        <w:tc>
          <w:tcPr>
            <w:tcW w:w="1337" w:type="dxa"/>
            <w:tcBorders>
              <w:top w:val="nil"/>
              <w:left w:val="single" w:sz="4" w:space="0" w:color="auto"/>
              <w:bottom w:val="single" w:sz="4" w:space="0" w:color="auto"/>
              <w:right w:val="single" w:sz="4" w:space="0" w:color="auto"/>
            </w:tcBorders>
            <w:shd w:val="clear" w:color="auto" w:fill="000080"/>
          </w:tcPr>
          <w:p w14:paraId="6A6C069C" w14:textId="3B266248" w:rsidR="007104B7" w:rsidRPr="00301088" w:rsidRDefault="007104B7" w:rsidP="007104B7">
            <w:pPr>
              <w:jc w:val="center"/>
              <w:rPr>
                <w:rFonts w:ascii="Arial" w:hAnsi="Arial" w:cs="Arial"/>
                <w:b/>
                <w:bCs/>
                <w:color w:val="FFFFFF"/>
                <w:sz w:val="20"/>
              </w:rPr>
            </w:pPr>
            <w:r>
              <w:rPr>
                <w:rFonts w:ascii="Arial" w:hAnsi="Arial" w:cs="Arial"/>
                <w:b/>
                <w:bCs/>
                <w:color w:val="FFFFFF"/>
                <w:sz w:val="20"/>
              </w:rPr>
              <w:t>FY 2022</w:t>
            </w:r>
          </w:p>
        </w:tc>
        <w:tc>
          <w:tcPr>
            <w:tcW w:w="1424" w:type="dxa"/>
            <w:tcBorders>
              <w:top w:val="nil"/>
              <w:left w:val="single" w:sz="4" w:space="0" w:color="auto"/>
              <w:bottom w:val="single" w:sz="4" w:space="0" w:color="auto"/>
              <w:right w:val="single" w:sz="4" w:space="0" w:color="auto"/>
            </w:tcBorders>
            <w:shd w:val="clear" w:color="auto" w:fill="000080"/>
          </w:tcPr>
          <w:p w14:paraId="4D46831C" w14:textId="59C31974" w:rsidR="007104B7" w:rsidRPr="00301088" w:rsidRDefault="007104B7" w:rsidP="007104B7">
            <w:pPr>
              <w:jc w:val="center"/>
              <w:rPr>
                <w:rFonts w:ascii="Arial" w:hAnsi="Arial" w:cs="Arial"/>
                <w:b/>
                <w:bCs/>
                <w:color w:val="FFFFFF"/>
                <w:sz w:val="20"/>
              </w:rPr>
            </w:pPr>
            <w:r>
              <w:rPr>
                <w:rFonts w:ascii="Arial" w:hAnsi="Arial" w:cs="Arial"/>
                <w:b/>
                <w:bCs/>
                <w:color w:val="FFFFFF"/>
                <w:sz w:val="20"/>
              </w:rPr>
              <w:t>FY 2023</w:t>
            </w:r>
          </w:p>
        </w:tc>
        <w:tc>
          <w:tcPr>
            <w:tcW w:w="1337" w:type="dxa"/>
            <w:tcBorders>
              <w:top w:val="nil"/>
              <w:left w:val="single" w:sz="4" w:space="0" w:color="auto"/>
              <w:bottom w:val="single" w:sz="4" w:space="0" w:color="auto"/>
              <w:right w:val="single" w:sz="4" w:space="0" w:color="auto"/>
            </w:tcBorders>
            <w:shd w:val="clear" w:color="auto" w:fill="000080"/>
          </w:tcPr>
          <w:p w14:paraId="6541EB2A" w14:textId="20EBECCF" w:rsidR="007104B7" w:rsidRDefault="007104B7" w:rsidP="007104B7">
            <w:pPr>
              <w:jc w:val="center"/>
              <w:rPr>
                <w:rFonts w:ascii="Arial" w:hAnsi="Arial" w:cs="Arial"/>
                <w:b/>
                <w:bCs/>
                <w:color w:val="FFFFFF"/>
                <w:sz w:val="20"/>
              </w:rPr>
            </w:pPr>
            <w:r>
              <w:rPr>
                <w:rFonts w:ascii="Arial" w:hAnsi="Arial" w:cs="Arial"/>
                <w:b/>
                <w:bCs/>
                <w:color w:val="FFFFFF"/>
                <w:sz w:val="20"/>
              </w:rPr>
              <w:t>FY 2024</w:t>
            </w:r>
          </w:p>
        </w:tc>
        <w:tc>
          <w:tcPr>
            <w:tcW w:w="1304" w:type="dxa"/>
            <w:tcBorders>
              <w:top w:val="nil"/>
              <w:left w:val="single" w:sz="4" w:space="0" w:color="auto"/>
              <w:bottom w:val="single" w:sz="4" w:space="0" w:color="auto"/>
              <w:right w:val="single" w:sz="4" w:space="0" w:color="auto"/>
            </w:tcBorders>
            <w:shd w:val="clear" w:color="auto" w:fill="000080"/>
          </w:tcPr>
          <w:p w14:paraId="700E33E3" w14:textId="422DD2C9" w:rsidR="007104B7" w:rsidRDefault="007104B7" w:rsidP="007104B7">
            <w:pPr>
              <w:jc w:val="center"/>
              <w:rPr>
                <w:rFonts w:ascii="Arial" w:hAnsi="Arial" w:cs="Arial"/>
                <w:b/>
                <w:bCs/>
                <w:color w:val="FFFFFF"/>
                <w:sz w:val="20"/>
              </w:rPr>
            </w:pPr>
            <w:r>
              <w:rPr>
                <w:rFonts w:ascii="Arial" w:hAnsi="Arial" w:cs="Arial"/>
                <w:b/>
                <w:bCs/>
                <w:color w:val="FFFFFF"/>
                <w:sz w:val="20"/>
              </w:rPr>
              <w:t>FY 2025</w:t>
            </w:r>
          </w:p>
        </w:tc>
      </w:tr>
      <w:tr w:rsidR="007104B7" w:rsidRPr="00301088" w14:paraId="46C32B16" w14:textId="6BE9764F" w:rsidTr="00966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668" w:type="dxa"/>
            <w:tcBorders>
              <w:top w:val="nil"/>
              <w:left w:val="single" w:sz="4" w:space="0" w:color="auto"/>
              <w:bottom w:val="nil"/>
              <w:right w:val="nil"/>
            </w:tcBorders>
            <w:shd w:val="clear" w:color="auto" w:fill="auto"/>
            <w:noWrap/>
            <w:vAlign w:val="center"/>
            <w:hideMark/>
          </w:tcPr>
          <w:p w14:paraId="4070CA2C" w14:textId="77777777" w:rsidR="007104B7" w:rsidRPr="00301088" w:rsidRDefault="007104B7" w:rsidP="007104B7">
            <w:pPr>
              <w:rPr>
                <w:rFonts w:ascii="Arial" w:hAnsi="Arial" w:cs="Arial"/>
                <w:color w:val="000000"/>
                <w:sz w:val="18"/>
                <w:szCs w:val="18"/>
              </w:rPr>
            </w:pPr>
            <w:r w:rsidRPr="00301088">
              <w:rPr>
                <w:rFonts w:ascii="Arial" w:hAnsi="Arial" w:cs="Arial"/>
                <w:color w:val="000000"/>
                <w:sz w:val="18"/>
                <w:szCs w:val="18"/>
              </w:rPr>
              <w:t>Net assets - beginning of year (*-restated)</w:t>
            </w:r>
          </w:p>
        </w:tc>
        <w:tc>
          <w:tcPr>
            <w:tcW w:w="1337" w:type="dxa"/>
            <w:tcBorders>
              <w:top w:val="nil"/>
              <w:left w:val="single" w:sz="4" w:space="0" w:color="auto"/>
              <w:bottom w:val="nil"/>
              <w:right w:val="single" w:sz="4" w:space="0" w:color="auto"/>
            </w:tcBorders>
            <w:shd w:val="clear" w:color="auto" w:fill="auto"/>
            <w:noWrap/>
          </w:tcPr>
          <w:p w14:paraId="7E1EECB1" w14:textId="143526FA" w:rsidR="007104B7" w:rsidRPr="00301088" w:rsidRDefault="007104B7" w:rsidP="007104B7">
            <w:pPr>
              <w:jc w:val="right"/>
              <w:rPr>
                <w:rFonts w:ascii="Arial" w:hAnsi="Arial" w:cs="Arial"/>
                <w:color w:val="000000"/>
                <w:sz w:val="18"/>
                <w:szCs w:val="18"/>
              </w:rPr>
            </w:pPr>
            <w:r>
              <w:rPr>
                <w:rFonts w:ascii="Arial" w:hAnsi="Arial" w:cs="Arial"/>
                <w:color w:val="000000"/>
                <w:sz w:val="18"/>
                <w:szCs w:val="18"/>
              </w:rPr>
              <w:t>272,685,000</w:t>
            </w:r>
          </w:p>
        </w:tc>
        <w:tc>
          <w:tcPr>
            <w:tcW w:w="1424" w:type="dxa"/>
            <w:tcBorders>
              <w:top w:val="nil"/>
              <w:left w:val="nil"/>
              <w:bottom w:val="nil"/>
              <w:right w:val="single" w:sz="4" w:space="0" w:color="auto"/>
            </w:tcBorders>
          </w:tcPr>
          <w:p w14:paraId="036B4F05" w14:textId="63F4662B" w:rsidR="007104B7" w:rsidRPr="00301088" w:rsidRDefault="007104B7" w:rsidP="007104B7">
            <w:pPr>
              <w:jc w:val="right"/>
              <w:rPr>
                <w:rFonts w:ascii="Arial" w:hAnsi="Arial" w:cs="Arial"/>
                <w:color w:val="000000"/>
                <w:sz w:val="18"/>
                <w:szCs w:val="18"/>
              </w:rPr>
            </w:pPr>
            <w:r>
              <w:rPr>
                <w:rFonts w:ascii="Arial" w:hAnsi="Arial" w:cs="Arial"/>
                <w:color w:val="000000"/>
                <w:sz w:val="18"/>
                <w:szCs w:val="18"/>
              </w:rPr>
              <w:t>304,250,000</w:t>
            </w:r>
          </w:p>
        </w:tc>
        <w:tc>
          <w:tcPr>
            <w:tcW w:w="1337" w:type="dxa"/>
            <w:tcBorders>
              <w:top w:val="nil"/>
              <w:left w:val="nil"/>
              <w:bottom w:val="nil"/>
              <w:right w:val="single" w:sz="4" w:space="0" w:color="auto"/>
            </w:tcBorders>
          </w:tcPr>
          <w:p w14:paraId="4DE80986" w14:textId="32005C89" w:rsidR="007104B7" w:rsidRDefault="007104B7" w:rsidP="007104B7">
            <w:pPr>
              <w:jc w:val="right"/>
              <w:rPr>
                <w:rFonts w:ascii="Arial" w:hAnsi="Arial" w:cs="Arial"/>
                <w:color w:val="000000"/>
                <w:sz w:val="18"/>
                <w:szCs w:val="18"/>
              </w:rPr>
            </w:pPr>
          </w:p>
        </w:tc>
        <w:tc>
          <w:tcPr>
            <w:tcW w:w="1304" w:type="dxa"/>
            <w:tcBorders>
              <w:top w:val="nil"/>
              <w:left w:val="nil"/>
              <w:bottom w:val="nil"/>
              <w:right w:val="single" w:sz="4" w:space="0" w:color="auto"/>
            </w:tcBorders>
          </w:tcPr>
          <w:p w14:paraId="766CB5CC" w14:textId="480CD846" w:rsidR="007104B7" w:rsidRDefault="007104B7" w:rsidP="007104B7">
            <w:pPr>
              <w:jc w:val="right"/>
              <w:rPr>
                <w:rFonts w:ascii="Arial" w:hAnsi="Arial" w:cs="Arial"/>
                <w:color w:val="000000"/>
                <w:sz w:val="18"/>
                <w:szCs w:val="18"/>
              </w:rPr>
            </w:pPr>
          </w:p>
        </w:tc>
      </w:tr>
      <w:tr w:rsidR="007104B7" w:rsidRPr="00301088" w14:paraId="1225BF75" w14:textId="4387521D" w:rsidTr="00966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4668" w:type="dxa"/>
            <w:tcBorders>
              <w:top w:val="nil"/>
              <w:left w:val="single" w:sz="4" w:space="0" w:color="auto"/>
              <w:bottom w:val="single" w:sz="4" w:space="0" w:color="auto"/>
              <w:right w:val="nil"/>
            </w:tcBorders>
            <w:shd w:val="clear" w:color="auto" w:fill="auto"/>
            <w:noWrap/>
            <w:vAlign w:val="center"/>
          </w:tcPr>
          <w:p w14:paraId="4858D4A4" w14:textId="77777777" w:rsidR="007104B7" w:rsidRPr="00301088" w:rsidRDefault="007104B7" w:rsidP="007104B7">
            <w:pPr>
              <w:rPr>
                <w:rFonts w:ascii="Arial" w:hAnsi="Arial" w:cs="Arial"/>
                <w:color w:val="000000"/>
                <w:sz w:val="18"/>
                <w:szCs w:val="18"/>
              </w:rPr>
            </w:pPr>
            <w:r>
              <w:rPr>
                <w:rFonts w:ascii="Arial" w:hAnsi="Arial" w:cs="Arial"/>
                <w:color w:val="000000"/>
                <w:sz w:val="18"/>
                <w:szCs w:val="18"/>
              </w:rPr>
              <w:t xml:space="preserve">Net assets – end of year </w:t>
            </w:r>
            <w:r w:rsidRPr="00301088">
              <w:rPr>
                <w:rFonts w:ascii="Arial" w:hAnsi="Arial" w:cs="Arial"/>
                <w:color w:val="000000"/>
                <w:sz w:val="18"/>
                <w:szCs w:val="18"/>
              </w:rPr>
              <w:t>(*-restated)</w:t>
            </w:r>
          </w:p>
        </w:tc>
        <w:tc>
          <w:tcPr>
            <w:tcW w:w="1337" w:type="dxa"/>
            <w:tcBorders>
              <w:top w:val="nil"/>
              <w:left w:val="single" w:sz="4" w:space="0" w:color="auto"/>
              <w:bottom w:val="single" w:sz="4" w:space="0" w:color="auto"/>
              <w:right w:val="single" w:sz="4" w:space="0" w:color="auto"/>
            </w:tcBorders>
            <w:shd w:val="clear" w:color="auto" w:fill="auto"/>
            <w:noWrap/>
          </w:tcPr>
          <w:p w14:paraId="0924968C" w14:textId="1077DE0B" w:rsidR="007104B7" w:rsidRPr="00301088" w:rsidRDefault="007104B7" w:rsidP="007104B7">
            <w:pPr>
              <w:jc w:val="right"/>
              <w:rPr>
                <w:rFonts w:ascii="Arial" w:hAnsi="Arial" w:cs="Arial"/>
                <w:color w:val="000000"/>
                <w:sz w:val="18"/>
                <w:szCs w:val="18"/>
              </w:rPr>
            </w:pPr>
            <w:r>
              <w:rPr>
                <w:rFonts w:ascii="Arial" w:hAnsi="Arial" w:cs="Arial"/>
                <w:color w:val="000000"/>
                <w:sz w:val="18"/>
                <w:szCs w:val="18"/>
              </w:rPr>
              <w:t>304,250,000</w:t>
            </w:r>
          </w:p>
        </w:tc>
        <w:tc>
          <w:tcPr>
            <w:tcW w:w="1424" w:type="dxa"/>
            <w:tcBorders>
              <w:top w:val="nil"/>
              <w:left w:val="nil"/>
              <w:bottom w:val="single" w:sz="4" w:space="0" w:color="auto"/>
              <w:right w:val="single" w:sz="4" w:space="0" w:color="auto"/>
            </w:tcBorders>
          </w:tcPr>
          <w:p w14:paraId="5BB03673" w14:textId="201E502A" w:rsidR="007104B7" w:rsidRPr="00301088" w:rsidRDefault="007104B7" w:rsidP="007104B7">
            <w:pPr>
              <w:jc w:val="right"/>
              <w:rPr>
                <w:rFonts w:ascii="Arial" w:hAnsi="Arial" w:cs="Arial"/>
                <w:color w:val="000000"/>
                <w:sz w:val="18"/>
                <w:szCs w:val="18"/>
              </w:rPr>
            </w:pPr>
            <w:r>
              <w:rPr>
                <w:rFonts w:ascii="Arial" w:hAnsi="Arial" w:cs="Arial"/>
                <w:color w:val="000000"/>
                <w:sz w:val="18"/>
                <w:szCs w:val="18"/>
              </w:rPr>
              <w:t>318,232,000</w:t>
            </w:r>
          </w:p>
        </w:tc>
        <w:tc>
          <w:tcPr>
            <w:tcW w:w="1337" w:type="dxa"/>
            <w:tcBorders>
              <w:top w:val="nil"/>
              <w:left w:val="nil"/>
              <w:bottom w:val="single" w:sz="4" w:space="0" w:color="auto"/>
              <w:right w:val="single" w:sz="4" w:space="0" w:color="auto"/>
            </w:tcBorders>
          </w:tcPr>
          <w:p w14:paraId="0908D4F6" w14:textId="45F62669" w:rsidR="007104B7" w:rsidRDefault="007104B7" w:rsidP="007104B7">
            <w:pPr>
              <w:jc w:val="right"/>
              <w:rPr>
                <w:rFonts w:ascii="Arial" w:hAnsi="Arial" w:cs="Arial"/>
                <w:color w:val="000000"/>
                <w:sz w:val="18"/>
                <w:szCs w:val="18"/>
              </w:rPr>
            </w:pPr>
          </w:p>
        </w:tc>
        <w:tc>
          <w:tcPr>
            <w:tcW w:w="1304" w:type="dxa"/>
            <w:tcBorders>
              <w:top w:val="nil"/>
              <w:left w:val="nil"/>
              <w:bottom w:val="single" w:sz="4" w:space="0" w:color="auto"/>
              <w:right w:val="single" w:sz="4" w:space="0" w:color="auto"/>
            </w:tcBorders>
          </w:tcPr>
          <w:p w14:paraId="3965F7E1" w14:textId="0A2FCC89" w:rsidR="007104B7" w:rsidRDefault="007104B7" w:rsidP="007104B7">
            <w:pPr>
              <w:rPr>
                <w:rFonts w:ascii="Arial" w:hAnsi="Arial" w:cs="Arial"/>
                <w:color w:val="000000"/>
                <w:sz w:val="18"/>
                <w:szCs w:val="18"/>
              </w:rPr>
            </w:pPr>
          </w:p>
        </w:tc>
      </w:tr>
    </w:tbl>
    <w:p w14:paraId="01C1D627" w14:textId="77777777" w:rsidR="002E0B19" w:rsidRDefault="002E0B19" w:rsidP="005D2CAB">
      <w:pPr>
        <w:rPr>
          <w:rFonts w:ascii="Arial" w:hAnsi="Arial" w:cs="Arial"/>
          <w:b/>
          <w:bCs/>
        </w:rPr>
      </w:pPr>
    </w:p>
    <w:p w14:paraId="0DB56678" w14:textId="4DD10FC8" w:rsidR="001D50CB" w:rsidRDefault="001D50CB" w:rsidP="001D50CB">
      <w:pPr>
        <w:jc w:val="both"/>
        <w:rPr>
          <w:rFonts w:ascii="Arial" w:hAnsi="Arial"/>
          <w:b/>
        </w:rPr>
      </w:pPr>
      <w:r w:rsidRPr="001D50CB">
        <w:rPr>
          <w:rFonts w:ascii="Arial" w:hAnsi="Arial"/>
          <w:b/>
        </w:rPr>
        <w:t xml:space="preserve">Idaho Dental Education Program (IDEP) </w:t>
      </w:r>
      <w:r>
        <w:rPr>
          <w:rFonts w:ascii="Arial" w:hAnsi="Arial"/>
          <w:b/>
        </w:rPr>
        <w:t>Revenue and Expenditures</w:t>
      </w:r>
    </w:p>
    <w:p w14:paraId="1CDD4D0B" w14:textId="77777777" w:rsidR="001D50CB" w:rsidRDefault="001D50CB" w:rsidP="001D50CB">
      <w:pPr>
        <w:jc w:val="both"/>
        <w:rPr>
          <w:rFonts w:ascii="Arial" w:hAnsi="Arial"/>
          <w: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5"/>
        <w:gridCol w:w="1350"/>
        <w:gridCol w:w="1350"/>
        <w:gridCol w:w="90"/>
        <w:gridCol w:w="1316"/>
        <w:gridCol w:w="34"/>
        <w:gridCol w:w="1255"/>
      </w:tblGrid>
      <w:tr w:rsidR="007104B7" w14:paraId="2D0CE978" w14:textId="77777777" w:rsidTr="00D24A5A">
        <w:tc>
          <w:tcPr>
            <w:tcW w:w="4675" w:type="dxa"/>
            <w:shd w:val="clear" w:color="auto" w:fill="000080"/>
          </w:tcPr>
          <w:p w14:paraId="0328D31A" w14:textId="77777777" w:rsidR="007104B7" w:rsidRDefault="007104B7" w:rsidP="007104B7">
            <w:pPr>
              <w:rPr>
                <w:rFonts w:ascii="Arial" w:hAnsi="Arial"/>
                <w:b/>
                <w:color w:val="FFFFFF"/>
                <w:sz w:val="20"/>
              </w:rPr>
            </w:pPr>
            <w:r>
              <w:rPr>
                <w:rFonts w:ascii="Arial" w:hAnsi="Arial"/>
                <w:b/>
                <w:color w:val="FFFFFF"/>
                <w:sz w:val="20"/>
              </w:rPr>
              <w:t>Revenue</w:t>
            </w:r>
          </w:p>
        </w:tc>
        <w:tc>
          <w:tcPr>
            <w:tcW w:w="1350" w:type="dxa"/>
            <w:tcBorders>
              <w:bottom w:val="nil"/>
            </w:tcBorders>
            <w:shd w:val="clear" w:color="auto" w:fill="000080"/>
          </w:tcPr>
          <w:p w14:paraId="50374730" w14:textId="1AFDB223" w:rsidR="007104B7" w:rsidRDefault="007104B7" w:rsidP="007104B7">
            <w:pPr>
              <w:jc w:val="right"/>
              <w:rPr>
                <w:rFonts w:ascii="Arial" w:hAnsi="Arial" w:cs="Arial"/>
                <w:b/>
                <w:bCs/>
                <w:color w:val="FFFFFF"/>
                <w:sz w:val="20"/>
                <w:szCs w:val="20"/>
              </w:rPr>
            </w:pPr>
            <w:r>
              <w:rPr>
                <w:rFonts w:ascii="Arial" w:hAnsi="Arial"/>
                <w:b/>
                <w:color w:val="FFFFFF"/>
                <w:sz w:val="20"/>
              </w:rPr>
              <w:t>FY 2022</w:t>
            </w:r>
          </w:p>
        </w:tc>
        <w:tc>
          <w:tcPr>
            <w:tcW w:w="1440" w:type="dxa"/>
            <w:gridSpan w:val="2"/>
            <w:tcBorders>
              <w:bottom w:val="nil"/>
            </w:tcBorders>
            <w:shd w:val="clear" w:color="auto" w:fill="000080"/>
          </w:tcPr>
          <w:p w14:paraId="73B2E5DC" w14:textId="6539DFD1" w:rsidR="007104B7" w:rsidRDefault="007104B7" w:rsidP="007104B7">
            <w:pPr>
              <w:jc w:val="center"/>
              <w:rPr>
                <w:rFonts w:ascii="Arial" w:hAnsi="Arial"/>
                <w:b/>
                <w:color w:val="FFFFFF"/>
                <w:sz w:val="20"/>
              </w:rPr>
            </w:pPr>
            <w:r>
              <w:rPr>
                <w:rFonts w:ascii="Arial" w:hAnsi="Arial"/>
                <w:b/>
                <w:color w:val="FFFFFF"/>
                <w:sz w:val="20"/>
              </w:rPr>
              <w:t>FY 2023</w:t>
            </w:r>
          </w:p>
        </w:tc>
        <w:tc>
          <w:tcPr>
            <w:tcW w:w="1350" w:type="dxa"/>
            <w:gridSpan w:val="2"/>
            <w:tcBorders>
              <w:bottom w:val="nil"/>
            </w:tcBorders>
            <w:shd w:val="clear" w:color="auto" w:fill="000080"/>
          </w:tcPr>
          <w:p w14:paraId="31292F92" w14:textId="21038057" w:rsidR="007104B7" w:rsidRDefault="007104B7" w:rsidP="007104B7">
            <w:pPr>
              <w:jc w:val="center"/>
              <w:rPr>
                <w:rFonts w:ascii="Arial" w:hAnsi="Arial"/>
                <w:b/>
                <w:color w:val="FFFFFF"/>
                <w:sz w:val="20"/>
              </w:rPr>
            </w:pPr>
            <w:r>
              <w:rPr>
                <w:rFonts w:ascii="Arial" w:hAnsi="Arial"/>
                <w:b/>
                <w:color w:val="FFFFFF"/>
                <w:sz w:val="20"/>
              </w:rPr>
              <w:t>FY 2024</w:t>
            </w:r>
          </w:p>
        </w:tc>
        <w:tc>
          <w:tcPr>
            <w:tcW w:w="1255" w:type="dxa"/>
            <w:shd w:val="clear" w:color="auto" w:fill="000080"/>
          </w:tcPr>
          <w:p w14:paraId="1412B741" w14:textId="7BCB8C3A" w:rsidR="007104B7" w:rsidRDefault="007104B7" w:rsidP="007104B7">
            <w:pPr>
              <w:jc w:val="right"/>
              <w:rPr>
                <w:rFonts w:ascii="Arial" w:hAnsi="Arial"/>
                <w:b/>
                <w:color w:val="FFFFFF"/>
                <w:sz w:val="20"/>
              </w:rPr>
            </w:pPr>
            <w:r>
              <w:rPr>
                <w:rFonts w:ascii="Arial" w:hAnsi="Arial"/>
                <w:b/>
                <w:color w:val="FFFFFF"/>
                <w:sz w:val="20"/>
              </w:rPr>
              <w:t>FY 202</w:t>
            </w:r>
            <w:r>
              <w:rPr>
                <w:rFonts w:ascii="Arial" w:hAnsi="Arial"/>
                <w:b/>
                <w:color w:val="FFFFFF"/>
                <w:sz w:val="20"/>
              </w:rPr>
              <w:t>5</w:t>
            </w:r>
          </w:p>
        </w:tc>
      </w:tr>
      <w:tr w:rsidR="007104B7" w14:paraId="3A058116" w14:textId="77777777" w:rsidTr="00D029E2">
        <w:trPr>
          <w:trHeight w:val="324"/>
        </w:trPr>
        <w:tc>
          <w:tcPr>
            <w:tcW w:w="4675" w:type="dxa"/>
            <w:tcBorders>
              <w:right w:val="single" w:sz="4" w:space="0" w:color="auto"/>
            </w:tcBorders>
            <w:vAlign w:val="bottom"/>
          </w:tcPr>
          <w:p w14:paraId="6365648D" w14:textId="77777777" w:rsidR="007104B7" w:rsidRPr="00D24A5A" w:rsidRDefault="007104B7" w:rsidP="007104B7">
            <w:pPr>
              <w:rPr>
                <w:rFonts w:ascii="Arial" w:eastAsia="Arial Unicode MS" w:hAnsi="Arial"/>
                <w:color w:val="000000"/>
                <w:sz w:val="18"/>
                <w:szCs w:val="22"/>
              </w:rPr>
            </w:pPr>
            <w:r w:rsidRPr="00D24A5A">
              <w:rPr>
                <w:rFonts w:ascii="Arial" w:hAnsi="Arial"/>
                <w:color w:val="000000"/>
                <w:sz w:val="18"/>
                <w:szCs w:val="22"/>
              </w:rPr>
              <w:t>General Fund</w:t>
            </w:r>
          </w:p>
        </w:tc>
        <w:tc>
          <w:tcPr>
            <w:tcW w:w="1350" w:type="dxa"/>
            <w:tcBorders>
              <w:top w:val="nil"/>
              <w:left w:val="single" w:sz="4" w:space="0" w:color="auto"/>
              <w:bottom w:val="nil"/>
              <w:right w:val="single" w:sz="4" w:space="0" w:color="auto"/>
            </w:tcBorders>
          </w:tcPr>
          <w:p w14:paraId="43CF6BC2" w14:textId="4694A1DA" w:rsidR="007104B7" w:rsidRPr="00D24A5A" w:rsidRDefault="007104B7" w:rsidP="007104B7">
            <w:pPr>
              <w:jc w:val="right"/>
              <w:rPr>
                <w:rFonts w:ascii="Arial" w:eastAsia="Arial Unicode MS" w:hAnsi="Arial"/>
                <w:color w:val="000000"/>
                <w:sz w:val="18"/>
                <w:szCs w:val="22"/>
              </w:rPr>
            </w:pPr>
            <w:r w:rsidRPr="00D24A5A">
              <w:rPr>
                <w:rFonts w:ascii="Arial" w:eastAsia="Arial Unicode MS" w:hAnsi="Arial"/>
                <w:color w:val="000000"/>
                <w:sz w:val="18"/>
                <w:szCs w:val="22"/>
              </w:rPr>
              <w:t>$1,760,500</w:t>
            </w:r>
          </w:p>
        </w:tc>
        <w:tc>
          <w:tcPr>
            <w:tcW w:w="1350" w:type="dxa"/>
            <w:tcBorders>
              <w:top w:val="nil"/>
              <w:left w:val="single" w:sz="4" w:space="0" w:color="auto"/>
              <w:bottom w:val="nil"/>
              <w:right w:val="single" w:sz="4" w:space="0" w:color="auto"/>
            </w:tcBorders>
          </w:tcPr>
          <w:p w14:paraId="0765D8F5" w14:textId="027D1295" w:rsidR="007104B7" w:rsidRPr="00D24A5A" w:rsidRDefault="007104B7" w:rsidP="007104B7">
            <w:pPr>
              <w:jc w:val="right"/>
              <w:rPr>
                <w:rFonts w:ascii="Arial" w:eastAsia="Arial Unicode MS" w:hAnsi="Arial"/>
                <w:color w:val="000000"/>
                <w:sz w:val="18"/>
                <w:szCs w:val="22"/>
              </w:rPr>
            </w:pPr>
            <w:r w:rsidRPr="00D24A5A">
              <w:rPr>
                <w:rFonts w:ascii="Arial" w:eastAsia="Arial Unicode MS" w:hAnsi="Arial"/>
                <w:color w:val="000000"/>
                <w:sz w:val="18"/>
                <w:szCs w:val="22"/>
              </w:rPr>
              <w:t>$1,825,100</w:t>
            </w:r>
          </w:p>
        </w:tc>
        <w:tc>
          <w:tcPr>
            <w:tcW w:w="1406" w:type="dxa"/>
            <w:gridSpan w:val="2"/>
            <w:tcBorders>
              <w:top w:val="nil"/>
              <w:left w:val="single" w:sz="4" w:space="0" w:color="auto"/>
              <w:bottom w:val="nil"/>
              <w:right w:val="single" w:sz="4" w:space="0" w:color="auto"/>
            </w:tcBorders>
          </w:tcPr>
          <w:p w14:paraId="6940DC8F" w14:textId="60DDCA92" w:rsidR="007104B7" w:rsidRPr="00D24A5A" w:rsidRDefault="007104B7" w:rsidP="007104B7">
            <w:pPr>
              <w:jc w:val="right"/>
              <w:rPr>
                <w:rFonts w:ascii="Arial" w:eastAsia="Arial Unicode MS" w:hAnsi="Arial"/>
                <w:color w:val="000000"/>
                <w:sz w:val="18"/>
                <w:szCs w:val="22"/>
              </w:rPr>
            </w:pPr>
            <w:r w:rsidRPr="00D24A5A">
              <w:rPr>
                <w:rFonts w:ascii="Arial" w:eastAsia="Arial Unicode MS" w:hAnsi="Arial"/>
                <w:color w:val="000000"/>
                <w:sz w:val="18"/>
                <w:szCs w:val="22"/>
              </w:rPr>
              <w:t>$1,927,300</w:t>
            </w:r>
          </w:p>
        </w:tc>
        <w:tc>
          <w:tcPr>
            <w:tcW w:w="1289" w:type="dxa"/>
            <w:gridSpan w:val="2"/>
            <w:tcBorders>
              <w:left w:val="single" w:sz="4" w:space="0" w:color="auto"/>
            </w:tcBorders>
          </w:tcPr>
          <w:p w14:paraId="785A4492" w14:textId="0362378F" w:rsidR="007104B7" w:rsidRPr="00D24A5A" w:rsidRDefault="007104B7" w:rsidP="007104B7">
            <w:pPr>
              <w:jc w:val="right"/>
              <w:rPr>
                <w:rFonts w:ascii="Arial" w:eastAsia="Arial Unicode MS" w:hAnsi="Arial"/>
                <w:color w:val="000000"/>
                <w:sz w:val="18"/>
                <w:szCs w:val="22"/>
              </w:rPr>
            </w:pPr>
          </w:p>
        </w:tc>
      </w:tr>
      <w:tr w:rsidR="007104B7" w14:paraId="41A50292" w14:textId="77777777" w:rsidTr="00D029E2">
        <w:trPr>
          <w:trHeight w:val="297"/>
        </w:trPr>
        <w:tc>
          <w:tcPr>
            <w:tcW w:w="4675" w:type="dxa"/>
            <w:tcBorders>
              <w:right w:val="single" w:sz="4" w:space="0" w:color="auto"/>
            </w:tcBorders>
            <w:vAlign w:val="bottom"/>
          </w:tcPr>
          <w:p w14:paraId="00360023" w14:textId="77777777" w:rsidR="007104B7" w:rsidRPr="00D24A5A" w:rsidRDefault="007104B7" w:rsidP="007104B7">
            <w:pPr>
              <w:rPr>
                <w:rFonts w:ascii="Arial" w:eastAsia="Arial Unicode MS" w:hAnsi="Arial"/>
                <w:color w:val="000000"/>
                <w:sz w:val="18"/>
                <w:szCs w:val="22"/>
              </w:rPr>
            </w:pPr>
            <w:r w:rsidRPr="00D24A5A">
              <w:rPr>
                <w:rFonts w:ascii="Arial" w:hAnsi="Arial"/>
                <w:color w:val="000000"/>
                <w:sz w:val="18"/>
                <w:szCs w:val="22"/>
              </w:rPr>
              <w:t>Unrestricted Current</w:t>
            </w:r>
          </w:p>
        </w:tc>
        <w:tc>
          <w:tcPr>
            <w:tcW w:w="1350" w:type="dxa"/>
            <w:tcBorders>
              <w:top w:val="nil"/>
              <w:left w:val="single" w:sz="4" w:space="0" w:color="auto"/>
              <w:bottom w:val="nil"/>
              <w:right w:val="single" w:sz="4" w:space="0" w:color="auto"/>
            </w:tcBorders>
          </w:tcPr>
          <w:p w14:paraId="32AFFBB5" w14:textId="21D0085A" w:rsidR="007104B7" w:rsidRPr="00D24A5A" w:rsidRDefault="007104B7" w:rsidP="007104B7">
            <w:pPr>
              <w:jc w:val="right"/>
              <w:rPr>
                <w:rFonts w:ascii="Arial" w:eastAsia="Arial Unicode MS" w:hAnsi="Arial"/>
                <w:color w:val="000000"/>
                <w:sz w:val="18"/>
                <w:szCs w:val="22"/>
                <w:u w:val="single"/>
              </w:rPr>
            </w:pPr>
            <w:r w:rsidRPr="00D24A5A">
              <w:rPr>
                <w:rFonts w:ascii="Arial" w:eastAsia="Arial Unicode MS" w:hAnsi="Arial"/>
                <w:color w:val="000000"/>
                <w:sz w:val="18"/>
                <w:szCs w:val="22"/>
                <w:u w:val="single"/>
              </w:rPr>
              <w:t>$947,600</w:t>
            </w:r>
          </w:p>
        </w:tc>
        <w:tc>
          <w:tcPr>
            <w:tcW w:w="1350" w:type="dxa"/>
            <w:tcBorders>
              <w:top w:val="nil"/>
              <w:left w:val="single" w:sz="4" w:space="0" w:color="auto"/>
              <w:bottom w:val="nil"/>
              <w:right w:val="single" w:sz="4" w:space="0" w:color="auto"/>
            </w:tcBorders>
          </w:tcPr>
          <w:p w14:paraId="2458230D" w14:textId="71C13879" w:rsidR="007104B7" w:rsidRPr="00D24A5A" w:rsidRDefault="007104B7" w:rsidP="007104B7">
            <w:pPr>
              <w:jc w:val="right"/>
              <w:rPr>
                <w:rFonts w:ascii="Arial" w:eastAsia="Arial Unicode MS" w:hAnsi="Arial"/>
                <w:color w:val="000000"/>
                <w:sz w:val="18"/>
                <w:szCs w:val="22"/>
                <w:u w:val="single"/>
              </w:rPr>
            </w:pPr>
            <w:r w:rsidRPr="00D24A5A">
              <w:rPr>
                <w:rFonts w:ascii="Arial" w:eastAsia="Arial Unicode MS" w:hAnsi="Arial"/>
                <w:color w:val="000000"/>
                <w:sz w:val="18"/>
                <w:szCs w:val="22"/>
                <w:u w:val="single"/>
              </w:rPr>
              <w:t>$1,015,800</w:t>
            </w:r>
          </w:p>
        </w:tc>
        <w:tc>
          <w:tcPr>
            <w:tcW w:w="1406" w:type="dxa"/>
            <w:gridSpan w:val="2"/>
            <w:tcBorders>
              <w:top w:val="nil"/>
              <w:left w:val="single" w:sz="4" w:space="0" w:color="auto"/>
              <w:bottom w:val="nil"/>
              <w:right w:val="single" w:sz="4" w:space="0" w:color="auto"/>
            </w:tcBorders>
          </w:tcPr>
          <w:p w14:paraId="644578D8" w14:textId="4FCF52DB" w:rsidR="007104B7" w:rsidRPr="00D24A5A" w:rsidRDefault="007104B7" w:rsidP="007104B7">
            <w:pPr>
              <w:jc w:val="right"/>
              <w:rPr>
                <w:rFonts w:ascii="Arial" w:eastAsia="Arial Unicode MS" w:hAnsi="Arial"/>
                <w:color w:val="000000"/>
                <w:sz w:val="18"/>
                <w:szCs w:val="22"/>
                <w:u w:val="single"/>
              </w:rPr>
            </w:pPr>
            <w:r w:rsidRPr="00D24A5A">
              <w:rPr>
                <w:rFonts w:ascii="Arial" w:eastAsia="Arial Unicode MS" w:hAnsi="Arial"/>
                <w:color w:val="000000"/>
                <w:sz w:val="18"/>
                <w:szCs w:val="22"/>
                <w:u w:val="single"/>
              </w:rPr>
              <w:t>$1,087,200</w:t>
            </w:r>
          </w:p>
        </w:tc>
        <w:tc>
          <w:tcPr>
            <w:tcW w:w="1289" w:type="dxa"/>
            <w:gridSpan w:val="2"/>
            <w:tcBorders>
              <w:left w:val="single" w:sz="4" w:space="0" w:color="auto"/>
            </w:tcBorders>
          </w:tcPr>
          <w:p w14:paraId="5839EF7A" w14:textId="69FA0C8A" w:rsidR="007104B7" w:rsidRPr="00D24A5A" w:rsidRDefault="007104B7" w:rsidP="007104B7">
            <w:pPr>
              <w:jc w:val="right"/>
              <w:rPr>
                <w:rFonts w:ascii="Arial" w:eastAsia="Arial Unicode MS" w:hAnsi="Arial"/>
                <w:color w:val="000000"/>
                <w:sz w:val="18"/>
                <w:szCs w:val="22"/>
                <w:u w:val="single"/>
              </w:rPr>
            </w:pPr>
          </w:p>
        </w:tc>
      </w:tr>
      <w:tr w:rsidR="007104B7" w14:paraId="24360ECA" w14:textId="77777777" w:rsidTr="00D029E2">
        <w:tc>
          <w:tcPr>
            <w:tcW w:w="4675" w:type="dxa"/>
            <w:tcBorders>
              <w:right w:val="single" w:sz="4" w:space="0" w:color="auto"/>
            </w:tcBorders>
            <w:vAlign w:val="bottom"/>
          </w:tcPr>
          <w:p w14:paraId="7260806A" w14:textId="77777777" w:rsidR="007104B7" w:rsidRPr="00D24A5A" w:rsidRDefault="007104B7" w:rsidP="007104B7">
            <w:pPr>
              <w:jc w:val="right"/>
              <w:rPr>
                <w:rFonts w:ascii="Arial" w:eastAsia="Arial Unicode MS" w:hAnsi="Arial"/>
                <w:b/>
                <w:sz w:val="18"/>
                <w:szCs w:val="22"/>
              </w:rPr>
            </w:pPr>
            <w:r w:rsidRPr="00D24A5A">
              <w:rPr>
                <w:rFonts w:ascii="Arial" w:hAnsi="Arial"/>
                <w:b/>
                <w:sz w:val="18"/>
                <w:szCs w:val="22"/>
              </w:rPr>
              <w:t>Total</w:t>
            </w:r>
          </w:p>
        </w:tc>
        <w:tc>
          <w:tcPr>
            <w:tcW w:w="1350" w:type="dxa"/>
            <w:tcBorders>
              <w:top w:val="nil"/>
              <w:left w:val="single" w:sz="4" w:space="0" w:color="auto"/>
              <w:bottom w:val="nil"/>
              <w:right w:val="single" w:sz="4" w:space="0" w:color="auto"/>
            </w:tcBorders>
          </w:tcPr>
          <w:p w14:paraId="7B2B597E" w14:textId="2A103419" w:rsidR="007104B7" w:rsidRPr="00D24A5A" w:rsidRDefault="007104B7" w:rsidP="007104B7">
            <w:pPr>
              <w:jc w:val="right"/>
              <w:rPr>
                <w:rFonts w:ascii="Arial" w:eastAsia="Arial Unicode MS" w:hAnsi="Arial"/>
                <w:b/>
                <w:sz w:val="18"/>
                <w:szCs w:val="22"/>
              </w:rPr>
            </w:pPr>
            <w:r w:rsidRPr="00D24A5A">
              <w:rPr>
                <w:rFonts w:ascii="Arial" w:eastAsia="Arial Unicode MS" w:hAnsi="Arial"/>
                <w:b/>
                <w:sz w:val="18"/>
                <w:szCs w:val="22"/>
              </w:rPr>
              <w:t>$2,708,100</w:t>
            </w:r>
          </w:p>
        </w:tc>
        <w:tc>
          <w:tcPr>
            <w:tcW w:w="1350" w:type="dxa"/>
            <w:tcBorders>
              <w:top w:val="nil"/>
              <w:left w:val="single" w:sz="4" w:space="0" w:color="auto"/>
              <w:bottom w:val="nil"/>
              <w:right w:val="single" w:sz="4" w:space="0" w:color="auto"/>
            </w:tcBorders>
          </w:tcPr>
          <w:p w14:paraId="491521B2" w14:textId="2DE1B28F" w:rsidR="007104B7" w:rsidRPr="00D24A5A" w:rsidRDefault="007104B7" w:rsidP="007104B7">
            <w:pPr>
              <w:jc w:val="right"/>
              <w:rPr>
                <w:rFonts w:ascii="Arial" w:eastAsia="Arial Unicode MS" w:hAnsi="Arial"/>
                <w:b/>
                <w:sz w:val="18"/>
                <w:szCs w:val="22"/>
              </w:rPr>
            </w:pPr>
            <w:r w:rsidRPr="00D24A5A">
              <w:rPr>
                <w:rFonts w:ascii="Arial" w:eastAsia="Arial Unicode MS" w:hAnsi="Arial"/>
                <w:b/>
                <w:sz w:val="18"/>
                <w:szCs w:val="22"/>
              </w:rPr>
              <w:t>$2,840,900</w:t>
            </w:r>
          </w:p>
        </w:tc>
        <w:tc>
          <w:tcPr>
            <w:tcW w:w="1406" w:type="dxa"/>
            <w:gridSpan w:val="2"/>
            <w:tcBorders>
              <w:top w:val="nil"/>
              <w:left w:val="single" w:sz="4" w:space="0" w:color="auto"/>
              <w:bottom w:val="nil"/>
              <w:right w:val="single" w:sz="4" w:space="0" w:color="auto"/>
            </w:tcBorders>
          </w:tcPr>
          <w:p w14:paraId="4ABA8B4C" w14:textId="7D46F7E9" w:rsidR="007104B7" w:rsidRPr="00D24A5A" w:rsidRDefault="007104B7" w:rsidP="007104B7">
            <w:pPr>
              <w:jc w:val="right"/>
              <w:rPr>
                <w:rFonts w:ascii="Arial" w:eastAsia="Arial Unicode MS" w:hAnsi="Arial"/>
                <w:b/>
                <w:sz w:val="18"/>
                <w:szCs w:val="22"/>
              </w:rPr>
            </w:pPr>
            <w:r w:rsidRPr="00D24A5A">
              <w:rPr>
                <w:rFonts w:ascii="Arial" w:eastAsia="Arial Unicode MS" w:hAnsi="Arial"/>
                <w:b/>
                <w:sz w:val="18"/>
                <w:szCs w:val="22"/>
              </w:rPr>
              <w:t>$3,014,500</w:t>
            </w:r>
          </w:p>
        </w:tc>
        <w:tc>
          <w:tcPr>
            <w:tcW w:w="1289" w:type="dxa"/>
            <w:gridSpan w:val="2"/>
            <w:tcBorders>
              <w:left w:val="single" w:sz="4" w:space="0" w:color="auto"/>
            </w:tcBorders>
          </w:tcPr>
          <w:p w14:paraId="717EB015" w14:textId="38BFEEB0" w:rsidR="007104B7" w:rsidRPr="00D24A5A" w:rsidRDefault="007104B7" w:rsidP="007104B7">
            <w:pPr>
              <w:jc w:val="right"/>
              <w:rPr>
                <w:rFonts w:ascii="Arial" w:eastAsia="Arial Unicode MS" w:hAnsi="Arial"/>
                <w:b/>
                <w:sz w:val="18"/>
                <w:szCs w:val="22"/>
              </w:rPr>
            </w:pPr>
          </w:p>
        </w:tc>
      </w:tr>
      <w:tr w:rsidR="007104B7" w:rsidRPr="00371C57" w14:paraId="514EAE2D" w14:textId="77777777" w:rsidTr="00D24A5A">
        <w:tc>
          <w:tcPr>
            <w:tcW w:w="4675" w:type="dxa"/>
            <w:shd w:val="clear" w:color="auto" w:fill="000080"/>
          </w:tcPr>
          <w:p w14:paraId="48E22A48" w14:textId="77777777" w:rsidR="007104B7" w:rsidRDefault="007104B7" w:rsidP="007104B7">
            <w:pPr>
              <w:jc w:val="both"/>
              <w:rPr>
                <w:rFonts w:ascii="Arial" w:hAnsi="Arial"/>
                <w:b/>
                <w:color w:val="FFFFFF"/>
                <w:sz w:val="20"/>
              </w:rPr>
            </w:pPr>
            <w:r>
              <w:rPr>
                <w:rFonts w:ascii="Arial" w:hAnsi="Arial"/>
                <w:b/>
                <w:color w:val="FFFFFF"/>
                <w:sz w:val="20"/>
              </w:rPr>
              <w:t>Expenditure</w:t>
            </w:r>
          </w:p>
        </w:tc>
        <w:tc>
          <w:tcPr>
            <w:tcW w:w="1350" w:type="dxa"/>
            <w:tcBorders>
              <w:top w:val="nil"/>
              <w:bottom w:val="nil"/>
            </w:tcBorders>
            <w:shd w:val="clear" w:color="auto" w:fill="000080"/>
          </w:tcPr>
          <w:p w14:paraId="277CF043" w14:textId="22C3233D" w:rsidR="007104B7" w:rsidRDefault="007104B7" w:rsidP="007104B7">
            <w:pPr>
              <w:jc w:val="right"/>
              <w:rPr>
                <w:rFonts w:ascii="Arial" w:hAnsi="Arial" w:cs="Arial"/>
                <w:b/>
                <w:bCs/>
                <w:color w:val="FFFFFF"/>
                <w:sz w:val="20"/>
                <w:szCs w:val="20"/>
              </w:rPr>
            </w:pPr>
            <w:r>
              <w:rPr>
                <w:rFonts w:ascii="Arial" w:hAnsi="Arial"/>
                <w:b/>
                <w:color w:val="FFFFFF"/>
                <w:sz w:val="20"/>
              </w:rPr>
              <w:t>FY 2022</w:t>
            </w:r>
          </w:p>
        </w:tc>
        <w:tc>
          <w:tcPr>
            <w:tcW w:w="1350" w:type="dxa"/>
            <w:tcBorders>
              <w:top w:val="nil"/>
              <w:bottom w:val="nil"/>
            </w:tcBorders>
            <w:shd w:val="clear" w:color="auto" w:fill="000080"/>
          </w:tcPr>
          <w:p w14:paraId="7F1A0796" w14:textId="2B985788" w:rsidR="007104B7" w:rsidRDefault="007104B7" w:rsidP="007104B7">
            <w:pPr>
              <w:jc w:val="center"/>
              <w:rPr>
                <w:rFonts w:ascii="Arial" w:hAnsi="Arial"/>
                <w:b/>
                <w:color w:val="FFFFFF"/>
                <w:sz w:val="20"/>
              </w:rPr>
            </w:pPr>
            <w:r>
              <w:rPr>
                <w:rFonts w:ascii="Arial" w:hAnsi="Arial"/>
                <w:b/>
                <w:color w:val="FFFFFF"/>
                <w:sz w:val="20"/>
              </w:rPr>
              <w:t>FY 2023</w:t>
            </w:r>
          </w:p>
        </w:tc>
        <w:tc>
          <w:tcPr>
            <w:tcW w:w="1440" w:type="dxa"/>
            <w:gridSpan w:val="3"/>
            <w:tcBorders>
              <w:top w:val="nil"/>
              <w:bottom w:val="nil"/>
            </w:tcBorders>
            <w:shd w:val="clear" w:color="auto" w:fill="000080"/>
          </w:tcPr>
          <w:p w14:paraId="24A2101D" w14:textId="7E7A7ACF" w:rsidR="007104B7" w:rsidRDefault="007104B7" w:rsidP="007104B7">
            <w:pPr>
              <w:jc w:val="center"/>
              <w:rPr>
                <w:rFonts w:ascii="Arial" w:hAnsi="Arial"/>
                <w:b/>
                <w:color w:val="FFFFFF"/>
                <w:sz w:val="20"/>
              </w:rPr>
            </w:pPr>
            <w:r w:rsidRPr="00371C57">
              <w:rPr>
                <w:rFonts w:ascii="Arial" w:hAnsi="Arial"/>
                <w:b/>
                <w:color w:val="FFFFFF"/>
                <w:sz w:val="20"/>
              </w:rPr>
              <w:t>FY 202</w:t>
            </w:r>
            <w:r>
              <w:rPr>
                <w:rFonts w:ascii="Arial" w:hAnsi="Arial"/>
                <w:b/>
                <w:color w:val="FFFFFF"/>
                <w:sz w:val="20"/>
              </w:rPr>
              <w:t>4</w:t>
            </w:r>
          </w:p>
        </w:tc>
        <w:tc>
          <w:tcPr>
            <w:tcW w:w="1255" w:type="dxa"/>
            <w:shd w:val="clear" w:color="auto" w:fill="000080"/>
          </w:tcPr>
          <w:p w14:paraId="7850DD82" w14:textId="1890BAFD" w:rsidR="007104B7" w:rsidRPr="00371C57" w:rsidRDefault="007104B7" w:rsidP="007104B7">
            <w:pPr>
              <w:jc w:val="right"/>
              <w:rPr>
                <w:rFonts w:ascii="Arial" w:hAnsi="Arial"/>
                <w:b/>
                <w:color w:val="FFFFFF"/>
                <w:sz w:val="20"/>
              </w:rPr>
            </w:pPr>
            <w:r>
              <w:rPr>
                <w:rFonts w:ascii="Arial" w:hAnsi="Arial"/>
                <w:b/>
                <w:color w:val="FFFFFF"/>
                <w:sz w:val="20"/>
              </w:rPr>
              <w:t>FY 202</w:t>
            </w:r>
            <w:r>
              <w:rPr>
                <w:rFonts w:ascii="Arial" w:hAnsi="Arial"/>
                <w:b/>
                <w:color w:val="FFFFFF"/>
                <w:sz w:val="20"/>
              </w:rPr>
              <w:t>5</w:t>
            </w:r>
          </w:p>
        </w:tc>
      </w:tr>
      <w:tr w:rsidR="007104B7" w:rsidRPr="00371C57" w14:paraId="16FD2EEE" w14:textId="77777777" w:rsidTr="00D029E2">
        <w:tc>
          <w:tcPr>
            <w:tcW w:w="4675" w:type="dxa"/>
            <w:tcBorders>
              <w:right w:val="single" w:sz="4" w:space="0" w:color="auto"/>
            </w:tcBorders>
          </w:tcPr>
          <w:p w14:paraId="527CC831" w14:textId="77777777" w:rsidR="007104B7" w:rsidRPr="00D24A5A" w:rsidRDefault="007104B7" w:rsidP="007104B7">
            <w:pPr>
              <w:jc w:val="both"/>
              <w:rPr>
                <w:rFonts w:ascii="Arial" w:hAnsi="Arial"/>
                <w:sz w:val="18"/>
                <w:szCs w:val="22"/>
              </w:rPr>
            </w:pPr>
            <w:r w:rsidRPr="00D24A5A">
              <w:rPr>
                <w:rFonts w:ascii="Arial" w:hAnsi="Arial"/>
                <w:sz w:val="18"/>
                <w:szCs w:val="22"/>
              </w:rPr>
              <w:t>Personnel Costs</w:t>
            </w:r>
          </w:p>
        </w:tc>
        <w:tc>
          <w:tcPr>
            <w:tcW w:w="1350" w:type="dxa"/>
            <w:tcBorders>
              <w:top w:val="nil"/>
              <w:left w:val="single" w:sz="4" w:space="0" w:color="auto"/>
              <w:bottom w:val="nil"/>
              <w:right w:val="single" w:sz="4" w:space="0" w:color="auto"/>
            </w:tcBorders>
          </w:tcPr>
          <w:p w14:paraId="1818E375" w14:textId="41E609D2" w:rsidR="007104B7" w:rsidRPr="00D24A5A" w:rsidRDefault="007104B7" w:rsidP="007104B7">
            <w:pPr>
              <w:jc w:val="right"/>
              <w:rPr>
                <w:rFonts w:ascii="Arial" w:eastAsia="Arial Unicode MS" w:hAnsi="Arial"/>
                <w:color w:val="000000"/>
                <w:sz w:val="18"/>
                <w:szCs w:val="22"/>
              </w:rPr>
            </w:pPr>
            <w:r w:rsidRPr="00D24A5A">
              <w:rPr>
                <w:rFonts w:ascii="Arial" w:eastAsia="Arial Unicode MS" w:hAnsi="Arial"/>
                <w:color w:val="000000"/>
                <w:sz w:val="18"/>
                <w:szCs w:val="22"/>
              </w:rPr>
              <w:t>$370,000</w:t>
            </w:r>
          </w:p>
        </w:tc>
        <w:tc>
          <w:tcPr>
            <w:tcW w:w="1350" w:type="dxa"/>
            <w:tcBorders>
              <w:top w:val="nil"/>
              <w:left w:val="single" w:sz="4" w:space="0" w:color="auto"/>
              <w:bottom w:val="nil"/>
              <w:right w:val="single" w:sz="4" w:space="0" w:color="auto"/>
            </w:tcBorders>
          </w:tcPr>
          <w:p w14:paraId="0DDAC950" w14:textId="557A571A" w:rsidR="007104B7" w:rsidRPr="00D24A5A" w:rsidRDefault="007104B7" w:rsidP="007104B7">
            <w:pPr>
              <w:jc w:val="right"/>
              <w:rPr>
                <w:rFonts w:ascii="Arial" w:eastAsia="Arial Unicode MS" w:hAnsi="Arial"/>
                <w:color w:val="000000"/>
                <w:sz w:val="18"/>
                <w:szCs w:val="22"/>
              </w:rPr>
            </w:pPr>
            <w:r w:rsidRPr="00D24A5A">
              <w:rPr>
                <w:rFonts w:ascii="Arial" w:eastAsia="Arial Unicode MS" w:hAnsi="Arial"/>
                <w:color w:val="000000"/>
                <w:sz w:val="18"/>
                <w:szCs w:val="22"/>
              </w:rPr>
              <w:t>$408,800</w:t>
            </w:r>
          </w:p>
        </w:tc>
        <w:tc>
          <w:tcPr>
            <w:tcW w:w="1440" w:type="dxa"/>
            <w:gridSpan w:val="3"/>
            <w:tcBorders>
              <w:top w:val="nil"/>
              <w:left w:val="single" w:sz="4" w:space="0" w:color="auto"/>
              <w:bottom w:val="nil"/>
              <w:right w:val="single" w:sz="4" w:space="0" w:color="auto"/>
            </w:tcBorders>
          </w:tcPr>
          <w:p w14:paraId="1D69B252" w14:textId="467CC0EC" w:rsidR="007104B7" w:rsidRPr="00D24A5A" w:rsidRDefault="007104B7" w:rsidP="007104B7">
            <w:pPr>
              <w:jc w:val="right"/>
              <w:rPr>
                <w:rFonts w:ascii="Arial" w:eastAsia="Arial Unicode MS" w:hAnsi="Arial"/>
                <w:color w:val="000000"/>
                <w:sz w:val="18"/>
                <w:szCs w:val="22"/>
              </w:rPr>
            </w:pPr>
            <w:r w:rsidRPr="00D24A5A">
              <w:rPr>
                <w:rFonts w:ascii="Arial" w:eastAsia="Arial Unicode MS" w:hAnsi="Arial"/>
                <w:color w:val="000000"/>
                <w:sz w:val="18"/>
                <w:szCs w:val="22"/>
              </w:rPr>
              <w:t>$409,000</w:t>
            </w:r>
          </w:p>
        </w:tc>
        <w:tc>
          <w:tcPr>
            <w:tcW w:w="1255" w:type="dxa"/>
            <w:tcBorders>
              <w:left w:val="single" w:sz="4" w:space="0" w:color="auto"/>
            </w:tcBorders>
          </w:tcPr>
          <w:p w14:paraId="7AEAA65D" w14:textId="3634A6A3" w:rsidR="007104B7" w:rsidRPr="00D24A5A" w:rsidRDefault="007104B7" w:rsidP="007104B7">
            <w:pPr>
              <w:jc w:val="right"/>
              <w:rPr>
                <w:rFonts w:ascii="Arial" w:eastAsia="Arial Unicode MS" w:hAnsi="Arial"/>
                <w:color w:val="000000"/>
                <w:sz w:val="18"/>
                <w:szCs w:val="22"/>
              </w:rPr>
            </w:pPr>
          </w:p>
        </w:tc>
      </w:tr>
      <w:tr w:rsidR="007104B7" w:rsidRPr="00371C57" w14:paraId="5924B69C" w14:textId="77777777" w:rsidTr="00D029E2">
        <w:tc>
          <w:tcPr>
            <w:tcW w:w="4675" w:type="dxa"/>
            <w:tcBorders>
              <w:right w:val="single" w:sz="4" w:space="0" w:color="auto"/>
            </w:tcBorders>
          </w:tcPr>
          <w:p w14:paraId="09FE1EBB" w14:textId="77777777" w:rsidR="007104B7" w:rsidRPr="00D24A5A" w:rsidRDefault="007104B7" w:rsidP="007104B7">
            <w:pPr>
              <w:jc w:val="both"/>
              <w:rPr>
                <w:rFonts w:ascii="Arial" w:hAnsi="Arial"/>
                <w:sz w:val="18"/>
                <w:szCs w:val="22"/>
              </w:rPr>
            </w:pPr>
            <w:r w:rsidRPr="00D24A5A">
              <w:rPr>
                <w:rFonts w:ascii="Arial" w:hAnsi="Arial"/>
                <w:sz w:val="18"/>
                <w:szCs w:val="22"/>
              </w:rPr>
              <w:t>Operating Expenditures</w:t>
            </w:r>
          </w:p>
        </w:tc>
        <w:tc>
          <w:tcPr>
            <w:tcW w:w="1350" w:type="dxa"/>
            <w:tcBorders>
              <w:top w:val="nil"/>
              <w:left w:val="single" w:sz="4" w:space="0" w:color="auto"/>
              <w:bottom w:val="nil"/>
              <w:right w:val="single" w:sz="4" w:space="0" w:color="auto"/>
            </w:tcBorders>
          </w:tcPr>
          <w:p w14:paraId="74ED9D3C" w14:textId="5569B53D" w:rsidR="007104B7" w:rsidRPr="00D24A5A" w:rsidRDefault="007104B7" w:rsidP="007104B7">
            <w:pPr>
              <w:jc w:val="right"/>
              <w:rPr>
                <w:rFonts w:ascii="Arial" w:eastAsia="Arial Unicode MS" w:hAnsi="Arial"/>
                <w:color w:val="000000"/>
                <w:sz w:val="18"/>
                <w:szCs w:val="22"/>
              </w:rPr>
            </w:pPr>
            <w:r w:rsidRPr="00D24A5A">
              <w:rPr>
                <w:rFonts w:ascii="Arial" w:eastAsia="Arial Unicode MS" w:hAnsi="Arial"/>
                <w:color w:val="000000"/>
                <w:sz w:val="18"/>
                <w:szCs w:val="22"/>
              </w:rPr>
              <w:t>$63,300</w:t>
            </w:r>
          </w:p>
        </w:tc>
        <w:tc>
          <w:tcPr>
            <w:tcW w:w="1350" w:type="dxa"/>
            <w:tcBorders>
              <w:top w:val="nil"/>
              <w:left w:val="single" w:sz="4" w:space="0" w:color="auto"/>
              <w:bottom w:val="nil"/>
              <w:right w:val="single" w:sz="4" w:space="0" w:color="auto"/>
            </w:tcBorders>
          </w:tcPr>
          <w:p w14:paraId="5AB5F491" w14:textId="5B1C17A5" w:rsidR="007104B7" w:rsidRPr="00D24A5A" w:rsidRDefault="007104B7" w:rsidP="007104B7">
            <w:pPr>
              <w:jc w:val="right"/>
              <w:rPr>
                <w:rFonts w:ascii="Arial" w:eastAsia="Arial Unicode MS" w:hAnsi="Arial"/>
                <w:color w:val="000000"/>
                <w:sz w:val="18"/>
                <w:szCs w:val="22"/>
              </w:rPr>
            </w:pPr>
            <w:r w:rsidRPr="00D24A5A">
              <w:rPr>
                <w:rFonts w:ascii="Arial" w:eastAsia="Arial Unicode MS" w:hAnsi="Arial"/>
                <w:color w:val="000000"/>
                <w:sz w:val="18"/>
                <w:szCs w:val="22"/>
              </w:rPr>
              <w:t>$72,700</w:t>
            </w:r>
          </w:p>
        </w:tc>
        <w:tc>
          <w:tcPr>
            <w:tcW w:w="1440" w:type="dxa"/>
            <w:gridSpan w:val="3"/>
            <w:tcBorders>
              <w:top w:val="nil"/>
              <w:left w:val="single" w:sz="4" w:space="0" w:color="auto"/>
              <w:bottom w:val="nil"/>
              <w:right w:val="single" w:sz="4" w:space="0" w:color="auto"/>
            </w:tcBorders>
          </w:tcPr>
          <w:p w14:paraId="11743C90" w14:textId="7D4FC1EF" w:rsidR="007104B7" w:rsidRPr="00D24A5A" w:rsidRDefault="007104B7" w:rsidP="007104B7">
            <w:pPr>
              <w:jc w:val="right"/>
              <w:rPr>
                <w:rFonts w:ascii="Arial" w:eastAsia="Arial Unicode MS" w:hAnsi="Arial"/>
                <w:color w:val="000000"/>
                <w:sz w:val="18"/>
                <w:szCs w:val="22"/>
              </w:rPr>
            </w:pPr>
            <w:r w:rsidRPr="00D24A5A">
              <w:rPr>
                <w:rFonts w:ascii="Arial" w:eastAsia="Arial Unicode MS" w:hAnsi="Arial"/>
                <w:color w:val="000000"/>
                <w:sz w:val="18"/>
                <w:szCs w:val="22"/>
              </w:rPr>
              <w:t>$76,900</w:t>
            </w:r>
          </w:p>
        </w:tc>
        <w:tc>
          <w:tcPr>
            <w:tcW w:w="1255" w:type="dxa"/>
            <w:tcBorders>
              <w:left w:val="single" w:sz="4" w:space="0" w:color="auto"/>
            </w:tcBorders>
            <w:shd w:val="clear" w:color="auto" w:fill="auto"/>
          </w:tcPr>
          <w:p w14:paraId="33442AA4" w14:textId="1CE986BF" w:rsidR="007104B7" w:rsidRPr="00D24A5A" w:rsidRDefault="007104B7" w:rsidP="007104B7">
            <w:pPr>
              <w:jc w:val="right"/>
              <w:rPr>
                <w:rFonts w:ascii="Arial" w:eastAsia="Arial Unicode MS" w:hAnsi="Arial"/>
                <w:color w:val="000000"/>
                <w:sz w:val="18"/>
                <w:szCs w:val="22"/>
              </w:rPr>
            </w:pPr>
          </w:p>
        </w:tc>
      </w:tr>
      <w:tr w:rsidR="007104B7" w14:paraId="409A78BA" w14:textId="77777777" w:rsidTr="00D029E2">
        <w:tc>
          <w:tcPr>
            <w:tcW w:w="4675" w:type="dxa"/>
            <w:tcBorders>
              <w:right w:val="single" w:sz="4" w:space="0" w:color="auto"/>
            </w:tcBorders>
          </w:tcPr>
          <w:p w14:paraId="707E6120" w14:textId="77777777" w:rsidR="007104B7" w:rsidRPr="00D24A5A" w:rsidRDefault="007104B7" w:rsidP="007104B7">
            <w:pPr>
              <w:jc w:val="both"/>
              <w:rPr>
                <w:rFonts w:ascii="Arial" w:hAnsi="Arial"/>
                <w:sz w:val="18"/>
                <w:szCs w:val="22"/>
              </w:rPr>
            </w:pPr>
            <w:r w:rsidRPr="00D24A5A">
              <w:rPr>
                <w:rFonts w:ascii="Arial" w:hAnsi="Arial"/>
                <w:sz w:val="18"/>
                <w:szCs w:val="22"/>
              </w:rPr>
              <w:t>Capital Outlay</w:t>
            </w:r>
          </w:p>
        </w:tc>
        <w:tc>
          <w:tcPr>
            <w:tcW w:w="1350" w:type="dxa"/>
            <w:tcBorders>
              <w:top w:val="nil"/>
              <w:left w:val="single" w:sz="4" w:space="0" w:color="auto"/>
              <w:bottom w:val="nil"/>
              <w:right w:val="single" w:sz="4" w:space="0" w:color="auto"/>
            </w:tcBorders>
          </w:tcPr>
          <w:p w14:paraId="3B60FC64" w14:textId="7D72C527" w:rsidR="007104B7" w:rsidRPr="00D24A5A" w:rsidRDefault="007104B7" w:rsidP="007104B7">
            <w:pPr>
              <w:jc w:val="right"/>
              <w:rPr>
                <w:rFonts w:ascii="Arial" w:eastAsia="Arial Unicode MS" w:hAnsi="Arial"/>
                <w:color w:val="000000"/>
                <w:sz w:val="18"/>
                <w:szCs w:val="22"/>
              </w:rPr>
            </w:pPr>
            <w:r w:rsidRPr="00D24A5A">
              <w:rPr>
                <w:rFonts w:ascii="Arial" w:eastAsia="Arial Unicode MS" w:hAnsi="Arial"/>
                <w:color w:val="000000"/>
                <w:sz w:val="18"/>
                <w:szCs w:val="22"/>
              </w:rPr>
              <w:t>$0</w:t>
            </w:r>
          </w:p>
        </w:tc>
        <w:tc>
          <w:tcPr>
            <w:tcW w:w="1350" w:type="dxa"/>
            <w:tcBorders>
              <w:top w:val="nil"/>
              <w:left w:val="single" w:sz="4" w:space="0" w:color="auto"/>
              <w:bottom w:val="nil"/>
              <w:right w:val="single" w:sz="4" w:space="0" w:color="auto"/>
            </w:tcBorders>
          </w:tcPr>
          <w:p w14:paraId="12BF543C" w14:textId="72ED2F1E" w:rsidR="007104B7" w:rsidRPr="00D24A5A" w:rsidRDefault="007104B7" w:rsidP="007104B7">
            <w:pPr>
              <w:jc w:val="right"/>
              <w:rPr>
                <w:rFonts w:ascii="Arial" w:eastAsia="Arial Unicode MS" w:hAnsi="Arial"/>
                <w:color w:val="000000"/>
                <w:sz w:val="18"/>
                <w:szCs w:val="22"/>
              </w:rPr>
            </w:pPr>
            <w:r w:rsidRPr="00D24A5A">
              <w:rPr>
                <w:rFonts w:ascii="Arial" w:eastAsia="Arial Unicode MS" w:hAnsi="Arial"/>
                <w:color w:val="000000"/>
                <w:sz w:val="18"/>
                <w:szCs w:val="22"/>
              </w:rPr>
              <w:t>$0</w:t>
            </w:r>
          </w:p>
        </w:tc>
        <w:tc>
          <w:tcPr>
            <w:tcW w:w="1440" w:type="dxa"/>
            <w:gridSpan w:val="3"/>
            <w:tcBorders>
              <w:top w:val="nil"/>
              <w:left w:val="single" w:sz="4" w:space="0" w:color="auto"/>
              <w:bottom w:val="nil"/>
              <w:right w:val="single" w:sz="4" w:space="0" w:color="auto"/>
            </w:tcBorders>
          </w:tcPr>
          <w:p w14:paraId="510F3559" w14:textId="70A8F2FB" w:rsidR="007104B7" w:rsidRPr="00D24A5A" w:rsidRDefault="007104B7" w:rsidP="007104B7">
            <w:pPr>
              <w:jc w:val="right"/>
              <w:rPr>
                <w:rFonts w:ascii="Arial" w:eastAsia="Arial Unicode MS" w:hAnsi="Arial"/>
                <w:color w:val="000000"/>
                <w:sz w:val="18"/>
                <w:szCs w:val="22"/>
              </w:rPr>
            </w:pPr>
            <w:r w:rsidRPr="00D24A5A">
              <w:rPr>
                <w:rFonts w:ascii="Arial" w:eastAsia="Arial Unicode MS" w:hAnsi="Arial"/>
                <w:color w:val="000000"/>
                <w:sz w:val="18"/>
                <w:szCs w:val="22"/>
              </w:rPr>
              <w:t>$5,100</w:t>
            </w:r>
          </w:p>
        </w:tc>
        <w:tc>
          <w:tcPr>
            <w:tcW w:w="1255" w:type="dxa"/>
            <w:tcBorders>
              <w:left w:val="single" w:sz="4" w:space="0" w:color="auto"/>
            </w:tcBorders>
          </w:tcPr>
          <w:p w14:paraId="4F7E6FF9" w14:textId="45E30475" w:rsidR="007104B7" w:rsidRPr="00D24A5A" w:rsidRDefault="007104B7" w:rsidP="007104B7">
            <w:pPr>
              <w:jc w:val="right"/>
              <w:rPr>
                <w:rFonts w:ascii="Arial" w:eastAsia="Arial Unicode MS" w:hAnsi="Arial"/>
                <w:color w:val="000000"/>
                <w:sz w:val="18"/>
                <w:szCs w:val="22"/>
              </w:rPr>
            </w:pPr>
          </w:p>
        </w:tc>
      </w:tr>
      <w:tr w:rsidR="007104B7" w14:paraId="3D568484" w14:textId="77777777" w:rsidTr="00D029E2">
        <w:tc>
          <w:tcPr>
            <w:tcW w:w="4675" w:type="dxa"/>
            <w:tcBorders>
              <w:right w:val="single" w:sz="4" w:space="0" w:color="auto"/>
            </w:tcBorders>
          </w:tcPr>
          <w:p w14:paraId="0116462D" w14:textId="77777777" w:rsidR="007104B7" w:rsidRPr="00D24A5A" w:rsidRDefault="007104B7" w:rsidP="007104B7">
            <w:pPr>
              <w:jc w:val="both"/>
              <w:rPr>
                <w:rFonts w:ascii="Arial" w:hAnsi="Arial"/>
                <w:sz w:val="18"/>
                <w:szCs w:val="22"/>
              </w:rPr>
            </w:pPr>
            <w:r w:rsidRPr="00D24A5A">
              <w:rPr>
                <w:rFonts w:ascii="Arial" w:hAnsi="Arial"/>
                <w:sz w:val="18"/>
                <w:szCs w:val="22"/>
              </w:rPr>
              <w:t>Trustee/Benefit Payments</w:t>
            </w:r>
          </w:p>
        </w:tc>
        <w:tc>
          <w:tcPr>
            <w:tcW w:w="1350" w:type="dxa"/>
            <w:tcBorders>
              <w:top w:val="nil"/>
              <w:left w:val="single" w:sz="4" w:space="0" w:color="auto"/>
              <w:bottom w:val="nil"/>
              <w:right w:val="single" w:sz="4" w:space="0" w:color="auto"/>
            </w:tcBorders>
          </w:tcPr>
          <w:p w14:paraId="4E8ECE37" w14:textId="3D814E43" w:rsidR="007104B7" w:rsidRPr="00D24A5A" w:rsidRDefault="007104B7" w:rsidP="007104B7">
            <w:pPr>
              <w:jc w:val="right"/>
              <w:rPr>
                <w:rFonts w:ascii="Arial" w:eastAsia="Arial Unicode MS" w:hAnsi="Arial"/>
                <w:color w:val="000000"/>
                <w:sz w:val="18"/>
                <w:szCs w:val="22"/>
                <w:u w:val="single"/>
              </w:rPr>
            </w:pPr>
            <w:r w:rsidRPr="00D24A5A">
              <w:rPr>
                <w:rFonts w:ascii="Arial" w:eastAsia="Arial Unicode MS" w:hAnsi="Arial"/>
                <w:color w:val="000000"/>
                <w:sz w:val="18"/>
                <w:szCs w:val="22"/>
                <w:u w:val="single"/>
              </w:rPr>
              <w:t>$1,532,900</w:t>
            </w:r>
          </w:p>
        </w:tc>
        <w:tc>
          <w:tcPr>
            <w:tcW w:w="1350" w:type="dxa"/>
            <w:tcBorders>
              <w:top w:val="nil"/>
              <w:left w:val="single" w:sz="4" w:space="0" w:color="auto"/>
              <w:bottom w:val="nil"/>
              <w:right w:val="single" w:sz="4" w:space="0" w:color="auto"/>
            </w:tcBorders>
          </w:tcPr>
          <w:p w14:paraId="5789F1B7" w14:textId="49000369" w:rsidR="007104B7" w:rsidRPr="00D24A5A" w:rsidRDefault="007104B7" w:rsidP="007104B7">
            <w:pPr>
              <w:jc w:val="right"/>
              <w:rPr>
                <w:rFonts w:ascii="Arial" w:eastAsia="Arial Unicode MS" w:hAnsi="Arial"/>
                <w:color w:val="000000"/>
                <w:sz w:val="18"/>
                <w:szCs w:val="22"/>
                <w:u w:val="single"/>
              </w:rPr>
            </w:pPr>
            <w:r w:rsidRPr="00D24A5A">
              <w:rPr>
                <w:rFonts w:ascii="Arial" w:eastAsia="Arial Unicode MS" w:hAnsi="Arial"/>
                <w:color w:val="000000"/>
                <w:sz w:val="18"/>
                <w:szCs w:val="22"/>
                <w:u w:val="single"/>
              </w:rPr>
              <w:t>$1,518,900</w:t>
            </w:r>
          </w:p>
        </w:tc>
        <w:tc>
          <w:tcPr>
            <w:tcW w:w="1440" w:type="dxa"/>
            <w:gridSpan w:val="3"/>
            <w:tcBorders>
              <w:top w:val="nil"/>
              <w:left w:val="single" w:sz="4" w:space="0" w:color="auto"/>
              <w:bottom w:val="nil"/>
              <w:right w:val="single" w:sz="4" w:space="0" w:color="auto"/>
            </w:tcBorders>
          </w:tcPr>
          <w:p w14:paraId="620AE7B3" w14:textId="4572D41F" w:rsidR="007104B7" w:rsidRPr="00D24A5A" w:rsidRDefault="007104B7" w:rsidP="007104B7">
            <w:pPr>
              <w:jc w:val="right"/>
              <w:rPr>
                <w:rFonts w:ascii="Arial" w:eastAsia="Arial Unicode MS" w:hAnsi="Arial"/>
                <w:color w:val="000000"/>
                <w:sz w:val="18"/>
                <w:szCs w:val="22"/>
                <w:u w:val="single"/>
              </w:rPr>
            </w:pPr>
            <w:r w:rsidRPr="00D24A5A">
              <w:rPr>
                <w:rFonts w:ascii="Arial" w:eastAsia="Arial Unicode MS" w:hAnsi="Arial"/>
                <w:color w:val="000000"/>
                <w:sz w:val="18"/>
                <w:szCs w:val="22"/>
                <w:u w:val="single"/>
              </w:rPr>
              <w:t>$1,557,500</w:t>
            </w:r>
          </w:p>
        </w:tc>
        <w:tc>
          <w:tcPr>
            <w:tcW w:w="1255" w:type="dxa"/>
            <w:tcBorders>
              <w:left w:val="single" w:sz="4" w:space="0" w:color="auto"/>
            </w:tcBorders>
          </w:tcPr>
          <w:p w14:paraId="57679F48" w14:textId="312EE9C0" w:rsidR="007104B7" w:rsidRPr="00D24A5A" w:rsidRDefault="007104B7" w:rsidP="007104B7">
            <w:pPr>
              <w:jc w:val="right"/>
              <w:rPr>
                <w:rFonts w:ascii="Arial" w:eastAsia="Arial Unicode MS" w:hAnsi="Arial"/>
                <w:color w:val="000000"/>
                <w:sz w:val="18"/>
                <w:szCs w:val="22"/>
                <w:u w:val="single"/>
              </w:rPr>
            </w:pPr>
          </w:p>
        </w:tc>
      </w:tr>
      <w:tr w:rsidR="007104B7" w14:paraId="015FE3F4" w14:textId="77777777" w:rsidTr="00D029E2">
        <w:tc>
          <w:tcPr>
            <w:tcW w:w="4675" w:type="dxa"/>
            <w:tcBorders>
              <w:right w:val="single" w:sz="4" w:space="0" w:color="auto"/>
            </w:tcBorders>
          </w:tcPr>
          <w:p w14:paraId="3B26A35B" w14:textId="77777777" w:rsidR="007104B7" w:rsidRPr="00D24A5A" w:rsidRDefault="007104B7" w:rsidP="007104B7">
            <w:pPr>
              <w:ind w:left="240"/>
              <w:jc w:val="right"/>
              <w:rPr>
                <w:rFonts w:ascii="Arial" w:hAnsi="Arial"/>
                <w:b/>
                <w:sz w:val="18"/>
                <w:szCs w:val="22"/>
              </w:rPr>
            </w:pPr>
            <w:r w:rsidRPr="00D24A5A">
              <w:rPr>
                <w:rFonts w:ascii="Arial" w:hAnsi="Arial"/>
                <w:b/>
                <w:sz w:val="18"/>
                <w:szCs w:val="22"/>
              </w:rPr>
              <w:t>Total</w:t>
            </w:r>
          </w:p>
        </w:tc>
        <w:tc>
          <w:tcPr>
            <w:tcW w:w="1350" w:type="dxa"/>
            <w:tcBorders>
              <w:top w:val="nil"/>
              <w:left w:val="single" w:sz="4" w:space="0" w:color="auto"/>
              <w:bottom w:val="single" w:sz="4" w:space="0" w:color="auto"/>
              <w:right w:val="single" w:sz="4" w:space="0" w:color="auto"/>
            </w:tcBorders>
          </w:tcPr>
          <w:p w14:paraId="5455A702" w14:textId="01E6FA26" w:rsidR="007104B7" w:rsidRPr="00D24A5A" w:rsidRDefault="007104B7" w:rsidP="007104B7">
            <w:pPr>
              <w:jc w:val="right"/>
              <w:rPr>
                <w:rFonts w:ascii="Arial" w:eastAsia="Arial Unicode MS" w:hAnsi="Arial"/>
                <w:b/>
                <w:color w:val="000000"/>
                <w:sz w:val="18"/>
                <w:szCs w:val="22"/>
              </w:rPr>
            </w:pPr>
            <w:r w:rsidRPr="00D24A5A">
              <w:rPr>
                <w:rFonts w:ascii="Arial" w:eastAsia="Arial Unicode MS" w:hAnsi="Arial"/>
                <w:b/>
                <w:color w:val="000000"/>
                <w:sz w:val="18"/>
                <w:szCs w:val="22"/>
              </w:rPr>
              <w:t>$1,966,200</w:t>
            </w:r>
          </w:p>
        </w:tc>
        <w:tc>
          <w:tcPr>
            <w:tcW w:w="1350" w:type="dxa"/>
            <w:tcBorders>
              <w:top w:val="nil"/>
              <w:left w:val="single" w:sz="4" w:space="0" w:color="auto"/>
              <w:bottom w:val="single" w:sz="4" w:space="0" w:color="auto"/>
              <w:right w:val="single" w:sz="4" w:space="0" w:color="auto"/>
            </w:tcBorders>
          </w:tcPr>
          <w:p w14:paraId="74F4E678" w14:textId="3690F841" w:rsidR="007104B7" w:rsidRPr="00D24A5A" w:rsidRDefault="007104B7" w:rsidP="007104B7">
            <w:pPr>
              <w:jc w:val="right"/>
              <w:rPr>
                <w:rFonts w:ascii="Arial" w:eastAsia="Arial Unicode MS" w:hAnsi="Arial"/>
                <w:b/>
                <w:color w:val="000000"/>
                <w:sz w:val="18"/>
                <w:szCs w:val="22"/>
              </w:rPr>
            </w:pPr>
            <w:r w:rsidRPr="00D24A5A">
              <w:rPr>
                <w:rFonts w:ascii="Arial" w:eastAsia="Arial Unicode MS" w:hAnsi="Arial"/>
                <w:b/>
                <w:color w:val="000000"/>
                <w:sz w:val="18"/>
                <w:szCs w:val="22"/>
              </w:rPr>
              <w:t>$2,000,400</w:t>
            </w:r>
          </w:p>
        </w:tc>
        <w:tc>
          <w:tcPr>
            <w:tcW w:w="1440" w:type="dxa"/>
            <w:gridSpan w:val="3"/>
            <w:tcBorders>
              <w:top w:val="nil"/>
              <w:left w:val="single" w:sz="4" w:space="0" w:color="auto"/>
              <w:bottom w:val="single" w:sz="4" w:space="0" w:color="auto"/>
              <w:right w:val="single" w:sz="4" w:space="0" w:color="auto"/>
            </w:tcBorders>
          </w:tcPr>
          <w:p w14:paraId="723A7543" w14:textId="32549613" w:rsidR="007104B7" w:rsidRPr="00D24A5A" w:rsidRDefault="007104B7" w:rsidP="007104B7">
            <w:pPr>
              <w:jc w:val="right"/>
              <w:rPr>
                <w:rFonts w:ascii="Arial" w:eastAsia="Arial Unicode MS" w:hAnsi="Arial"/>
                <w:b/>
                <w:color w:val="000000"/>
                <w:sz w:val="18"/>
                <w:szCs w:val="22"/>
              </w:rPr>
            </w:pPr>
            <w:r w:rsidRPr="00D24A5A">
              <w:rPr>
                <w:rFonts w:ascii="Arial" w:eastAsia="Arial Unicode MS" w:hAnsi="Arial"/>
                <w:b/>
                <w:color w:val="000000"/>
                <w:sz w:val="18"/>
                <w:szCs w:val="22"/>
              </w:rPr>
              <w:t>$2,048,500</w:t>
            </w:r>
          </w:p>
        </w:tc>
        <w:tc>
          <w:tcPr>
            <w:tcW w:w="1255" w:type="dxa"/>
            <w:tcBorders>
              <w:left w:val="single" w:sz="4" w:space="0" w:color="auto"/>
            </w:tcBorders>
          </w:tcPr>
          <w:p w14:paraId="47B18C4B" w14:textId="6FCA3E25" w:rsidR="007104B7" w:rsidRPr="00D24A5A" w:rsidRDefault="007104B7" w:rsidP="007104B7">
            <w:pPr>
              <w:jc w:val="right"/>
              <w:rPr>
                <w:rFonts w:ascii="Arial" w:eastAsia="Arial Unicode MS" w:hAnsi="Arial"/>
                <w:b/>
                <w:color w:val="000000"/>
                <w:sz w:val="18"/>
                <w:szCs w:val="22"/>
              </w:rPr>
            </w:pPr>
          </w:p>
        </w:tc>
      </w:tr>
    </w:tbl>
    <w:p w14:paraId="59353F17" w14:textId="77777777" w:rsidR="001D50CB" w:rsidRDefault="001D50CB" w:rsidP="005D2CAB">
      <w:pPr>
        <w:rPr>
          <w:rFonts w:ascii="Arial" w:hAnsi="Arial" w:cs="Arial"/>
          <w:b/>
          <w:bCs/>
        </w:rPr>
      </w:pPr>
    </w:p>
    <w:p w14:paraId="0523BF82" w14:textId="56BB5D9C" w:rsidR="001D50CB" w:rsidRDefault="001D50CB" w:rsidP="001D50CB">
      <w:pPr>
        <w:jc w:val="both"/>
        <w:rPr>
          <w:rFonts w:ascii="Arial" w:hAnsi="Arial" w:cs="Arial"/>
          <w:b/>
        </w:rPr>
      </w:pPr>
      <w:r w:rsidRPr="001D50CB">
        <w:rPr>
          <w:rFonts w:ascii="Arial" w:hAnsi="Arial" w:cs="Arial"/>
          <w:b/>
        </w:rPr>
        <w:lastRenderedPageBreak/>
        <w:t xml:space="preserve">Family Medicine Residency (FMR) </w:t>
      </w:r>
      <w:r w:rsidRPr="00CA4569">
        <w:rPr>
          <w:rFonts w:ascii="Arial" w:hAnsi="Arial" w:cs="Arial"/>
          <w:b/>
        </w:rPr>
        <w:t xml:space="preserve">Revenue </w:t>
      </w:r>
      <w:r>
        <w:rPr>
          <w:rFonts w:ascii="Arial" w:hAnsi="Arial" w:cs="Arial"/>
          <w:b/>
        </w:rPr>
        <w:t xml:space="preserve">and </w:t>
      </w:r>
      <w:r w:rsidRPr="00CA4569">
        <w:rPr>
          <w:rFonts w:ascii="Arial" w:hAnsi="Arial" w:cs="Arial"/>
          <w:b/>
        </w:rPr>
        <w:t>Expenditures</w:t>
      </w:r>
    </w:p>
    <w:p w14:paraId="42F36191" w14:textId="77777777" w:rsidR="001D50CB" w:rsidRPr="00CA4569" w:rsidRDefault="001D50CB" w:rsidP="001D50CB">
      <w:pPr>
        <w:jc w:val="both"/>
        <w:rPr>
          <w:rFonts w:ascii="Arial" w:hAnsi="Arial" w:cs="Arial"/>
          <w:b/>
          <w:caps/>
        </w:rPr>
      </w:pPr>
    </w:p>
    <w:tbl>
      <w:tblPr>
        <w:tblW w:w="101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gridCol w:w="1440"/>
        <w:gridCol w:w="1350"/>
        <w:gridCol w:w="1350"/>
        <w:gridCol w:w="1440"/>
        <w:gridCol w:w="1300"/>
      </w:tblGrid>
      <w:tr w:rsidR="007104B7" w:rsidRPr="005B40D3" w14:paraId="502B753B" w14:textId="77777777" w:rsidTr="00EF4641">
        <w:tc>
          <w:tcPr>
            <w:tcW w:w="3240" w:type="dxa"/>
            <w:shd w:val="clear" w:color="auto" w:fill="000080"/>
            <w:vAlign w:val="bottom"/>
          </w:tcPr>
          <w:p w14:paraId="47768B1C" w14:textId="77777777" w:rsidR="007104B7" w:rsidRPr="005B40D3" w:rsidRDefault="007104B7" w:rsidP="007104B7">
            <w:pPr>
              <w:rPr>
                <w:rFonts w:ascii="Arial" w:hAnsi="Arial" w:cs="Arial"/>
                <w:b/>
                <w:color w:val="FFFFFF"/>
                <w:sz w:val="20"/>
                <w:szCs w:val="20"/>
              </w:rPr>
            </w:pPr>
            <w:r w:rsidRPr="005B40D3">
              <w:rPr>
                <w:rFonts w:ascii="Arial" w:hAnsi="Arial" w:cs="Arial"/>
                <w:b/>
                <w:color w:val="FFFFFF"/>
                <w:sz w:val="20"/>
                <w:szCs w:val="20"/>
              </w:rPr>
              <w:t>Revenue</w:t>
            </w:r>
          </w:p>
        </w:tc>
        <w:tc>
          <w:tcPr>
            <w:tcW w:w="1440" w:type="dxa"/>
            <w:tcBorders>
              <w:bottom w:val="nil"/>
            </w:tcBorders>
            <w:shd w:val="clear" w:color="auto" w:fill="000080"/>
          </w:tcPr>
          <w:p w14:paraId="29C38372" w14:textId="665A6686" w:rsidR="007104B7" w:rsidRPr="005B40D3" w:rsidRDefault="007104B7" w:rsidP="007104B7">
            <w:pPr>
              <w:rPr>
                <w:rFonts w:ascii="Arial" w:hAnsi="Arial" w:cs="Arial"/>
                <w:b/>
                <w:color w:val="FFFFFF"/>
                <w:sz w:val="20"/>
                <w:szCs w:val="20"/>
              </w:rPr>
            </w:pPr>
            <w:r>
              <w:rPr>
                <w:rFonts w:ascii="Arial" w:hAnsi="Arial" w:cs="Arial"/>
                <w:b/>
                <w:color w:val="FFFFFF"/>
                <w:sz w:val="20"/>
                <w:szCs w:val="20"/>
              </w:rPr>
              <w:t>FY 2021</w:t>
            </w:r>
          </w:p>
        </w:tc>
        <w:tc>
          <w:tcPr>
            <w:tcW w:w="1350" w:type="dxa"/>
            <w:tcBorders>
              <w:bottom w:val="nil"/>
            </w:tcBorders>
            <w:shd w:val="clear" w:color="auto" w:fill="000080"/>
          </w:tcPr>
          <w:p w14:paraId="4C9670D3" w14:textId="0E6583F9" w:rsidR="007104B7" w:rsidRPr="005B40D3" w:rsidRDefault="007104B7" w:rsidP="007104B7">
            <w:pPr>
              <w:rPr>
                <w:rFonts w:ascii="Arial" w:hAnsi="Arial" w:cs="Arial"/>
                <w:b/>
                <w:color w:val="FFFFFF"/>
                <w:sz w:val="20"/>
                <w:szCs w:val="20"/>
              </w:rPr>
            </w:pPr>
            <w:r>
              <w:rPr>
                <w:rFonts w:ascii="Arial" w:hAnsi="Arial" w:cs="Arial"/>
                <w:b/>
                <w:color w:val="FFFFFF"/>
                <w:sz w:val="20"/>
                <w:szCs w:val="20"/>
              </w:rPr>
              <w:t>FY 2022</w:t>
            </w:r>
          </w:p>
        </w:tc>
        <w:tc>
          <w:tcPr>
            <w:tcW w:w="1350" w:type="dxa"/>
            <w:tcBorders>
              <w:right w:val="single" w:sz="4" w:space="0" w:color="auto"/>
            </w:tcBorders>
            <w:shd w:val="clear" w:color="auto" w:fill="000080"/>
          </w:tcPr>
          <w:p w14:paraId="42732246" w14:textId="671B7EC4" w:rsidR="007104B7" w:rsidRDefault="007104B7" w:rsidP="007104B7">
            <w:pPr>
              <w:rPr>
                <w:rFonts w:ascii="Arial" w:hAnsi="Arial" w:cs="Arial"/>
                <w:b/>
                <w:color w:val="FFFFFF"/>
                <w:sz w:val="20"/>
                <w:szCs w:val="20"/>
              </w:rPr>
            </w:pPr>
            <w:r>
              <w:rPr>
                <w:rFonts w:ascii="Arial" w:hAnsi="Arial" w:cs="Arial"/>
                <w:b/>
                <w:color w:val="FFFFFF"/>
                <w:sz w:val="20"/>
                <w:szCs w:val="20"/>
              </w:rPr>
              <w:t>FY 2023</w:t>
            </w:r>
          </w:p>
        </w:tc>
        <w:tc>
          <w:tcPr>
            <w:tcW w:w="1440" w:type="dxa"/>
            <w:tcBorders>
              <w:left w:val="single" w:sz="4" w:space="0" w:color="auto"/>
            </w:tcBorders>
            <w:shd w:val="clear" w:color="auto" w:fill="000080"/>
          </w:tcPr>
          <w:p w14:paraId="55F6A62E" w14:textId="05E09C56" w:rsidR="007104B7" w:rsidRPr="007104B7" w:rsidRDefault="007104B7" w:rsidP="007104B7">
            <w:pPr>
              <w:ind w:left="162"/>
              <w:rPr>
                <w:rFonts w:ascii="Arial" w:hAnsi="Arial" w:cs="Arial"/>
                <w:b/>
                <w:color w:val="FFFFFF"/>
                <w:sz w:val="20"/>
                <w:szCs w:val="20"/>
              </w:rPr>
            </w:pPr>
            <w:r w:rsidRPr="007104B7">
              <w:rPr>
                <w:rFonts w:ascii="Arial" w:hAnsi="Arial" w:cs="Arial"/>
                <w:b/>
                <w:color w:val="FFFFFF"/>
                <w:sz w:val="20"/>
                <w:szCs w:val="20"/>
              </w:rPr>
              <w:t>FY 2024</w:t>
            </w:r>
          </w:p>
        </w:tc>
        <w:tc>
          <w:tcPr>
            <w:tcW w:w="1300" w:type="dxa"/>
            <w:tcBorders>
              <w:left w:val="single" w:sz="4" w:space="0" w:color="auto"/>
            </w:tcBorders>
            <w:shd w:val="clear" w:color="auto" w:fill="000080"/>
          </w:tcPr>
          <w:p w14:paraId="725208E0" w14:textId="74A32106" w:rsidR="007104B7" w:rsidRPr="007104B7" w:rsidRDefault="007104B7" w:rsidP="007104B7">
            <w:pPr>
              <w:ind w:left="162"/>
              <w:rPr>
                <w:rFonts w:ascii="Arial" w:hAnsi="Arial" w:cs="Arial"/>
                <w:b/>
                <w:color w:val="FFFFFF"/>
                <w:sz w:val="20"/>
                <w:szCs w:val="20"/>
              </w:rPr>
            </w:pPr>
            <w:r w:rsidRPr="007104B7">
              <w:rPr>
                <w:rFonts w:ascii="Arial" w:hAnsi="Arial" w:cs="Arial"/>
                <w:b/>
                <w:color w:val="FFFFFF"/>
                <w:sz w:val="20"/>
                <w:szCs w:val="20"/>
              </w:rPr>
              <w:t>FY 2025</w:t>
            </w:r>
          </w:p>
        </w:tc>
      </w:tr>
      <w:tr w:rsidR="007104B7" w:rsidRPr="005B40D3" w14:paraId="619C624D" w14:textId="77777777" w:rsidTr="00EF4641">
        <w:tc>
          <w:tcPr>
            <w:tcW w:w="3240" w:type="dxa"/>
            <w:tcBorders>
              <w:right w:val="single" w:sz="4" w:space="0" w:color="auto"/>
            </w:tcBorders>
            <w:vAlign w:val="bottom"/>
          </w:tcPr>
          <w:p w14:paraId="2E3D3C04" w14:textId="77777777" w:rsidR="007104B7" w:rsidRPr="00EF4641" w:rsidRDefault="007104B7" w:rsidP="007104B7">
            <w:pPr>
              <w:rPr>
                <w:rFonts w:ascii="Arial" w:eastAsia="Arial Unicode MS" w:hAnsi="Arial" w:cs="Arial"/>
                <w:color w:val="000000"/>
                <w:sz w:val="18"/>
                <w:szCs w:val="18"/>
              </w:rPr>
            </w:pPr>
            <w:r w:rsidRPr="00EF4641">
              <w:rPr>
                <w:rFonts w:ascii="Arial" w:hAnsi="Arial" w:cs="Arial"/>
                <w:color w:val="000000"/>
                <w:sz w:val="18"/>
                <w:szCs w:val="18"/>
              </w:rPr>
              <w:t>General Fund</w:t>
            </w:r>
          </w:p>
        </w:tc>
        <w:tc>
          <w:tcPr>
            <w:tcW w:w="1440" w:type="dxa"/>
            <w:tcBorders>
              <w:top w:val="nil"/>
              <w:left w:val="single" w:sz="4" w:space="0" w:color="auto"/>
              <w:bottom w:val="nil"/>
              <w:right w:val="single" w:sz="4" w:space="0" w:color="auto"/>
            </w:tcBorders>
          </w:tcPr>
          <w:p w14:paraId="7E342849" w14:textId="1574D08D" w:rsidR="007104B7" w:rsidRPr="00EF4641" w:rsidRDefault="007104B7" w:rsidP="007104B7">
            <w:pPr>
              <w:tabs>
                <w:tab w:val="center" w:pos="793"/>
                <w:tab w:val="right" w:pos="1587"/>
              </w:tabs>
              <w:rPr>
                <w:rFonts w:ascii="Arial" w:hAnsi="Arial" w:cs="Arial"/>
                <w:color w:val="000000"/>
                <w:sz w:val="18"/>
                <w:szCs w:val="18"/>
                <w:u w:val="single"/>
              </w:rPr>
            </w:pPr>
            <w:r w:rsidRPr="00EF4641">
              <w:rPr>
                <w:rFonts w:ascii="Arial" w:hAnsi="Arial" w:cs="Arial"/>
                <w:color w:val="000000"/>
                <w:sz w:val="18"/>
                <w:szCs w:val="18"/>
                <w:u w:val="single"/>
              </w:rPr>
              <w:t>$2,115,000</w:t>
            </w:r>
            <w:r w:rsidRPr="00EF4641">
              <w:rPr>
                <w:rFonts w:ascii="Arial" w:hAnsi="Arial" w:cs="Arial"/>
                <w:color w:val="000000"/>
                <w:sz w:val="18"/>
                <w:szCs w:val="18"/>
              </w:rPr>
              <w:t xml:space="preserve">       </w:t>
            </w:r>
          </w:p>
        </w:tc>
        <w:tc>
          <w:tcPr>
            <w:tcW w:w="1350" w:type="dxa"/>
            <w:tcBorders>
              <w:top w:val="nil"/>
              <w:left w:val="single" w:sz="4" w:space="0" w:color="auto"/>
              <w:bottom w:val="nil"/>
              <w:right w:val="single" w:sz="4" w:space="0" w:color="auto"/>
            </w:tcBorders>
          </w:tcPr>
          <w:p w14:paraId="31FA799F" w14:textId="446A1F18" w:rsidR="007104B7" w:rsidRPr="00EF4641" w:rsidRDefault="007104B7" w:rsidP="007104B7">
            <w:pPr>
              <w:rPr>
                <w:rFonts w:ascii="Arial" w:hAnsi="Arial" w:cs="Arial"/>
                <w:color w:val="000000"/>
                <w:sz w:val="18"/>
                <w:szCs w:val="18"/>
                <w:u w:val="single"/>
              </w:rPr>
            </w:pPr>
            <w:r w:rsidRPr="00EF4641">
              <w:rPr>
                <w:rFonts w:ascii="Arial" w:hAnsi="Arial" w:cs="Arial"/>
                <w:color w:val="000000"/>
                <w:sz w:val="18"/>
                <w:szCs w:val="18"/>
              </w:rPr>
              <w:t xml:space="preserve"> </w:t>
            </w:r>
            <w:r w:rsidRPr="00EF4641">
              <w:rPr>
                <w:rFonts w:ascii="Arial" w:hAnsi="Arial" w:cs="Arial"/>
                <w:color w:val="000000"/>
                <w:sz w:val="18"/>
                <w:szCs w:val="18"/>
                <w:u w:val="single"/>
              </w:rPr>
              <w:t>$2,273,700</w:t>
            </w:r>
          </w:p>
        </w:tc>
        <w:tc>
          <w:tcPr>
            <w:tcW w:w="1350" w:type="dxa"/>
            <w:tcBorders>
              <w:left w:val="single" w:sz="4" w:space="0" w:color="auto"/>
              <w:right w:val="single" w:sz="4" w:space="0" w:color="auto"/>
            </w:tcBorders>
          </w:tcPr>
          <w:p w14:paraId="7118A166" w14:textId="109F133F" w:rsidR="007104B7" w:rsidRPr="00EF4641" w:rsidRDefault="007104B7" w:rsidP="007104B7">
            <w:pPr>
              <w:rPr>
                <w:rFonts w:ascii="Arial" w:hAnsi="Arial" w:cs="Arial"/>
                <w:color w:val="000000"/>
                <w:sz w:val="18"/>
                <w:szCs w:val="18"/>
              </w:rPr>
            </w:pPr>
            <w:r w:rsidRPr="00EF4641">
              <w:rPr>
                <w:rFonts w:ascii="Arial" w:hAnsi="Arial" w:cs="Arial"/>
                <w:color w:val="000000"/>
                <w:sz w:val="18"/>
                <w:szCs w:val="18"/>
                <w:u w:val="single"/>
              </w:rPr>
              <w:t xml:space="preserve">$ 2,639,100 </w:t>
            </w:r>
          </w:p>
        </w:tc>
        <w:tc>
          <w:tcPr>
            <w:tcW w:w="1440" w:type="dxa"/>
            <w:tcBorders>
              <w:left w:val="single" w:sz="4" w:space="0" w:color="auto"/>
            </w:tcBorders>
          </w:tcPr>
          <w:p w14:paraId="690B6231" w14:textId="77777777" w:rsidR="007104B7" w:rsidRPr="00EF4641" w:rsidRDefault="007104B7" w:rsidP="007104B7">
            <w:pPr>
              <w:ind w:left="72"/>
              <w:rPr>
                <w:rFonts w:ascii="Arial" w:hAnsi="Arial" w:cs="Arial"/>
                <w:color w:val="000000"/>
                <w:sz w:val="18"/>
                <w:szCs w:val="18"/>
                <w:u w:val="single"/>
              </w:rPr>
            </w:pPr>
            <w:r w:rsidRPr="00EF4641">
              <w:rPr>
                <w:rFonts w:ascii="Arial" w:hAnsi="Arial" w:cs="Arial"/>
                <w:color w:val="000000"/>
                <w:sz w:val="18"/>
                <w:szCs w:val="18"/>
                <w:u w:val="single"/>
              </w:rPr>
              <w:t>$2,888,600</w:t>
            </w:r>
          </w:p>
          <w:p w14:paraId="58F4C1AF" w14:textId="41B21CE5" w:rsidR="007104B7" w:rsidRPr="00EF4641" w:rsidRDefault="007104B7" w:rsidP="007104B7">
            <w:pPr>
              <w:ind w:left="72"/>
              <w:rPr>
                <w:rFonts w:ascii="Arial" w:hAnsi="Arial" w:cs="Arial"/>
                <w:color w:val="000000"/>
                <w:sz w:val="18"/>
                <w:szCs w:val="18"/>
                <w:u w:val="single"/>
              </w:rPr>
            </w:pPr>
          </w:p>
        </w:tc>
        <w:tc>
          <w:tcPr>
            <w:tcW w:w="1300" w:type="dxa"/>
            <w:tcBorders>
              <w:left w:val="single" w:sz="4" w:space="0" w:color="auto"/>
            </w:tcBorders>
          </w:tcPr>
          <w:p w14:paraId="52DF751B" w14:textId="77777777" w:rsidR="007104B7" w:rsidRPr="00EF4641" w:rsidRDefault="007104B7" w:rsidP="007104B7">
            <w:pPr>
              <w:ind w:left="72"/>
              <w:rPr>
                <w:rFonts w:ascii="Arial" w:hAnsi="Arial" w:cs="Arial"/>
                <w:color w:val="000000"/>
                <w:sz w:val="18"/>
                <w:szCs w:val="18"/>
              </w:rPr>
            </w:pPr>
          </w:p>
        </w:tc>
      </w:tr>
      <w:tr w:rsidR="007104B7" w:rsidRPr="005B40D3" w14:paraId="06E4A57D" w14:textId="77777777" w:rsidTr="00EF4641">
        <w:trPr>
          <w:trHeight w:val="162"/>
        </w:trPr>
        <w:tc>
          <w:tcPr>
            <w:tcW w:w="3240" w:type="dxa"/>
            <w:tcBorders>
              <w:right w:val="single" w:sz="4" w:space="0" w:color="auto"/>
            </w:tcBorders>
            <w:vAlign w:val="center"/>
          </w:tcPr>
          <w:p w14:paraId="4774077A" w14:textId="77777777" w:rsidR="007104B7" w:rsidRPr="00EF4641" w:rsidRDefault="007104B7" w:rsidP="007104B7">
            <w:pPr>
              <w:jc w:val="right"/>
              <w:rPr>
                <w:rFonts w:ascii="Arial" w:hAnsi="Arial" w:cs="Arial"/>
                <w:b/>
                <w:color w:val="000000"/>
                <w:sz w:val="18"/>
                <w:szCs w:val="18"/>
              </w:rPr>
            </w:pPr>
            <w:r w:rsidRPr="00EF4641">
              <w:rPr>
                <w:rFonts w:ascii="Arial" w:hAnsi="Arial" w:cs="Arial"/>
                <w:b/>
                <w:color w:val="000000"/>
                <w:sz w:val="18"/>
                <w:szCs w:val="18"/>
              </w:rPr>
              <w:t>Total</w:t>
            </w:r>
          </w:p>
        </w:tc>
        <w:tc>
          <w:tcPr>
            <w:tcW w:w="1440" w:type="dxa"/>
            <w:tcBorders>
              <w:top w:val="nil"/>
              <w:left w:val="single" w:sz="4" w:space="0" w:color="auto"/>
              <w:bottom w:val="nil"/>
              <w:right w:val="single" w:sz="4" w:space="0" w:color="auto"/>
            </w:tcBorders>
          </w:tcPr>
          <w:p w14:paraId="494FB58D" w14:textId="74F06BDC" w:rsidR="007104B7" w:rsidRPr="00EF4641" w:rsidRDefault="007104B7" w:rsidP="007104B7">
            <w:pPr>
              <w:rPr>
                <w:rFonts w:ascii="Arial" w:hAnsi="Arial" w:cs="Arial"/>
                <w:b/>
                <w:color w:val="000000"/>
                <w:sz w:val="18"/>
                <w:szCs w:val="18"/>
              </w:rPr>
            </w:pPr>
            <w:r w:rsidRPr="00EF4641">
              <w:rPr>
                <w:rFonts w:ascii="Arial" w:hAnsi="Arial" w:cs="Arial"/>
                <w:b/>
                <w:color w:val="000000"/>
                <w:sz w:val="18"/>
                <w:szCs w:val="18"/>
              </w:rPr>
              <w:t xml:space="preserve">$2,115,000        </w:t>
            </w:r>
          </w:p>
        </w:tc>
        <w:tc>
          <w:tcPr>
            <w:tcW w:w="1350" w:type="dxa"/>
            <w:tcBorders>
              <w:top w:val="nil"/>
              <w:left w:val="single" w:sz="4" w:space="0" w:color="auto"/>
              <w:bottom w:val="nil"/>
              <w:right w:val="single" w:sz="4" w:space="0" w:color="auto"/>
            </w:tcBorders>
          </w:tcPr>
          <w:p w14:paraId="11F4C116" w14:textId="733DAE06" w:rsidR="007104B7" w:rsidRPr="00EF4641" w:rsidRDefault="007104B7" w:rsidP="007104B7">
            <w:pPr>
              <w:rPr>
                <w:rFonts w:ascii="Arial" w:hAnsi="Arial" w:cs="Arial"/>
                <w:b/>
                <w:color w:val="000000"/>
                <w:sz w:val="18"/>
                <w:szCs w:val="18"/>
              </w:rPr>
            </w:pPr>
            <w:r w:rsidRPr="00EF4641">
              <w:rPr>
                <w:rFonts w:ascii="Arial" w:hAnsi="Arial" w:cs="Arial"/>
                <w:b/>
                <w:color w:val="000000"/>
                <w:sz w:val="18"/>
                <w:szCs w:val="18"/>
              </w:rPr>
              <w:t xml:space="preserve"> $2,273,700</w:t>
            </w:r>
          </w:p>
        </w:tc>
        <w:tc>
          <w:tcPr>
            <w:tcW w:w="1350" w:type="dxa"/>
            <w:tcBorders>
              <w:left w:val="single" w:sz="4" w:space="0" w:color="auto"/>
              <w:right w:val="single" w:sz="4" w:space="0" w:color="auto"/>
            </w:tcBorders>
          </w:tcPr>
          <w:p w14:paraId="75A01AD1" w14:textId="53BFE97C" w:rsidR="007104B7" w:rsidRPr="00EF4641" w:rsidRDefault="007104B7" w:rsidP="007104B7">
            <w:pPr>
              <w:rPr>
                <w:rFonts w:ascii="Arial" w:hAnsi="Arial" w:cs="Arial"/>
                <w:color w:val="000000"/>
                <w:sz w:val="18"/>
                <w:szCs w:val="18"/>
              </w:rPr>
            </w:pPr>
            <w:r w:rsidRPr="00EF4641">
              <w:rPr>
                <w:rFonts w:ascii="Arial" w:hAnsi="Arial" w:cs="Arial"/>
                <w:b/>
                <w:color w:val="000000"/>
                <w:sz w:val="18"/>
                <w:szCs w:val="18"/>
              </w:rPr>
              <w:t>$ 2,639,100</w:t>
            </w:r>
          </w:p>
        </w:tc>
        <w:tc>
          <w:tcPr>
            <w:tcW w:w="1440" w:type="dxa"/>
            <w:tcBorders>
              <w:left w:val="single" w:sz="4" w:space="0" w:color="auto"/>
            </w:tcBorders>
          </w:tcPr>
          <w:p w14:paraId="1A31BC1D" w14:textId="6B6F314B" w:rsidR="007104B7" w:rsidRPr="00EF4641" w:rsidRDefault="007104B7" w:rsidP="007104B7">
            <w:pPr>
              <w:ind w:left="72"/>
              <w:rPr>
                <w:rFonts w:ascii="Arial" w:hAnsi="Arial" w:cs="Arial"/>
                <w:color w:val="000000"/>
                <w:sz w:val="18"/>
                <w:szCs w:val="18"/>
              </w:rPr>
            </w:pPr>
            <w:r w:rsidRPr="00EF4641">
              <w:rPr>
                <w:rFonts w:ascii="Arial" w:hAnsi="Arial" w:cs="Arial"/>
                <w:b/>
                <w:color w:val="000000"/>
                <w:sz w:val="18"/>
                <w:szCs w:val="18"/>
              </w:rPr>
              <w:t>$2,888,600</w:t>
            </w:r>
          </w:p>
        </w:tc>
        <w:tc>
          <w:tcPr>
            <w:tcW w:w="1300" w:type="dxa"/>
            <w:tcBorders>
              <w:left w:val="single" w:sz="4" w:space="0" w:color="auto"/>
            </w:tcBorders>
          </w:tcPr>
          <w:p w14:paraId="010A6581" w14:textId="494932F4" w:rsidR="007104B7" w:rsidRPr="00EF4641" w:rsidRDefault="007104B7" w:rsidP="007104B7">
            <w:pPr>
              <w:rPr>
                <w:rFonts w:ascii="Arial" w:hAnsi="Arial" w:cs="Arial"/>
                <w:b/>
                <w:color w:val="000000"/>
                <w:sz w:val="18"/>
                <w:szCs w:val="18"/>
              </w:rPr>
            </w:pPr>
          </w:p>
        </w:tc>
      </w:tr>
      <w:tr w:rsidR="007104B7" w:rsidRPr="005B40D3" w14:paraId="156ED05E" w14:textId="77777777" w:rsidTr="00EF4641">
        <w:tc>
          <w:tcPr>
            <w:tcW w:w="3240" w:type="dxa"/>
            <w:shd w:val="clear" w:color="auto" w:fill="000080"/>
            <w:vAlign w:val="bottom"/>
          </w:tcPr>
          <w:p w14:paraId="0CAD528E" w14:textId="77777777" w:rsidR="007104B7" w:rsidRPr="005B40D3" w:rsidRDefault="007104B7" w:rsidP="007104B7">
            <w:pPr>
              <w:rPr>
                <w:rFonts w:ascii="Arial" w:hAnsi="Arial" w:cs="Arial"/>
                <w:b/>
                <w:color w:val="FFFFFF"/>
                <w:sz w:val="20"/>
                <w:szCs w:val="20"/>
              </w:rPr>
            </w:pPr>
            <w:r w:rsidRPr="005B40D3">
              <w:rPr>
                <w:rFonts w:ascii="Arial" w:hAnsi="Arial" w:cs="Arial"/>
                <w:b/>
                <w:color w:val="FFFFFF"/>
                <w:sz w:val="20"/>
                <w:szCs w:val="20"/>
              </w:rPr>
              <w:t>Expenditure</w:t>
            </w:r>
            <w:r>
              <w:rPr>
                <w:rFonts w:ascii="Arial" w:hAnsi="Arial" w:cs="Arial"/>
                <w:b/>
                <w:color w:val="FFFFFF"/>
                <w:sz w:val="20"/>
                <w:szCs w:val="20"/>
              </w:rPr>
              <w:t>s</w:t>
            </w:r>
          </w:p>
        </w:tc>
        <w:tc>
          <w:tcPr>
            <w:tcW w:w="1440" w:type="dxa"/>
            <w:tcBorders>
              <w:top w:val="nil"/>
              <w:bottom w:val="nil"/>
            </w:tcBorders>
            <w:shd w:val="clear" w:color="auto" w:fill="000080"/>
          </w:tcPr>
          <w:p w14:paraId="7044BBA8" w14:textId="09FF2BC6" w:rsidR="007104B7" w:rsidRPr="005B40D3" w:rsidRDefault="007104B7" w:rsidP="007104B7">
            <w:pPr>
              <w:rPr>
                <w:rFonts w:ascii="Arial" w:hAnsi="Arial" w:cs="Arial"/>
                <w:b/>
                <w:color w:val="FFFFFF"/>
                <w:sz w:val="20"/>
                <w:szCs w:val="20"/>
              </w:rPr>
            </w:pPr>
            <w:r>
              <w:rPr>
                <w:rFonts w:ascii="Arial" w:hAnsi="Arial" w:cs="Arial"/>
                <w:b/>
                <w:color w:val="FFFFFF"/>
                <w:sz w:val="20"/>
                <w:szCs w:val="20"/>
              </w:rPr>
              <w:t>FY 2021</w:t>
            </w:r>
          </w:p>
        </w:tc>
        <w:tc>
          <w:tcPr>
            <w:tcW w:w="1350" w:type="dxa"/>
            <w:tcBorders>
              <w:top w:val="nil"/>
              <w:bottom w:val="nil"/>
            </w:tcBorders>
            <w:shd w:val="clear" w:color="auto" w:fill="000080"/>
          </w:tcPr>
          <w:p w14:paraId="17E008B8" w14:textId="17A6AB71" w:rsidR="007104B7" w:rsidRPr="005B40D3" w:rsidRDefault="007104B7" w:rsidP="007104B7">
            <w:pPr>
              <w:rPr>
                <w:rFonts w:ascii="Arial" w:hAnsi="Arial" w:cs="Arial"/>
                <w:b/>
                <w:color w:val="FFFFFF"/>
                <w:sz w:val="20"/>
                <w:szCs w:val="20"/>
              </w:rPr>
            </w:pPr>
            <w:r>
              <w:rPr>
                <w:rFonts w:ascii="Arial" w:hAnsi="Arial" w:cs="Arial"/>
                <w:b/>
                <w:color w:val="FFFFFF"/>
                <w:sz w:val="20"/>
                <w:szCs w:val="20"/>
              </w:rPr>
              <w:t>FY 2022</w:t>
            </w:r>
          </w:p>
        </w:tc>
        <w:tc>
          <w:tcPr>
            <w:tcW w:w="1350" w:type="dxa"/>
            <w:tcBorders>
              <w:right w:val="single" w:sz="4" w:space="0" w:color="auto"/>
            </w:tcBorders>
            <w:shd w:val="clear" w:color="auto" w:fill="000080"/>
          </w:tcPr>
          <w:p w14:paraId="08BB2D46" w14:textId="1247D8F6" w:rsidR="007104B7" w:rsidRDefault="007104B7" w:rsidP="007104B7">
            <w:pPr>
              <w:rPr>
                <w:rFonts w:ascii="Arial" w:hAnsi="Arial" w:cs="Arial"/>
                <w:b/>
                <w:color w:val="FFFFFF"/>
                <w:sz w:val="20"/>
                <w:szCs w:val="20"/>
              </w:rPr>
            </w:pPr>
            <w:r>
              <w:rPr>
                <w:rFonts w:ascii="Arial" w:hAnsi="Arial" w:cs="Arial"/>
                <w:b/>
                <w:color w:val="FFFFFF"/>
                <w:sz w:val="20"/>
                <w:szCs w:val="20"/>
              </w:rPr>
              <w:t xml:space="preserve">FY 2023  </w:t>
            </w:r>
          </w:p>
        </w:tc>
        <w:tc>
          <w:tcPr>
            <w:tcW w:w="1440" w:type="dxa"/>
            <w:tcBorders>
              <w:left w:val="single" w:sz="4" w:space="0" w:color="auto"/>
            </w:tcBorders>
            <w:shd w:val="clear" w:color="auto" w:fill="000080"/>
          </w:tcPr>
          <w:p w14:paraId="0FC49346" w14:textId="6743778C" w:rsidR="007104B7" w:rsidRDefault="007104B7" w:rsidP="007104B7">
            <w:pPr>
              <w:ind w:left="162"/>
              <w:rPr>
                <w:rFonts w:ascii="Arial" w:hAnsi="Arial" w:cs="Arial"/>
                <w:b/>
                <w:color w:val="FFFFFF"/>
                <w:sz w:val="20"/>
                <w:szCs w:val="20"/>
              </w:rPr>
            </w:pPr>
            <w:r>
              <w:rPr>
                <w:rFonts w:ascii="Arial" w:hAnsi="Arial" w:cs="Arial"/>
                <w:b/>
                <w:color w:val="FFFFFF"/>
                <w:sz w:val="20"/>
                <w:szCs w:val="20"/>
              </w:rPr>
              <w:t>FY 2024</w:t>
            </w:r>
          </w:p>
        </w:tc>
        <w:tc>
          <w:tcPr>
            <w:tcW w:w="1300" w:type="dxa"/>
            <w:tcBorders>
              <w:left w:val="single" w:sz="4" w:space="0" w:color="auto"/>
            </w:tcBorders>
            <w:shd w:val="clear" w:color="auto" w:fill="000080"/>
          </w:tcPr>
          <w:p w14:paraId="0352AACB" w14:textId="2025CAB7" w:rsidR="007104B7" w:rsidRDefault="007104B7" w:rsidP="007104B7">
            <w:pPr>
              <w:ind w:left="162"/>
              <w:rPr>
                <w:rFonts w:ascii="Arial" w:hAnsi="Arial" w:cs="Arial"/>
                <w:b/>
                <w:color w:val="FFFFFF"/>
                <w:sz w:val="20"/>
                <w:szCs w:val="20"/>
              </w:rPr>
            </w:pPr>
            <w:r>
              <w:rPr>
                <w:rFonts w:ascii="Arial" w:hAnsi="Arial" w:cs="Arial"/>
                <w:b/>
                <w:color w:val="FFFFFF"/>
                <w:sz w:val="20"/>
                <w:szCs w:val="20"/>
              </w:rPr>
              <w:t>FY 2025</w:t>
            </w:r>
          </w:p>
        </w:tc>
      </w:tr>
      <w:tr w:rsidR="007104B7" w:rsidRPr="005B40D3" w14:paraId="473F463B" w14:textId="77777777" w:rsidTr="00EF4641">
        <w:tc>
          <w:tcPr>
            <w:tcW w:w="3240" w:type="dxa"/>
            <w:tcBorders>
              <w:right w:val="single" w:sz="4" w:space="0" w:color="auto"/>
            </w:tcBorders>
            <w:vAlign w:val="bottom"/>
          </w:tcPr>
          <w:p w14:paraId="573C567A" w14:textId="77777777" w:rsidR="007104B7" w:rsidRPr="00EF4641" w:rsidRDefault="007104B7" w:rsidP="007104B7">
            <w:pPr>
              <w:rPr>
                <w:rFonts w:ascii="Arial" w:hAnsi="Arial" w:cs="Arial"/>
                <w:sz w:val="18"/>
                <w:szCs w:val="18"/>
              </w:rPr>
            </w:pPr>
            <w:r w:rsidRPr="00EF4641">
              <w:rPr>
                <w:rFonts w:ascii="Arial" w:hAnsi="Arial" w:cs="Arial"/>
                <w:sz w:val="18"/>
                <w:szCs w:val="18"/>
              </w:rPr>
              <w:t>Personnel Costs</w:t>
            </w:r>
          </w:p>
          <w:p w14:paraId="40CE7D3B" w14:textId="77777777" w:rsidR="007104B7" w:rsidRPr="00EF4641" w:rsidRDefault="007104B7" w:rsidP="007104B7">
            <w:pPr>
              <w:rPr>
                <w:rFonts w:ascii="Arial" w:hAnsi="Arial" w:cs="Arial"/>
                <w:sz w:val="18"/>
                <w:szCs w:val="18"/>
              </w:rPr>
            </w:pPr>
          </w:p>
        </w:tc>
        <w:tc>
          <w:tcPr>
            <w:tcW w:w="1440" w:type="dxa"/>
            <w:tcBorders>
              <w:top w:val="nil"/>
              <w:left w:val="single" w:sz="4" w:space="0" w:color="auto"/>
              <w:bottom w:val="nil"/>
              <w:right w:val="single" w:sz="4" w:space="0" w:color="auto"/>
            </w:tcBorders>
          </w:tcPr>
          <w:p w14:paraId="4CA72463" w14:textId="2D041AEB" w:rsidR="007104B7" w:rsidRPr="00EF4641" w:rsidRDefault="007104B7" w:rsidP="007104B7">
            <w:pPr>
              <w:rPr>
                <w:rFonts w:ascii="Arial" w:hAnsi="Arial" w:cs="Arial"/>
                <w:color w:val="000000"/>
                <w:sz w:val="18"/>
                <w:szCs w:val="18"/>
              </w:rPr>
            </w:pPr>
            <w:r w:rsidRPr="00EF4641">
              <w:rPr>
                <w:rFonts w:ascii="Arial" w:hAnsi="Arial" w:cs="Arial"/>
                <w:color w:val="000000"/>
                <w:sz w:val="18"/>
                <w:szCs w:val="18"/>
              </w:rPr>
              <w:t xml:space="preserve"> $ 1,793,400   </w:t>
            </w:r>
          </w:p>
        </w:tc>
        <w:tc>
          <w:tcPr>
            <w:tcW w:w="1350" w:type="dxa"/>
            <w:tcBorders>
              <w:top w:val="nil"/>
              <w:left w:val="single" w:sz="4" w:space="0" w:color="auto"/>
              <w:bottom w:val="nil"/>
              <w:right w:val="single" w:sz="4" w:space="0" w:color="auto"/>
            </w:tcBorders>
          </w:tcPr>
          <w:p w14:paraId="432BCFA5" w14:textId="609BA165" w:rsidR="007104B7" w:rsidRPr="00EF4641" w:rsidRDefault="007104B7" w:rsidP="007104B7">
            <w:pPr>
              <w:rPr>
                <w:rFonts w:ascii="Arial" w:hAnsi="Arial" w:cs="Arial"/>
                <w:color w:val="000000"/>
                <w:sz w:val="18"/>
                <w:szCs w:val="18"/>
              </w:rPr>
            </w:pPr>
            <w:r w:rsidRPr="00EF4641">
              <w:rPr>
                <w:rFonts w:ascii="Arial" w:hAnsi="Arial" w:cs="Arial"/>
                <w:color w:val="000000"/>
                <w:sz w:val="18"/>
                <w:szCs w:val="18"/>
              </w:rPr>
              <w:t>$ 1,952,100</w:t>
            </w:r>
          </w:p>
        </w:tc>
        <w:tc>
          <w:tcPr>
            <w:tcW w:w="1350" w:type="dxa"/>
            <w:tcBorders>
              <w:left w:val="single" w:sz="4" w:space="0" w:color="auto"/>
              <w:right w:val="single" w:sz="4" w:space="0" w:color="auto"/>
            </w:tcBorders>
          </w:tcPr>
          <w:p w14:paraId="02C9B314" w14:textId="7D90C7BE" w:rsidR="007104B7" w:rsidRPr="00EF4641" w:rsidRDefault="007104B7" w:rsidP="007104B7">
            <w:pPr>
              <w:rPr>
                <w:rFonts w:ascii="Arial" w:hAnsi="Arial" w:cs="Arial"/>
                <w:color w:val="000000"/>
                <w:sz w:val="18"/>
                <w:szCs w:val="18"/>
              </w:rPr>
            </w:pPr>
            <w:r w:rsidRPr="00EF4641">
              <w:rPr>
                <w:rFonts w:ascii="Arial" w:hAnsi="Arial" w:cs="Arial"/>
                <w:color w:val="000000"/>
                <w:sz w:val="18"/>
                <w:szCs w:val="18"/>
              </w:rPr>
              <w:t>$ 2,317,500</w:t>
            </w:r>
          </w:p>
        </w:tc>
        <w:tc>
          <w:tcPr>
            <w:tcW w:w="1440" w:type="dxa"/>
            <w:tcBorders>
              <w:left w:val="single" w:sz="4" w:space="0" w:color="auto"/>
            </w:tcBorders>
          </w:tcPr>
          <w:p w14:paraId="14772E07" w14:textId="77777777" w:rsidR="007104B7" w:rsidRPr="00EF4641" w:rsidRDefault="007104B7" w:rsidP="007104B7">
            <w:pPr>
              <w:ind w:left="72"/>
              <w:rPr>
                <w:rFonts w:ascii="Arial" w:hAnsi="Arial" w:cs="Arial"/>
                <w:color w:val="000000"/>
                <w:sz w:val="18"/>
                <w:szCs w:val="18"/>
              </w:rPr>
            </w:pPr>
            <w:r w:rsidRPr="00EF4641">
              <w:rPr>
                <w:rFonts w:ascii="Arial" w:hAnsi="Arial" w:cs="Arial"/>
                <w:color w:val="000000"/>
                <w:sz w:val="18"/>
                <w:szCs w:val="18"/>
              </w:rPr>
              <w:t>$2,567,000</w:t>
            </w:r>
          </w:p>
          <w:p w14:paraId="0EE7BA58" w14:textId="364BC952" w:rsidR="007104B7" w:rsidRPr="00EF4641" w:rsidRDefault="007104B7" w:rsidP="007104B7">
            <w:pPr>
              <w:ind w:left="72"/>
              <w:rPr>
                <w:rFonts w:ascii="Arial" w:hAnsi="Arial" w:cs="Arial"/>
                <w:color w:val="000000"/>
                <w:sz w:val="18"/>
                <w:szCs w:val="18"/>
              </w:rPr>
            </w:pPr>
          </w:p>
        </w:tc>
        <w:tc>
          <w:tcPr>
            <w:tcW w:w="1300" w:type="dxa"/>
            <w:tcBorders>
              <w:left w:val="single" w:sz="4" w:space="0" w:color="auto"/>
            </w:tcBorders>
          </w:tcPr>
          <w:p w14:paraId="5ADC0F2E" w14:textId="77777777" w:rsidR="007104B7" w:rsidRPr="00EF4641" w:rsidRDefault="007104B7" w:rsidP="007104B7">
            <w:pPr>
              <w:ind w:left="72"/>
              <w:rPr>
                <w:rFonts w:ascii="Arial" w:hAnsi="Arial" w:cs="Arial"/>
                <w:color w:val="000000"/>
                <w:sz w:val="18"/>
                <w:szCs w:val="18"/>
              </w:rPr>
            </w:pPr>
          </w:p>
        </w:tc>
      </w:tr>
      <w:tr w:rsidR="007104B7" w:rsidRPr="005B40D3" w14:paraId="7AD02FBF" w14:textId="77777777" w:rsidTr="00EF4641">
        <w:tc>
          <w:tcPr>
            <w:tcW w:w="3240" w:type="dxa"/>
            <w:tcBorders>
              <w:right w:val="single" w:sz="4" w:space="0" w:color="auto"/>
            </w:tcBorders>
            <w:vAlign w:val="bottom"/>
          </w:tcPr>
          <w:p w14:paraId="61761C33" w14:textId="77777777" w:rsidR="007104B7" w:rsidRPr="00EF4641" w:rsidRDefault="007104B7" w:rsidP="007104B7">
            <w:pPr>
              <w:rPr>
                <w:rFonts w:ascii="Arial" w:hAnsi="Arial" w:cs="Arial"/>
                <w:sz w:val="18"/>
                <w:szCs w:val="18"/>
              </w:rPr>
            </w:pPr>
            <w:r w:rsidRPr="00EF4641">
              <w:rPr>
                <w:rFonts w:ascii="Arial" w:hAnsi="Arial" w:cs="Arial"/>
                <w:sz w:val="18"/>
                <w:szCs w:val="18"/>
              </w:rPr>
              <w:t>Operating Expenditures</w:t>
            </w:r>
          </w:p>
        </w:tc>
        <w:tc>
          <w:tcPr>
            <w:tcW w:w="1440" w:type="dxa"/>
            <w:tcBorders>
              <w:top w:val="nil"/>
              <w:left w:val="single" w:sz="4" w:space="0" w:color="auto"/>
              <w:bottom w:val="nil"/>
              <w:right w:val="single" w:sz="4" w:space="0" w:color="auto"/>
            </w:tcBorders>
          </w:tcPr>
          <w:p w14:paraId="0B24B768" w14:textId="594F1869" w:rsidR="007104B7" w:rsidRPr="00EF4641" w:rsidRDefault="007104B7" w:rsidP="007104B7">
            <w:pPr>
              <w:rPr>
                <w:rFonts w:ascii="Arial" w:hAnsi="Arial" w:cs="Arial"/>
                <w:color w:val="000000"/>
                <w:sz w:val="18"/>
                <w:szCs w:val="18"/>
              </w:rPr>
            </w:pPr>
            <w:r w:rsidRPr="00EF4641">
              <w:rPr>
                <w:rFonts w:ascii="Arial" w:hAnsi="Arial" w:cs="Arial"/>
                <w:color w:val="000000"/>
                <w:sz w:val="18"/>
                <w:szCs w:val="18"/>
              </w:rPr>
              <w:t>$ 321,600</w:t>
            </w:r>
          </w:p>
        </w:tc>
        <w:tc>
          <w:tcPr>
            <w:tcW w:w="1350" w:type="dxa"/>
            <w:tcBorders>
              <w:top w:val="nil"/>
              <w:left w:val="single" w:sz="4" w:space="0" w:color="auto"/>
              <w:bottom w:val="nil"/>
              <w:right w:val="single" w:sz="4" w:space="0" w:color="auto"/>
            </w:tcBorders>
          </w:tcPr>
          <w:p w14:paraId="1A9CD352" w14:textId="20D1D3B6" w:rsidR="007104B7" w:rsidRPr="00EF4641" w:rsidRDefault="007104B7" w:rsidP="007104B7">
            <w:pPr>
              <w:rPr>
                <w:rFonts w:ascii="Arial" w:hAnsi="Arial" w:cs="Arial"/>
                <w:color w:val="000000"/>
                <w:sz w:val="18"/>
                <w:szCs w:val="18"/>
              </w:rPr>
            </w:pPr>
            <w:r w:rsidRPr="00EF4641">
              <w:rPr>
                <w:rFonts w:ascii="Arial" w:hAnsi="Arial" w:cs="Arial"/>
                <w:color w:val="000000"/>
                <w:sz w:val="18"/>
                <w:szCs w:val="18"/>
              </w:rPr>
              <w:t>$ 321,600</w:t>
            </w:r>
          </w:p>
        </w:tc>
        <w:tc>
          <w:tcPr>
            <w:tcW w:w="1350" w:type="dxa"/>
            <w:tcBorders>
              <w:left w:val="single" w:sz="4" w:space="0" w:color="auto"/>
              <w:right w:val="single" w:sz="4" w:space="0" w:color="auto"/>
            </w:tcBorders>
          </w:tcPr>
          <w:p w14:paraId="0D63AFA8" w14:textId="01F3DB18" w:rsidR="007104B7" w:rsidRPr="00EF4641" w:rsidRDefault="007104B7" w:rsidP="007104B7">
            <w:pPr>
              <w:rPr>
                <w:rFonts w:ascii="Arial" w:hAnsi="Arial" w:cs="Arial"/>
                <w:color w:val="000000"/>
                <w:sz w:val="18"/>
                <w:szCs w:val="18"/>
              </w:rPr>
            </w:pPr>
            <w:r w:rsidRPr="00EF4641">
              <w:rPr>
                <w:rFonts w:ascii="Arial" w:hAnsi="Arial" w:cs="Arial"/>
                <w:color w:val="000000"/>
                <w:sz w:val="18"/>
                <w:szCs w:val="18"/>
              </w:rPr>
              <w:t>$ 321,600</w:t>
            </w:r>
          </w:p>
        </w:tc>
        <w:tc>
          <w:tcPr>
            <w:tcW w:w="1440" w:type="dxa"/>
            <w:tcBorders>
              <w:left w:val="single" w:sz="4" w:space="0" w:color="auto"/>
            </w:tcBorders>
          </w:tcPr>
          <w:p w14:paraId="445682B8" w14:textId="505CCB20" w:rsidR="007104B7" w:rsidRPr="00EF4641" w:rsidRDefault="007104B7" w:rsidP="007104B7">
            <w:pPr>
              <w:ind w:left="72"/>
              <w:rPr>
                <w:rFonts w:ascii="Arial" w:hAnsi="Arial" w:cs="Arial"/>
                <w:color w:val="000000"/>
                <w:sz w:val="18"/>
                <w:szCs w:val="18"/>
              </w:rPr>
            </w:pPr>
            <w:r w:rsidRPr="00EF4641">
              <w:rPr>
                <w:rFonts w:ascii="Arial" w:hAnsi="Arial" w:cs="Arial"/>
                <w:color w:val="000000"/>
                <w:sz w:val="18"/>
                <w:szCs w:val="18"/>
              </w:rPr>
              <w:t>$321,600</w:t>
            </w:r>
          </w:p>
        </w:tc>
        <w:tc>
          <w:tcPr>
            <w:tcW w:w="1300" w:type="dxa"/>
            <w:tcBorders>
              <w:left w:val="single" w:sz="4" w:space="0" w:color="auto"/>
            </w:tcBorders>
          </w:tcPr>
          <w:p w14:paraId="45E199A5" w14:textId="18349D66" w:rsidR="007104B7" w:rsidRPr="00EF4641" w:rsidRDefault="007104B7" w:rsidP="007104B7">
            <w:pPr>
              <w:ind w:left="72"/>
              <w:rPr>
                <w:rFonts w:ascii="Arial" w:hAnsi="Arial" w:cs="Arial"/>
                <w:color w:val="000000"/>
                <w:sz w:val="18"/>
                <w:szCs w:val="18"/>
              </w:rPr>
            </w:pPr>
          </w:p>
        </w:tc>
      </w:tr>
      <w:tr w:rsidR="007104B7" w:rsidRPr="005B40D3" w14:paraId="22B15292" w14:textId="77777777" w:rsidTr="00EF4641">
        <w:tc>
          <w:tcPr>
            <w:tcW w:w="3240" w:type="dxa"/>
            <w:tcBorders>
              <w:right w:val="single" w:sz="4" w:space="0" w:color="auto"/>
            </w:tcBorders>
            <w:vAlign w:val="bottom"/>
          </w:tcPr>
          <w:p w14:paraId="1FC4A64E" w14:textId="77777777" w:rsidR="007104B7" w:rsidRPr="00EF4641" w:rsidRDefault="007104B7" w:rsidP="007104B7">
            <w:pPr>
              <w:rPr>
                <w:rFonts w:ascii="Arial" w:hAnsi="Arial" w:cs="Arial"/>
                <w:sz w:val="18"/>
                <w:szCs w:val="18"/>
              </w:rPr>
            </w:pPr>
            <w:r w:rsidRPr="00EF4641">
              <w:rPr>
                <w:rFonts w:ascii="Arial" w:hAnsi="Arial" w:cs="Arial"/>
                <w:sz w:val="18"/>
                <w:szCs w:val="18"/>
              </w:rPr>
              <w:t>Capital Outlay</w:t>
            </w:r>
          </w:p>
        </w:tc>
        <w:tc>
          <w:tcPr>
            <w:tcW w:w="1440" w:type="dxa"/>
            <w:tcBorders>
              <w:top w:val="nil"/>
              <w:left w:val="single" w:sz="4" w:space="0" w:color="auto"/>
              <w:bottom w:val="nil"/>
              <w:right w:val="single" w:sz="4" w:space="0" w:color="auto"/>
            </w:tcBorders>
          </w:tcPr>
          <w:p w14:paraId="562CB1D0" w14:textId="1D8F1A9B" w:rsidR="007104B7" w:rsidRPr="00EF4641" w:rsidRDefault="007104B7" w:rsidP="007104B7">
            <w:pPr>
              <w:rPr>
                <w:rFonts w:ascii="Arial" w:hAnsi="Arial" w:cs="Arial"/>
                <w:color w:val="000000"/>
                <w:sz w:val="18"/>
                <w:szCs w:val="18"/>
                <w:u w:val="single"/>
              </w:rPr>
            </w:pPr>
            <w:r w:rsidRPr="00EF4641">
              <w:rPr>
                <w:rFonts w:ascii="Arial" w:hAnsi="Arial" w:cs="Arial"/>
                <w:noProof/>
                <w:color w:val="000000"/>
                <w:sz w:val="18"/>
                <w:szCs w:val="18"/>
              </w:rPr>
              <mc:AlternateContent>
                <mc:Choice Requires="wps">
                  <w:drawing>
                    <wp:anchor distT="0" distB="0" distL="114300" distR="114300" simplePos="0" relativeHeight="251663360" behindDoc="0" locked="0" layoutInCell="1" allowOverlap="1" wp14:anchorId="15FC804E" wp14:editId="12D2FB91">
                      <wp:simplePos x="0" y="0"/>
                      <wp:positionH relativeFrom="column">
                        <wp:posOffset>-55880</wp:posOffset>
                      </wp:positionH>
                      <wp:positionV relativeFrom="paragraph">
                        <wp:posOffset>133350</wp:posOffset>
                      </wp:positionV>
                      <wp:extent cx="771525" cy="0"/>
                      <wp:effectExtent l="0" t="0" r="28575" b="19050"/>
                      <wp:wrapNone/>
                      <wp:docPr id="2007243282" name="Straight Connector 2007243282"/>
                      <wp:cNvGraphicFramePr/>
                      <a:graphic xmlns:a="http://schemas.openxmlformats.org/drawingml/2006/main">
                        <a:graphicData uri="http://schemas.microsoft.com/office/word/2010/wordprocessingShape">
                          <wps:wsp>
                            <wps:cNvCnPr/>
                            <wps:spPr>
                              <a:xfrm>
                                <a:off x="0" y="0"/>
                                <a:ext cx="771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0F215B" id="Straight Connector 200724328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4pt,10.5pt" to="56.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" strokecolor="black [3040]"/>
                  </w:pict>
                </mc:Fallback>
              </mc:AlternateContent>
            </w:r>
            <w:r w:rsidRPr="00EF4641">
              <w:rPr>
                <w:rFonts w:ascii="Arial" w:hAnsi="Arial" w:cs="Arial"/>
                <w:color w:val="000000"/>
                <w:sz w:val="18"/>
                <w:szCs w:val="18"/>
              </w:rPr>
              <w:t>-------------</w:t>
            </w:r>
          </w:p>
        </w:tc>
        <w:tc>
          <w:tcPr>
            <w:tcW w:w="1350" w:type="dxa"/>
            <w:tcBorders>
              <w:top w:val="nil"/>
              <w:left w:val="single" w:sz="4" w:space="0" w:color="auto"/>
              <w:bottom w:val="nil"/>
              <w:right w:val="single" w:sz="4" w:space="0" w:color="auto"/>
            </w:tcBorders>
          </w:tcPr>
          <w:p w14:paraId="0BAE4A3D" w14:textId="64FB1A86" w:rsidR="007104B7" w:rsidRPr="00EF4641" w:rsidRDefault="007104B7" w:rsidP="007104B7">
            <w:pPr>
              <w:rPr>
                <w:rFonts w:ascii="Arial" w:hAnsi="Arial" w:cs="Arial"/>
                <w:color w:val="000000"/>
                <w:sz w:val="18"/>
                <w:szCs w:val="18"/>
                <w:u w:val="single"/>
              </w:rPr>
            </w:pPr>
            <w:r w:rsidRPr="00EF4641">
              <w:rPr>
                <w:rFonts w:ascii="Arial" w:hAnsi="Arial" w:cs="Arial"/>
                <w:noProof/>
                <w:color w:val="000000"/>
                <w:sz w:val="18"/>
                <w:szCs w:val="18"/>
              </w:rPr>
              <mc:AlternateContent>
                <mc:Choice Requires="wps">
                  <w:drawing>
                    <wp:anchor distT="0" distB="0" distL="114300" distR="114300" simplePos="0" relativeHeight="251664384" behindDoc="0" locked="0" layoutInCell="1" allowOverlap="1" wp14:anchorId="10357EF1" wp14:editId="6F53AB7B">
                      <wp:simplePos x="0" y="0"/>
                      <wp:positionH relativeFrom="column">
                        <wp:posOffset>-55880</wp:posOffset>
                      </wp:positionH>
                      <wp:positionV relativeFrom="paragraph">
                        <wp:posOffset>133350</wp:posOffset>
                      </wp:positionV>
                      <wp:extent cx="771525" cy="0"/>
                      <wp:effectExtent l="0" t="0" r="28575" b="19050"/>
                      <wp:wrapNone/>
                      <wp:docPr id="1051318934" name="Straight Connector 1051318934"/>
                      <wp:cNvGraphicFramePr/>
                      <a:graphic xmlns:a="http://schemas.openxmlformats.org/drawingml/2006/main">
                        <a:graphicData uri="http://schemas.microsoft.com/office/word/2010/wordprocessingShape">
                          <wps:wsp>
                            <wps:cNvCnPr/>
                            <wps:spPr>
                              <a:xfrm>
                                <a:off x="0" y="0"/>
                                <a:ext cx="771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762E57" id="Straight Connector 105131893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4pt,10.5pt" to="56.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" strokecolor="black [3040]"/>
                  </w:pict>
                </mc:Fallback>
              </mc:AlternateContent>
            </w:r>
            <w:r w:rsidRPr="00EF4641">
              <w:rPr>
                <w:rFonts w:ascii="Arial" w:hAnsi="Arial" w:cs="Arial"/>
                <w:color w:val="000000"/>
                <w:sz w:val="18"/>
                <w:szCs w:val="18"/>
              </w:rPr>
              <w:t>-------------</w:t>
            </w:r>
          </w:p>
        </w:tc>
        <w:tc>
          <w:tcPr>
            <w:tcW w:w="1350" w:type="dxa"/>
            <w:tcBorders>
              <w:left w:val="single" w:sz="4" w:space="0" w:color="auto"/>
              <w:right w:val="single" w:sz="4" w:space="0" w:color="auto"/>
            </w:tcBorders>
          </w:tcPr>
          <w:p w14:paraId="3862B930" w14:textId="5F463898" w:rsidR="007104B7" w:rsidRPr="00EF4641" w:rsidRDefault="007104B7" w:rsidP="007104B7">
            <w:pPr>
              <w:rPr>
                <w:rFonts w:ascii="Arial" w:hAnsi="Arial" w:cs="Arial"/>
                <w:color w:val="000000"/>
                <w:sz w:val="18"/>
                <w:szCs w:val="18"/>
              </w:rPr>
            </w:pPr>
            <w:r w:rsidRPr="00EF4641">
              <w:rPr>
                <w:rFonts w:ascii="Arial" w:hAnsi="Arial" w:cs="Arial"/>
                <w:noProof/>
                <w:color w:val="000000"/>
                <w:sz w:val="18"/>
                <w:szCs w:val="18"/>
              </w:rPr>
              <mc:AlternateContent>
                <mc:Choice Requires="wps">
                  <w:drawing>
                    <wp:anchor distT="0" distB="0" distL="114300" distR="114300" simplePos="0" relativeHeight="251665408" behindDoc="0" locked="0" layoutInCell="1" allowOverlap="1" wp14:anchorId="23F60E0A" wp14:editId="318561E9">
                      <wp:simplePos x="0" y="0"/>
                      <wp:positionH relativeFrom="column">
                        <wp:posOffset>-55880</wp:posOffset>
                      </wp:positionH>
                      <wp:positionV relativeFrom="paragraph">
                        <wp:posOffset>133350</wp:posOffset>
                      </wp:positionV>
                      <wp:extent cx="771525" cy="0"/>
                      <wp:effectExtent l="0" t="0" r="28575" b="19050"/>
                      <wp:wrapNone/>
                      <wp:docPr id="444742278" name="Straight Connector 444742278"/>
                      <wp:cNvGraphicFramePr/>
                      <a:graphic xmlns:a="http://schemas.openxmlformats.org/drawingml/2006/main">
                        <a:graphicData uri="http://schemas.microsoft.com/office/word/2010/wordprocessingShape">
                          <wps:wsp>
                            <wps:cNvCnPr/>
                            <wps:spPr>
                              <a:xfrm>
                                <a:off x="0" y="0"/>
                                <a:ext cx="771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7DD2C1" id="Straight Connector 44474227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4pt,10.5pt" to="56.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" strokecolor="black [3040]"/>
                  </w:pict>
                </mc:Fallback>
              </mc:AlternateContent>
            </w:r>
            <w:r w:rsidRPr="00EF4641">
              <w:rPr>
                <w:rFonts w:ascii="Arial" w:hAnsi="Arial" w:cs="Arial"/>
                <w:color w:val="000000"/>
                <w:sz w:val="18"/>
                <w:szCs w:val="18"/>
              </w:rPr>
              <w:t>-------------</w:t>
            </w:r>
          </w:p>
        </w:tc>
        <w:tc>
          <w:tcPr>
            <w:tcW w:w="1440" w:type="dxa"/>
            <w:tcBorders>
              <w:left w:val="single" w:sz="4" w:space="0" w:color="auto"/>
            </w:tcBorders>
          </w:tcPr>
          <w:p w14:paraId="3E6734AA" w14:textId="4B6389AB" w:rsidR="007104B7" w:rsidRPr="00EF4641" w:rsidRDefault="007104B7" w:rsidP="007104B7">
            <w:pPr>
              <w:ind w:left="177"/>
              <w:rPr>
                <w:rFonts w:ascii="Arial" w:hAnsi="Arial" w:cs="Arial"/>
                <w:color w:val="000000"/>
                <w:sz w:val="18"/>
                <w:szCs w:val="18"/>
              </w:rPr>
            </w:pPr>
            <w:r w:rsidRPr="00EF4641">
              <w:rPr>
                <w:rFonts w:ascii="Arial" w:hAnsi="Arial" w:cs="Arial"/>
                <w:color w:val="000000"/>
                <w:sz w:val="18"/>
                <w:szCs w:val="18"/>
              </w:rPr>
              <w:t>-----------</w:t>
            </w:r>
          </w:p>
        </w:tc>
        <w:tc>
          <w:tcPr>
            <w:tcW w:w="1300" w:type="dxa"/>
            <w:tcBorders>
              <w:left w:val="single" w:sz="4" w:space="0" w:color="auto"/>
            </w:tcBorders>
          </w:tcPr>
          <w:p w14:paraId="185C2983" w14:textId="358714F7" w:rsidR="007104B7" w:rsidRPr="00EF4641" w:rsidRDefault="007104B7" w:rsidP="007104B7">
            <w:pPr>
              <w:ind w:left="177"/>
              <w:rPr>
                <w:rFonts w:ascii="Arial" w:hAnsi="Arial" w:cs="Arial"/>
                <w:color w:val="000000"/>
                <w:sz w:val="18"/>
                <w:szCs w:val="18"/>
              </w:rPr>
            </w:pPr>
          </w:p>
        </w:tc>
      </w:tr>
      <w:tr w:rsidR="007104B7" w:rsidRPr="005B40D3" w14:paraId="093761DD" w14:textId="77777777" w:rsidTr="00EF4641">
        <w:tc>
          <w:tcPr>
            <w:tcW w:w="3240" w:type="dxa"/>
            <w:tcBorders>
              <w:right w:val="single" w:sz="4" w:space="0" w:color="auto"/>
            </w:tcBorders>
          </w:tcPr>
          <w:p w14:paraId="07B96590" w14:textId="77777777" w:rsidR="007104B7" w:rsidRPr="00EF4641" w:rsidRDefault="007104B7" w:rsidP="007104B7">
            <w:pPr>
              <w:ind w:left="240"/>
              <w:jc w:val="right"/>
              <w:rPr>
                <w:rFonts w:ascii="Arial" w:hAnsi="Arial" w:cs="Arial"/>
                <w:b/>
                <w:sz w:val="18"/>
                <w:szCs w:val="18"/>
              </w:rPr>
            </w:pPr>
            <w:r w:rsidRPr="00EF4641">
              <w:rPr>
                <w:rFonts w:ascii="Arial" w:hAnsi="Arial" w:cs="Arial"/>
                <w:b/>
                <w:sz w:val="18"/>
                <w:szCs w:val="18"/>
              </w:rPr>
              <w:t>Total</w:t>
            </w:r>
          </w:p>
        </w:tc>
        <w:tc>
          <w:tcPr>
            <w:tcW w:w="1440" w:type="dxa"/>
            <w:tcBorders>
              <w:top w:val="nil"/>
              <w:left w:val="single" w:sz="4" w:space="0" w:color="auto"/>
              <w:bottom w:val="single" w:sz="4" w:space="0" w:color="auto"/>
              <w:right w:val="single" w:sz="4" w:space="0" w:color="auto"/>
            </w:tcBorders>
          </w:tcPr>
          <w:p w14:paraId="6E79F377" w14:textId="1205B9B3" w:rsidR="007104B7" w:rsidRPr="00EF4641" w:rsidRDefault="007104B7" w:rsidP="007104B7">
            <w:pPr>
              <w:rPr>
                <w:rFonts w:ascii="Arial" w:hAnsi="Arial" w:cs="Arial"/>
                <w:b/>
                <w:color w:val="000000"/>
                <w:sz w:val="18"/>
                <w:szCs w:val="18"/>
              </w:rPr>
            </w:pPr>
            <w:r w:rsidRPr="00EF4641">
              <w:rPr>
                <w:rFonts w:ascii="Arial" w:hAnsi="Arial" w:cs="Arial"/>
                <w:b/>
                <w:color w:val="000000"/>
                <w:sz w:val="18"/>
                <w:szCs w:val="18"/>
              </w:rPr>
              <w:t xml:space="preserve"> $ 2,115,000</w:t>
            </w:r>
          </w:p>
        </w:tc>
        <w:tc>
          <w:tcPr>
            <w:tcW w:w="1350" w:type="dxa"/>
            <w:tcBorders>
              <w:top w:val="nil"/>
              <w:left w:val="single" w:sz="4" w:space="0" w:color="auto"/>
              <w:bottom w:val="single" w:sz="4" w:space="0" w:color="auto"/>
              <w:right w:val="single" w:sz="4" w:space="0" w:color="auto"/>
            </w:tcBorders>
          </w:tcPr>
          <w:p w14:paraId="577E183C" w14:textId="3C9E5F1B" w:rsidR="007104B7" w:rsidRPr="00EF4641" w:rsidRDefault="007104B7" w:rsidP="007104B7">
            <w:pPr>
              <w:rPr>
                <w:rFonts w:ascii="Arial" w:hAnsi="Arial" w:cs="Arial"/>
                <w:b/>
                <w:color w:val="000000"/>
                <w:sz w:val="18"/>
                <w:szCs w:val="18"/>
              </w:rPr>
            </w:pPr>
            <w:r w:rsidRPr="00EF4641">
              <w:rPr>
                <w:rFonts w:ascii="Arial" w:hAnsi="Arial" w:cs="Arial"/>
                <w:b/>
                <w:color w:val="000000"/>
                <w:sz w:val="18"/>
                <w:szCs w:val="18"/>
              </w:rPr>
              <w:t>$ 2,273,700</w:t>
            </w:r>
          </w:p>
        </w:tc>
        <w:tc>
          <w:tcPr>
            <w:tcW w:w="1350" w:type="dxa"/>
            <w:tcBorders>
              <w:left w:val="single" w:sz="4" w:space="0" w:color="auto"/>
              <w:right w:val="single" w:sz="4" w:space="0" w:color="auto"/>
            </w:tcBorders>
          </w:tcPr>
          <w:p w14:paraId="1B74A751" w14:textId="57668994" w:rsidR="007104B7" w:rsidRPr="00EF4641" w:rsidRDefault="007104B7" w:rsidP="007104B7">
            <w:pPr>
              <w:rPr>
                <w:rFonts w:ascii="Arial" w:hAnsi="Arial" w:cs="Arial"/>
                <w:color w:val="000000"/>
                <w:sz w:val="18"/>
                <w:szCs w:val="18"/>
              </w:rPr>
            </w:pPr>
            <w:r w:rsidRPr="00EF4641">
              <w:rPr>
                <w:rFonts w:ascii="Arial" w:hAnsi="Arial" w:cs="Arial"/>
                <w:b/>
                <w:color w:val="000000"/>
                <w:sz w:val="18"/>
                <w:szCs w:val="18"/>
              </w:rPr>
              <w:t>$ 2,639,100</w:t>
            </w:r>
          </w:p>
        </w:tc>
        <w:tc>
          <w:tcPr>
            <w:tcW w:w="1440" w:type="dxa"/>
            <w:tcBorders>
              <w:left w:val="single" w:sz="4" w:space="0" w:color="auto"/>
            </w:tcBorders>
          </w:tcPr>
          <w:p w14:paraId="65438905" w14:textId="34CD39A0" w:rsidR="007104B7" w:rsidRPr="00EF4641" w:rsidRDefault="007104B7" w:rsidP="007104B7">
            <w:pPr>
              <w:ind w:left="72"/>
              <w:rPr>
                <w:rFonts w:ascii="Arial" w:hAnsi="Arial" w:cs="Arial"/>
                <w:color w:val="000000"/>
                <w:sz w:val="18"/>
                <w:szCs w:val="18"/>
              </w:rPr>
            </w:pPr>
            <w:r w:rsidRPr="00EF4641">
              <w:rPr>
                <w:rFonts w:ascii="Arial" w:hAnsi="Arial" w:cs="Arial"/>
                <w:b/>
                <w:color w:val="000000"/>
                <w:sz w:val="18"/>
                <w:szCs w:val="18"/>
              </w:rPr>
              <w:t>$2,888,600</w:t>
            </w:r>
          </w:p>
        </w:tc>
        <w:tc>
          <w:tcPr>
            <w:tcW w:w="1300" w:type="dxa"/>
            <w:tcBorders>
              <w:left w:val="single" w:sz="4" w:space="0" w:color="auto"/>
            </w:tcBorders>
          </w:tcPr>
          <w:p w14:paraId="6AEC604D" w14:textId="1A3C2971" w:rsidR="007104B7" w:rsidRPr="00EF4641" w:rsidRDefault="007104B7" w:rsidP="007104B7">
            <w:pPr>
              <w:ind w:left="72"/>
              <w:rPr>
                <w:rFonts w:ascii="Arial" w:hAnsi="Arial" w:cs="Arial"/>
                <w:b/>
                <w:color w:val="000000"/>
                <w:sz w:val="18"/>
                <w:szCs w:val="18"/>
              </w:rPr>
            </w:pPr>
          </w:p>
        </w:tc>
      </w:tr>
    </w:tbl>
    <w:p w14:paraId="1D0A59FA" w14:textId="77777777" w:rsidR="001D50CB" w:rsidRDefault="001D50CB" w:rsidP="005D2CAB">
      <w:pPr>
        <w:rPr>
          <w:rFonts w:ascii="Arial" w:hAnsi="Arial" w:cs="Arial"/>
          <w:b/>
          <w:bCs/>
        </w:rPr>
      </w:pPr>
    </w:p>
    <w:p w14:paraId="77D20677" w14:textId="3756E980" w:rsidR="001D50CB" w:rsidRPr="006F214F" w:rsidRDefault="001D50CB" w:rsidP="001D50CB">
      <w:pPr>
        <w:jc w:val="both"/>
        <w:rPr>
          <w:rFonts w:ascii="Arial" w:hAnsi="Arial"/>
          <w:b/>
        </w:rPr>
      </w:pPr>
      <w:r w:rsidRPr="001D50CB">
        <w:rPr>
          <w:rFonts w:ascii="Arial" w:hAnsi="Arial"/>
          <w:b/>
        </w:rPr>
        <w:t xml:space="preserve">Idaho </w:t>
      </w:r>
      <w:proofErr w:type="spellStart"/>
      <w:r w:rsidRPr="001D50CB">
        <w:rPr>
          <w:rFonts w:ascii="Arial" w:hAnsi="Arial"/>
          <w:b/>
        </w:rPr>
        <w:t>Mueseum</w:t>
      </w:r>
      <w:proofErr w:type="spellEnd"/>
      <w:r w:rsidRPr="001D50CB">
        <w:rPr>
          <w:rFonts w:ascii="Arial" w:hAnsi="Arial"/>
          <w:b/>
        </w:rPr>
        <w:t xml:space="preserve"> of Natural History (IMNH) </w:t>
      </w:r>
      <w:r w:rsidRPr="006F214F">
        <w:rPr>
          <w:rFonts w:ascii="Arial" w:hAnsi="Arial"/>
          <w:b/>
        </w:rPr>
        <w:t>Revenue and Expenditures</w:t>
      </w:r>
    </w:p>
    <w:tbl>
      <w:tblPr>
        <w:tblW w:w="10075" w:type="dxa"/>
        <w:tblBorders>
          <w:top w:val="double" w:sz="4" w:space="0" w:color="000080"/>
          <w:left w:val="double" w:sz="4" w:space="0" w:color="000080"/>
          <w:bottom w:val="double" w:sz="4" w:space="0" w:color="000080"/>
          <w:right w:val="double" w:sz="4" w:space="0" w:color="000080"/>
          <w:insideH w:val="single" w:sz="6" w:space="0" w:color="000080"/>
          <w:insideV w:val="single" w:sz="6" w:space="0" w:color="000080"/>
        </w:tblBorders>
        <w:tblLook w:val="0000" w:firstRow="0" w:lastRow="0" w:firstColumn="0" w:lastColumn="0" w:noHBand="0" w:noVBand="0"/>
      </w:tblPr>
      <w:tblGrid>
        <w:gridCol w:w="2963"/>
        <w:gridCol w:w="1464"/>
        <w:gridCol w:w="248"/>
        <w:gridCol w:w="1350"/>
        <w:gridCol w:w="270"/>
        <w:gridCol w:w="1080"/>
        <w:gridCol w:w="1440"/>
        <w:gridCol w:w="1260"/>
      </w:tblGrid>
      <w:tr w:rsidR="007104B7" w14:paraId="08042199" w14:textId="77777777" w:rsidTr="00163A5D">
        <w:trPr>
          <w:trHeight w:val="212"/>
        </w:trPr>
        <w:tc>
          <w:tcPr>
            <w:tcW w:w="4675" w:type="dxa"/>
            <w:gridSpan w:val="3"/>
            <w:tcBorders>
              <w:top w:val="single" w:sz="4" w:space="0" w:color="auto"/>
              <w:left w:val="single" w:sz="4" w:space="0" w:color="auto"/>
              <w:bottom w:val="single" w:sz="4" w:space="0" w:color="auto"/>
              <w:right w:val="single" w:sz="4" w:space="0" w:color="auto"/>
            </w:tcBorders>
            <w:shd w:val="clear" w:color="auto" w:fill="000080"/>
            <w:vAlign w:val="center"/>
          </w:tcPr>
          <w:p w14:paraId="4F4EF3D9" w14:textId="77777777" w:rsidR="007104B7" w:rsidRPr="00301088" w:rsidRDefault="007104B7" w:rsidP="007104B7">
            <w:pPr>
              <w:rPr>
                <w:rFonts w:ascii="Arial" w:hAnsi="Arial" w:cs="Arial"/>
                <w:b/>
                <w:bCs/>
                <w:color w:val="FFFFFF"/>
                <w:sz w:val="20"/>
              </w:rPr>
            </w:pPr>
            <w:r>
              <w:rPr>
                <w:rFonts w:ascii="Arial" w:hAnsi="Arial" w:cs="Arial"/>
                <w:b/>
                <w:bCs/>
                <w:color w:val="FFFFFF"/>
                <w:sz w:val="20"/>
              </w:rPr>
              <w:t>Revenue</w:t>
            </w:r>
          </w:p>
        </w:tc>
        <w:tc>
          <w:tcPr>
            <w:tcW w:w="1350" w:type="dxa"/>
            <w:tcBorders>
              <w:top w:val="single" w:sz="4" w:space="0" w:color="auto"/>
              <w:left w:val="single" w:sz="4" w:space="0" w:color="auto"/>
              <w:bottom w:val="single" w:sz="4" w:space="0" w:color="auto"/>
              <w:right w:val="single" w:sz="4" w:space="0" w:color="auto"/>
            </w:tcBorders>
            <w:shd w:val="clear" w:color="auto" w:fill="000080"/>
            <w:vAlign w:val="center"/>
          </w:tcPr>
          <w:p w14:paraId="22EDA5F9" w14:textId="6E87287E" w:rsidR="007104B7" w:rsidRPr="00301088" w:rsidRDefault="007104B7" w:rsidP="007104B7">
            <w:pPr>
              <w:jc w:val="center"/>
              <w:rPr>
                <w:rFonts w:ascii="Arial" w:hAnsi="Arial" w:cs="Arial"/>
                <w:b/>
                <w:bCs/>
                <w:color w:val="FFFFFF"/>
                <w:sz w:val="20"/>
              </w:rPr>
            </w:pPr>
            <w:r>
              <w:rPr>
                <w:rFonts w:ascii="Arial" w:hAnsi="Arial" w:cs="Arial"/>
                <w:b/>
                <w:bCs/>
                <w:color w:val="FFFFFF"/>
                <w:sz w:val="20"/>
              </w:rPr>
              <w:t>FY 2022</w:t>
            </w:r>
          </w:p>
        </w:tc>
        <w:tc>
          <w:tcPr>
            <w:tcW w:w="1350" w:type="dxa"/>
            <w:gridSpan w:val="2"/>
            <w:tcBorders>
              <w:top w:val="single" w:sz="4" w:space="0" w:color="auto"/>
              <w:left w:val="single" w:sz="4" w:space="0" w:color="auto"/>
              <w:bottom w:val="single" w:sz="4" w:space="0" w:color="auto"/>
              <w:right w:val="single" w:sz="4" w:space="0" w:color="auto"/>
            </w:tcBorders>
            <w:shd w:val="clear" w:color="auto" w:fill="000080"/>
          </w:tcPr>
          <w:p w14:paraId="120508A4" w14:textId="17246C67" w:rsidR="007104B7" w:rsidRPr="00301088" w:rsidRDefault="007104B7" w:rsidP="007104B7">
            <w:pPr>
              <w:jc w:val="center"/>
              <w:rPr>
                <w:rFonts w:ascii="Arial" w:hAnsi="Arial" w:cs="Arial"/>
                <w:b/>
                <w:bCs/>
                <w:color w:val="FFFFFF"/>
                <w:sz w:val="20"/>
              </w:rPr>
            </w:pPr>
            <w:r>
              <w:rPr>
                <w:rFonts w:ascii="Arial" w:hAnsi="Arial" w:cs="Arial"/>
                <w:b/>
                <w:bCs/>
                <w:color w:val="FFFFFF"/>
                <w:sz w:val="20"/>
              </w:rPr>
              <w:t>FY 2023</w:t>
            </w:r>
          </w:p>
        </w:tc>
        <w:tc>
          <w:tcPr>
            <w:tcW w:w="1440" w:type="dxa"/>
            <w:tcBorders>
              <w:top w:val="single" w:sz="4" w:space="0" w:color="auto"/>
              <w:left w:val="single" w:sz="4" w:space="0" w:color="auto"/>
              <w:bottom w:val="single" w:sz="4" w:space="0" w:color="auto"/>
              <w:right w:val="single" w:sz="4" w:space="0" w:color="auto"/>
            </w:tcBorders>
            <w:shd w:val="clear" w:color="auto" w:fill="000080"/>
          </w:tcPr>
          <w:p w14:paraId="6629447B" w14:textId="4896BD06" w:rsidR="007104B7" w:rsidRDefault="007104B7" w:rsidP="007104B7">
            <w:pPr>
              <w:jc w:val="center"/>
              <w:rPr>
                <w:rFonts w:ascii="Arial" w:hAnsi="Arial" w:cs="Arial"/>
                <w:b/>
                <w:bCs/>
                <w:color w:val="FFFFFF"/>
                <w:sz w:val="20"/>
              </w:rPr>
            </w:pPr>
            <w:r>
              <w:rPr>
                <w:rFonts w:ascii="Arial" w:hAnsi="Arial" w:cs="Arial"/>
                <w:b/>
                <w:bCs/>
                <w:color w:val="FFFFFF"/>
                <w:sz w:val="20"/>
              </w:rPr>
              <w:t>FY 2024</w:t>
            </w:r>
          </w:p>
        </w:tc>
        <w:tc>
          <w:tcPr>
            <w:tcW w:w="1260" w:type="dxa"/>
            <w:tcBorders>
              <w:top w:val="single" w:sz="4" w:space="0" w:color="auto"/>
              <w:left w:val="single" w:sz="4" w:space="0" w:color="auto"/>
              <w:bottom w:val="single" w:sz="4" w:space="0" w:color="auto"/>
              <w:right w:val="single" w:sz="4" w:space="0" w:color="auto"/>
            </w:tcBorders>
            <w:shd w:val="clear" w:color="auto" w:fill="000080"/>
          </w:tcPr>
          <w:p w14:paraId="583518C5" w14:textId="52A93BE1" w:rsidR="007104B7" w:rsidRDefault="007104B7" w:rsidP="007104B7">
            <w:pPr>
              <w:jc w:val="center"/>
              <w:rPr>
                <w:rFonts w:ascii="Arial" w:hAnsi="Arial" w:cs="Arial"/>
                <w:b/>
                <w:bCs/>
                <w:color w:val="FFFFFF"/>
                <w:sz w:val="20"/>
              </w:rPr>
            </w:pPr>
            <w:r>
              <w:rPr>
                <w:rFonts w:ascii="Arial" w:hAnsi="Arial" w:cs="Arial"/>
                <w:b/>
                <w:bCs/>
                <w:color w:val="FFFFFF"/>
                <w:sz w:val="20"/>
              </w:rPr>
              <w:t>FY 2025</w:t>
            </w:r>
          </w:p>
        </w:tc>
      </w:tr>
      <w:tr w:rsidR="007104B7" w:rsidRPr="006F214F" w14:paraId="334BE669" w14:textId="77777777" w:rsidTr="00751C8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80"/>
        </w:trPr>
        <w:tc>
          <w:tcPr>
            <w:tcW w:w="4675" w:type="dxa"/>
            <w:gridSpan w:val="3"/>
            <w:tcBorders>
              <w:top w:val="nil"/>
              <w:right w:val="single" w:sz="4" w:space="0" w:color="auto"/>
            </w:tcBorders>
            <w:vAlign w:val="bottom"/>
          </w:tcPr>
          <w:p w14:paraId="2189B0DE" w14:textId="77777777" w:rsidR="007104B7" w:rsidRPr="00751C85" w:rsidRDefault="007104B7" w:rsidP="007104B7">
            <w:pPr>
              <w:rPr>
                <w:rFonts w:ascii="Arial" w:eastAsia="Arial Unicode MS" w:hAnsi="Arial"/>
                <w:sz w:val="18"/>
                <w:szCs w:val="22"/>
              </w:rPr>
            </w:pPr>
            <w:r w:rsidRPr="00751C85">
              <w:rPr>
                <w:rFonts w:ascii="Arial" w:hAnsi="Arial"/>
                <w:sz w:val="18"/>
                <w:szCs w:val="22"/>
              </w:rPr>
              <w:t>General Fund</w:t>
            </w:r>
          </w:p>
        </w:tc>
        <w:tc>
          <w:tcPr>
            <w:tcW w:w="1350" w:type="dxa"/>
            <w:tcBorders>
              <w:top w:val="single" w:sz="4" w:space="0" w:color="auto"/>
              <w:left w:val="single" w:sz="4" w:space="0" w:color="auto"/>
              <w:bottom w:val="nil"/>
              <w:right w:val="single" w:sz="4" w:space="0" w:color="auto"/>
            </w:tcBorders>
          </w:tcPr>
          <w:p w14:paraId="3A52F6A9" w14:textId="41FD12AE" w:rsidR="007104B7" w:rsidRPr="00751C85" w:rsidRDefault="007104B7" w:rsidP="007104B7">
            <w:pPr>
              <w:jc w:val="right"/>
              <w:rPr>
                <w:rFonts w:ascii="Arial" w:eastAsia="Arial Unicode MS" w:hAnsi="Arial"/>
                <w:sz w:val="18"/>
                <w:szCs w:val="22"/>
              </w:rPr>
            </w:pPr>
            <w:r w:rsidRPr="00751C85">
              <w:rPr>
                <w:rFonts w:ascii="Arial" w:eastAsia="Arial Unicode MS" w:hAnsi="Arial"/>
                <w:sz w:val="18"/>
                <w:szCs w:val="22"/>
              </w:rPr>
              <w:t>$637,200</w:t>
            </w:r>
          </w:p>
        </w:tc>
        <w:tc>
          <w:tcPr>
            <w:tcW w:w="1350" w:type="dxa"/>
            <w:gridSpan w:val="2"/>
            <w:tcBorders>
              <w:top w:val="single" w:sz="4" w:space="0" w:color="auto"/>
              <w:left w:val="single" w:sz="4" w:space="0" w:color="auto"/>
              <w:bottom w:val="nil"/>
              <w:right w:val="single" w:sz="4" w:space="0" w:color="auto"/>
            </w:tcBorders>
          </w:tcPr>
          <w:p w14:paraId="1BCD8C36" w14:textId="55B3E47E" w:rsidR="007104B7" w:rsidRPr="00751C85" w:rsidRDefault="007104B7" w:rsidP="007104B7">
            <w:pPr>
              <w:jc w:val="right"/>
              <w:rPr>
                <w:rFonts w:ascii="Arial" w:eastAsia="Arial Unicode MS" w:hAnsi="Arial"/>
                <w:sz w:val="18"/>
                <w:szCs w:val="22"/>
              </w:rPr>
            </w:pPr>
            <w:r w:rsidRPr="00751C85">
              <w:rPr>
                <w:rFonts w:ascii="Arial" w:eastAsia="Arial Unicode MS" w:hAnsi="Arial"/>
                <w:sz w:val="18"/>
                <w:szCs w:val="22"/>
              </w:rPr>
              <w:t>$667,200</w:t>
            </w:r>
          </w:p>
        </w:tc>
        <w:tc>
          <w:tcPr>
            <w:tcW w:w="1440" w:type="dxa"/>
            <w:tcBorders>
              <w:top w:val="single" w:sz="4" w:space="0" w:color="auto"/>
              <w:left w:val="single" w:sz="4" w:space="0" w:color="auto"/>
              <w:bottom w:val="nil"/>
              <w:right w:val="single" w:sz="4" w:space="0" w:color="auto"/>
            </w:tcBorders>
          </w:tcPr>
          <w:p w14:paraId="3788ACCA" w14:textId="64B3E107" w:rsidR="007104B7" w:rsidRPr="00751C85" w:rsidRDefault="007104B7" w:rsidP="007104B7">
            <w:pPr>
              <w:jc w:val="right"/>
              <w:rPr>
                <w:rFonts w:ascii="Arial" w:eastAsia="Arial Unicode MS" w:hAnsi="Arial"/>
                <w:sz w:val="18"/>
                <w:szCs w:val="22"/>
              </w:rPr>
            </w:pPr>
            <w:r w:rsidRPr="00751C85">
              <w:rPr>
                <w:rFonts w:ascii="Arial" w:eastAsia="Arial Unicode MS" w:hAnsi="Arial"/>
                <w:sz w:val="18"/>
                <w:szCs w:val="22"/>
              </w:rPr>
              <w:t>$722,700</w:t>
            </w:r>
          </w:p>
        </w:tc>
        <w:tc>
          <w:tcPr>
            <w:tcW w:w="1260" w:type="dxa"/>
            <w:tcBorders>
              <w:top w:val="nil"/>
              <w:left w:val="single" w:sz="4" w:space="0" w:color="auto"/>
            </w:tcBorders>
          </w:tcPr>
          <w:p w14:paraId="11598B91" w14:textId="416B1568" w:rsidR="007104B7" w:rsidRPr="00751C85" w:rsidRDefault="007104B7" w:rsidP="007104B7">
            <w:pPr>
              <w:jc w:val="right"/>
              <w:rPr>
                <w:rFonts w:ascii="Arial" w:eastAsia="Arial Unicode MS" w:hAnsi="Arial"/>
                <w:sz w:val="18"/>
                <w:szCs w:val="22"/>
              </w:rPr>
            </w:pPr>
          </w:p>
        </w:tc>
      </w:tr>
      <w:tr w:rsidR="007104B7" w:rsidRPr="006F214F" w14:paraId="21554F97" w14:textId="77777777" w:rsidTr="00751C8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80"/>
        </w:trPr>
        <w:tc>
          <w:tcPr>
            <w:tcW w:w="4675" w:type="dxa"/>
            <w:gridSpan w:val="3"/>
            <w:tcBorders>
              <w:right w:val="single" w:sz="4" w:space="0" w:color="auto"/>
            </w:tcBorders>
            <w:vAlign w:val="bottom"/>
          </w:tcPr>
          <w:p w14:paraId="01D30E7C" w14:textId="77777777" w:rsidR="007104B7" w:rsidRPr="00751C85" w:rsidRDefault="007104B7" w:rsidP="007104B7">
            <w:pPr>
              <w:jc w:val="right"/>
              <w:rPr>
                <w:rFonts w:ascii="Arial" w:eastAsia="Arial Unicode MS" w:hAnsi="Arial"/>
                <w:b/>
                <w:sz w:val="18"/>
                <w:szCs w:val="22"/>
              </w:rPr>
            </w:pPr>
            <w:r w:rsidRPr="00751C85">
              <w:rPr>
                <w:rFonts w:ascii="Arial" w:hAnsi="Arial"/>
                <w:b/>
                <w:sz w:val="18"/>
                <w:szCs w:val="22"/>
              </w:rPr>
              <w:t>Total</w:t>
            </w:r>
          </w:p>
        </w:tc>
        <w:tc>
          <w:tcPr>
            <w:tcW w:w="1350" w:type="dxa"/>
            <w:tcBorders>
              <w:top w:val="nil"/>
              <w:left w:val="single" w:sz="4" w:space="0" w:color="auto"/>
              <w:bottom w:val="nil"/>
              <w:right w:val="single" w:sz="4" w:space="0" w:color="auto"/>
            </w:tcBorders>
          </w:tcPr>
          <w:p w14:paraId="18DF5157" w14:textId="3FBE1494" w:rsidR="007104B7" w:rsidRPr="00751C85" w:rsidRDefault="007104B7" w:rsidP="007104B7">
            <w:pPr>
              <w:jc w:val="right"/>
              <w:rPr>
                <w:rFonts w:ascii="Arial" w:eastAsia="Arial Unicode MS" w:hAnsi="Arial"/>
                <w:b/>
                <w:sz w:val="18"/>
                <w:szCs w:val="22"/>
              </w:rPr>
            </w:pPr>
            <w:r w:rsidRPr="00751C85">
              <w:rPr>
                <w:rFonts w:ascii="Arial" w:eastAsia="Arial Unicode MS" w:hAnsi="Arial"/>
                <w:b/>
                <w:sz w:val="18"/>
                <w:szCs w:val="22"/>
              </w:rPr>
              <w:t>$637,200</w:t>
            </w:r>
          </w:p>
        </w:tc>
        <w:tc>
          <w:tcPr>
            <w:tcW w:w="1350" w:type="dxa"/>
            <w:gridSpan w:val="2"/>
            <w:tcBorders>
              <w:top w:val="nil"/>
              <w:left w:val="single" w:sz="4" w:space="0" w:color="auto"/>
              <w:bottom w:val="nil"/>
              <w:right w:val="single" w:sz="4" w:space="0" w:color="auto"/>
            </w:tcBorders>
          </w:tcPr>
          <w:p w14:paraId="4A40231D" w14:textId="78DD7479" w:rsidR="007104B7" w:rsidRPr="00751C85" w:rsidRDefault="007104B7" w:rsidP="007104B7">
            <w:pPr>
              <w:jc w:val="right"/>
              <w:rPr>
                <w:rFonts w:ascii="Arial" w:eastAsia="Arial Unicode MS" w:hAnsi="Arial"/>
                <w:b/>
                <w:sz w:val="18"/>
                <w:szCs w:val="22"/>
              </w:rPr>
            </w:pPr>
            <w:r w:rsidRPr="00751C85">
              <w:rPr>
                <w:rFonts w:ascii="Arial" w:eastAsia="Arial Unicode MS" w:hAnsi="Arial"/>
                <w:sz w:val="18"/>
                <w:szCs w:val="22"/>
              </w:rPr>
              <w:t>$667,200</w:t>
            </w:r>
          </w:p>
        </w:tc>
        <w:tc>
          <w:tcPr>
            <w:tcW w:w="1440" w:type="dxa"/>
            <w:tcBorders>
              <w:top w:val="nil"/>
              <w:left w:val="single" w:sz="4" w:space="0" w:color="auto"/>
              <w:bottom w:val="nil"/>
              <w:right w:val="single" w:sz="4" w:space="0" w:color="auto"/>
            </w:tcBorders>
          </w:tcPr>
          <w:p w14:paraId="198FFC55" w14:textId="06A750FD" w:rsidR="007104B7" w:rsidRPr="00751C85" w:rsidRDefault="007104B7" w:rsidP="007104B7">
            <w:pPr>
              <w:jc w:val="right"/>
              <w:rPr>
                <w:rFonts w:ascii="Arial" w:eastAsia="Arial Unicode MS" w:hAnsi="Arial"/>
                <w:b/>
                <w:sz w:val="18"/>
                <w:szCs w:val="22"/>
              </w:rPr>
            </w:pPr>
            <w:r w:rsidRPr="00751C85">
              <w:rPr>
                <w:rFonts w:ascii="Arial" w:eastAsia="Arial Unicode MS" w:hAnsi="Arial"/>
                <w:sz w:val="18"/>
                <w:szCs w:val="22"/>
              </w:rPr>
              <w:t>$722,700</w:t>
            </w:r>
          </w:p>
        </w:tc>
        <w:tc>
          <w:tcPr>
            <w:tcW w:w="1260" w:type="dxa"/>
            <w:tcBorders>
              <w:left w:val="single" w:sz="4" w:space="0" w:color="auto"/>
            </w:tcBorders>
          </w:tcPr>
          <w:p w14:paraId="43D018D4" w14:textId="44211B7C" w:rsidR="007104B7" w:rsidRPr="00751C85" w:rsidRDefault="007104B7" w:rsidP="007104B7">
            <w:pPr>
              <w:jc w:val="right"/>
              <w:rPr>
                <w:rFonts w:ascii="Arial" w:eastAsia="Arial Unicode MS" w:hAnsi="Arial"/>
                <w:b/>
                <w:sz w:val="18"/>
                <w:szCs w:val="22"/>
              </w:rPr>
            </w:pPr>
          </w:p>
        </w:tc>
      </w:tr>
      <w:tr w:rsidR="007104B7" w14:paraId="44A4A4BA" w14:textId="77777777" w:rsidTr="00751C8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92"/>
        </w:trPr>
        <w:tc>
          <w:tcPr>
            <w:tcW w:w="2963" w:type="dxa"/>
            <w:shd w:val="clear" w:color="auto" w:fill="000080"/>
            <w:vAlign w:val="center"/>
          </w:tcPr>
          <w:p w14:paraId="60DB0DC6" w14:textId="77777777" w:rsidR="007104B7" w:rsidRPr="006F214F" w:rsidRDefault="007104B7" w:rsidP="007104B7">
            <w:pPr>
              <w:jc w:val="both"/>
              <w:rPr>
                <w:rFonts w:ascii="Arial" w:hAnsi="Arial"/>
                <w:b/>
                <w:sz w:val="20"/>
              </w:rPr>
            </w:pPr>
            <w:r w:rsidRPr="006F214F">
              <w:rPr>
                <w:rFonts w:ascii="Arial" w:hAnsi="Arial"/>
                <w:b/>
                <w:sz w:val="20"/>
              </w:rPr>
              <w:t>Expenditure</w:t>
            </w:r>
            <w:r>
              <w:rPr>
                <w:rFonts w:ascii="Arial" w:hAnsi="Arial"/>
                <w:b/>
                <w:sz w:val="20"/>
              </w:rPr>
              <w:t>s</w:t>
            </w:r>
          </w:p>
        </w:tc>
        <w:tc>
          <w:tcPr>
            <w:tcW w:w="1464" w:type="dxa"/>
            <w:tcBorders>
              <w:right w:val="single" w:sz="4" w:space="0" w:color="auto"/>
            </w:tcBorders>
            <w:shd w:val="clear" w:color="auto" w:fill="000080"/>
            <w:vAlign w:val="center"/>
          </w:tcPr>
          <w:p w14:paraId="4EAC4E6E" w14:textId="77777777" w:rsidR="007104B7" w:rsidRPr="006F214F" w:rsidRDefault="007104B7" w:rsidP="007104B7">
            <w:pPr>
              <w:jc w:val="center"/>
              <w:rPr>
                <w:rFonts w:ascii="Arial" w:hAnsi="Arial"/>
                <w:b/>
                <w:sz w:val="20"/>
              </w:rPr>
            </w:pPr>
          </w:p>
        </w:tc>
        <w:tc>
          <w:tcPr>
            <w:tcW w:w="1868" w:type="dxa"/>
            <w:gridSpan w:val="3"/>
            <w:tcBorders>
              <w:top w:val="nil"/>
              <w:left w:val="single" w:sz="4" w:space="0" w:color="auto"/>
              <w:bottom w:val="nil"/>
              <w:right w:val="single" w:sz="4" w:space="0" w:color="auto"/>
            </w:tcBorders>
            <w:shd w:val="clear" w:color="auto" w:fill="000080"/>
            <w:vAlign w:val="center"/>
          </w:tcPr>
          <w:p w14:paraId="4349A236" w14:textId="77777777" w:rsidR="007104B7" w:rsidRPr="006F214F" w:rsidRDefault="007104B7" w:rsidP="007104B7">
            <w:pPr>
              <w:rPr>
                <w:rFonts w:ascii="Arial" w:hAnsi="Arial"/>
                <w:b/>
                <w:sz w:val="20"/>
              </w:rPr>
            </w:pPr>
          </w:p>
        </w:tc>
        <w:tc>
          <w:tcPr>
            <w:tcW w:w="2520" w:type="dxa"/>
            <w:gridSpan w:val="2"/>
            <w:tcBorders>
              <w:top w:val="nil"/>
              <w:left w:val="single" w:sz="4" w:space="0" w:color="auto"/>
              <w:bottom w:val="nil"/>
              <w:right w:val="single" w:sz="4" w:space="0" w:color="auto"/>
            </w:tcBorders>
            <w:shd w:val="clear" w:color="auto" w:fill="000080"/>
            <w:vAlign w:val="center"/>
          </w:tcPr>
          <w:p w14:paraId="7AE0B9B2" w14:textId="77777777" w:rsidR="007104B7" w:rsidRPr="006F214F" w:rsidRDefault="007104B7" w:rsidP="007104B7">
            <w:pPr>
              <w:rPr>
                <w:rFonts w:ascii="Arial" w:hAnsi="Arial"/>
                <w:b/>
                <w:sz w:val="20"/>
              </w:rPr>
            </w:pPr>
          </w:p>
        </w:tc>
        <w:tc>
          <w:tcPr>
            <w:tcW w:w="1260" w:type="dxa"/>
            <w:tcBorders>
              <w:left w:val="single" w:sz="4" w:space="0" w:color="auto"/>
            </w:tcBorders>
            <w:shd w:val="clear" w:color="auto" w:fill="000080"/>
            <w:vAlign w:val="center"/>
          </w:tcPr>
          <w:p w14:paraId="1A40D7D4" w14:textId="77777777" w:rsidR="007104B7" w:rsidRDefault="007104B7" w:rsidP="007104B7">
            <w:pPr>
              <w:jc w:val="center"/>
              <w:rPr>
                <w:rFonts w:ascii="Arial" w:hAnsi="Arial"/>
                <w:b/>
                <w:sz w:val="20"/>
              </w:rPr>
            </w:pPr>
          </w:p>
        </w:tc>
      </w:tr>
      <w:tr w:rsidR="007104B7" w:rsidRPr="006F214F" w14:paraId="3822C347" w14:textId="77777777" w:rsidTr="00751C8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4675" w:type="dxa"/>
            <w:gridSpan w:val="3"/>
            <w:tcBorders>
              <w:right w:val="single" w:sz="4" w:space="0" w:color="auto"/>
            </w:tcBorders>
          </w:tcPr>
          <w:p w14:paraId="7B503CB2" w14:textId="77777777" w:rsidR="007104B7" w:rsidRPr="00751C85" w:rsidRDefault="007104B7" w:rsidP="007104B7">
            <w:pPr>
              <w:jc w:val="both"/>
              <w:rPr>
                <w:rFonts w:ascii="Arial" w:hAnsi="Arial"/>
                <w:sz w:val="18"/>
                <w:szCs w:val="22"/>
              </w:rPr>
            </w:pPr>
            <w:r w:rsidRPr="00751C85">
              <w:rPr>
                <w:rFonts w:ascii="Arial" w:hAnsi="Arial"/>
                <w:sz w:val="18"/>
                <w:szCs w:val="22"/>
              </w:rPr>
              <w:t>Personnel Costs</w:t>
            </w:r>
          </w:p>
        </w:tc>
        <w:tc>
          <w:tcPr>
            <w:tcW w:w="1350" w:type="dxa"/>
            <w:tcBorders>
              <w:top w:val="nil"/>
              <w:left w:val="single" w:sz="4" w:space="0" w:color="auto"/>
              <w:bottom w:val="nil"/>
              <w:right w:val="single" w:sz="4" w:space="0" w:color="auto"/>
            </w:tcBorders>
          </w:tcPr>
          <w:p w14:paraId="503583A8" w14:textId="6E51AB1C" w:rsidR="007104B7" w:rsidRPr="00751C85" w:rsidRDefault="007104B7" w:rsidP="007104B7">
            <w:pPr>
              <w:jc w:val="right"/>
              <w:rPr>
                <w:rFonts w:ascii="Arial" w:eastAsia="Arial Unicode MS" w:hAnsi="Arial"/>
                <w:sz w:val="18"/>
                <w:szCs w:val="22"/>
              </w:rPr>
            </w:pPr>
            <w:r w:rsidRPr="00751C85">
              <w:rPr>
                <w:rFonts w:ascii="Arial" w:eastAsia="Arial Unicode MS" w:hAnsi="Arial"/>
                <w:sz w:val="18"/>
                <w:szCs w:val="22"/>
              </w:rPr>
              <w:t>$633,000</w:t>
            </w:r>
          </w:p>
        </w:tc>
        <w:tc>
          <w:tcPr>
            <w:tcW w:w="1350" w:type="dxa"/>
            <w:gridSpan w:val="2"/>
            <w:tcBorders>
              <w:top w:val="nil"/>
              <w:left w:val="single" w:sz="4" w:space="0" w:color="auto"/>
              <w:bottom w:val="nil"/>
              <w:right w:val="single" w:sz="4" w:space="0" w:color="auto"/>
            </w:tcBorders>
          </w:tcPr>
          <w:p w14:paraId="30089BC6" w14:textId="7A5B961B" w:rsidR="007104B7" w:rsidRPr="00751C85" w:rsidRDefault="007104B7" w:rsidP="007104B7">
            <w:pPr>
              <w:jc w:val="right"/>
              <w:rPr>
                <w:rFonts w:ascii="Arial" w:eastAsia="Arial Unicode MS" w:hAnsi="Arial"/>
                <w:sz w:val="18"/>
                <w:szCs w:val="22"/>
              </w:rPr>
            </w:pPr>
            <w:r w:rsidRPr="00751C85">
              <w:rPr>
                <w:rFonts w:ascii="Arial" w:eastAsia="Arial Unicode MS" w:hAnsi="Arial"/>
                <w:sz w:val="18"/>
                <w:szCs w:val="22"/>
              </w:rPr>
              <w:t>$663,000</w:t>
            </w:r>
          </w:p>
        </w:tc>
        <w:tc>
          <w:tcPr>
            <w:tcW w:w="1440" w:type="dxa"/>
            <w:tcBorders>
              <w:top w:val="nil"/>
              <w:left w:val="single" w:sz="4" w:space="0" w:color="auto"/>
              <w:bottom w:val="nil"/>
              <w:right w:val="single" w:sz="4" w:space="0" w:color="auto"/>
            </w:tcBorders>
          </w:tcPr>
          <w:p w14:paraId="554CC94E" w14:textId="12120263" w:rsidR="007104B7" w:rsidRPr="00751C85" w:rsidRDefault="007104B7" w:rsidP="007104B7">
            <w:pPr>
              <w:jc w:val="right"/>
              <w:rPr>
                <w:rFonts w:ascii="Arial" w:eastAsia="Arial Unicode MS" w:hAnsi="Arial"/>
                <w:sz w:val="18"/>
                <w:szCs w:val="22"/>
              </w:rPr>
            </w:pPr>
            <w:r w:rsidRPr="00751C85">
              <w:rPr>
                <w:rFonts w:ascii="Arial" w:eastAsia="Arial Unicode MS" w:hAnsi="Arial"/>
                <w:sz w:val="18"/>
                <w:szCs w:val="22"/>
              </w:rPr>
              <w:t>$713,600</w:t>
            </w:r>
          </w:p>
        </w:tc>
        <w:tc>
          <w:tcPr>
            <w:tcW w:w="1260" w:type="dxa"/>
            <w:tcBorders>
              <w:left w:val="single" w:sz="4" w:space="0" w:color="auto"/>
            </w:tcBorders>
          </w:tcPr>
          <w:p w14:paraId="7DD38F06" w14:textId="452842AE" w:rsidR="007104B7" w:rsidRPr="00751C85" w:rsidRDefault="007104B7" w:rsidP="007104B7">
            <w:pPr>
              <w:jc w:val="right"/>
              <w:rPr>
                <w:rFonts w:ascii="Arial" w:eastAsia="Arial Unicode MS" w:hAnsi="Arial"/>
                <w:sz w:val="18"/>
                <w:szCs w:val="22"/>
              </w:rPr>
            </w:pPr>
          </w:p>
        </w:tc>
      </w:tr>
      <w:tr w:rsidR="007104B7" w:rsidRPr="006F214F" w14:paraId="2ADA7541" w14:textId="77777777" w:rsidTr="00751C8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4675" w:type="dxa"/>
            <w:gridSpan w:val="3"/>
            <w:tcBorders>
              <w:right w:val="single" w:sz="4" w:space="0" w:color="auto"/>
            </w:tcBorders>
          </w:tcPr>
          <w:p w14:paraId="28AA5C6D" w14:textId="77777777" w:rsidR="007104B7" w:rsidRPr="00751C85" w:rsidRDefault="007104B7" w:rsidP="007104B7">
            <w:pPr>
              <w:jc w:val="both"/>
              <w:rPr>
                <w:rFonts w:ascii="Arial" w:hAnsi="Arial"/>
                <w:sz w:val="18"/>
                <w:szCs w:val="22"/>
              </w:rPr>
            </w:pPr>
            <w:r w:rsidRPr="00751C85">
              <w:rPr>
                <w:rFonts w:ascii="Arial" w:hAnsi="Arial"/>
                <w:sz w:val="18"/>
                <w:szCs w:val="22"/>
              </w:rPr>
              <w:t>Operating Expenditures</w:t>
            </w:r>
          </w:p>
        </w:tc>
        <w:tc>
          <w:tcPr>
            <w:tcW w:w="1350" w:type="dxa"/>
            <w:tcBorders>
              <w:top w:val="nil"/>
              <w:left w:val="single" w:sz="4" w:space="0" w:color="auto"/>
              <w:bottom w:val="nil"/>
              <w:right w:val="single" w:sz="4" w:space="0" w:color="auto"/>
            </w:tcBorders>
          </w:tcPr>
          <w:p w14:paraId="2AA88F13" w14:textId="0779108A" w:rsidR="007104B7" w:rsidRPr="00751C85" w:rsidRDefault="007104B7" w:rsidP="007104B7">
            <w:pPr>
              <w:jc w:val="right"/>
              <w:rPr>
                <w:rFonts w:ascii="Arial" w:eastAsia="Arial Unicode MS" w:hAnsi="Arial"/>
                <w:sz w:val="18"/>
                <w:szCs w:val="22"/>
              </w:rPr>
            </w:pPr>
            <w:r w:rsidRPr="00751C85">
              <w:rPr>
                <w:rFonts w:ascii="Arial" w:eastAsia="Arial Unicode MS" w:hAnsi="Arial"/>
                <w:sz w:val="18"/>
                <w:szCs w:val="22"/>
              </w:rPr>
              <w:t>$4,200</w:t>
            </w:r>
          </w:p>
        </w:tc>
        <w:tc>
          <w:tcPr>
            <w:tcW w:w="1350" w:type="dxa"/>
            <w:gridSpan w:val="2"/>
            <w:tcBorders>
              <w:top w:val="nil"/>
              <w:left w:val="single" w:sz="4" w:space="0" w:color="auto"/>
              <w:bottom w:val="nil"/>
              <w:right w:val="single" w:sz="4" w:space="0" w:color="auto"/>
            </w:tcBorders>
          </w:tcPr>
          <w:p w14:paraId="1F859EB3" w14:textId="1C0EC23F" w:rsidR="007104B7" w:rsidRPr="00751C85" w:rsidRDefault="007104B7" w:rsidP="007104B7">
            <w:pPr>
              <w:jc w:val="right"/>
              <w:rPr>
                <w:rFonts w:ascii="Arial" w:eastAsia="Arial Unicode MS" w:hAnsi="Arial"/>
                <w:sz w:val="18"/>
                <w:szCs w:val="22"/>
              </w:rPr>
            </w:pPr>
            <w:r w:rsidRPr="00751C85">
              <w:rPr>
                <w:rFonts w:ascii="Arial" w:eastAsia="Arial Unicode MS" w:hAnsi="Arial"/>
                <w:sz w:val="18"/>
                <w:szCs w:val="22"/>
              </w:rPr>
              <w:t>$4,200</w:t>
            </w:r>
          </w:p>
        </w:tc>
        <w:tc>
          <w:tcPr>
            <w:tcW w:w="1440" w:type="dxa"/>
            <w:tcBorders>
              <w:top w:val="nil"/>
              <w:left w:val="single" w:sz="4" w:space="0" w:color="auto"/>
              <w:bottom w:val="nil"/>
              <w:right w:val="single" w:sz="4" w:space="0" w:color="auto"/>
            </w:tcBorders>
          </w:tcPr>
          <w:p w14:paraId="642607DA" w14:textId="6B029144" w:rsidR="007104B7" w:rsidRPr="00751C85" w:rsidRDefault="007104B7" w:rsidP="007104B7">
            <w:pPr>
              <w:jc w:val="right"/>
              <w:rPr>
                <w:rFonts w:ascii="Arial" w:eastAsia="Arial Unicode MS" w:hAnsi="Arial"/>
                <w:sz w:val="18"/>
                <w:szCs w:val="22"/>
              </w:rPr>
            </w:pPr>
            <w:r w:rsidRPr="00751C85">
              <w:rPr>
                <w:rFonts w:ascii="Arial" w:eastAsia="Arial Unicode MS" w:hAnsi="Arial"/>
                <w:sz w:val="18"/>
                <w:szCs w:val="22"/>
              </w:rPr>
              <w:t>$4,200</w:t>
            </w:r>
          </w:p>
        </w:tc>
        <w:tc>
          <w:tcPr>
            <w:tcW w:w="1260" w:type="dxa"/>
            <w:tcBorders>
              <w:left w:val="single" w:sz="4" w:space="0" w:color="auto"/>
            </w:tcBorders>
          </w:tcPr>
          <w:p w14:paraId="22081355" w14:textId="3492F6DC" w:rsidR="007104B7" w:rsidRPr="00751C85" w:rsidRDefault="007104B7" w:rsidP="007104B7">
            <w:pPr>
              <w:jc w:val="right"/>
              <w:rPr>
                <w:rFonts w:ascii="Arial" w:eastAsia="Arial Unicode MS" w:hAnsi="Arial"/>
                <w:sz w:val="18"/>
                <w:szCs w:val="22"/>
              </w:rPr>
            </w:pPr>
          </w:p>
        </w:tc>
      </w:tr>
      <w:tr w:rsidR="007104B7" w:rsidRPr="006F214F" w14:paraId="7F773A05" w14:textId="77777777" w:rsidTr="00751C8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4675" w:type="dxa"/>
            <w:gridSpan w:val="3"/>
            <w:tcBorders>
              <w:right w:val="single" w:sz="4" w:space="0" w:color="auto"/>
            </w:tcBorders>
          </w:tcPr>
          <w:p w14:paraId="19D0FC22" w14:textId="77777777" w:rsidR="007104B7" w:rsidRPr="00751C85" w:rsidRDefault="007104B7" w:rsidP="007104B7">
            <w:pPr>
              <w:jc w:val="both"/>
              <w:rPr>
                <w:rFonts w:ascii="Arial" w:hAnsi="Arial"/>
                <w:sz w:val="18"/>
                <w:szCs w:val="22"/>
              </w:rPr>
            </w:pPr>
            <w:r w:rsidRPr="00751C85">
              <w:rPr>
                <w:rFonts w:ascii="Arial" w:hAnsi="Arial"/>
                <w:sz w:val="18"/>
                <w:szCs w:val="22"/>
              </w:rPr>
              <w:t>Capital Outlay</w:t>
            </w:r>
          </w:p>
        </w:tc>
        <w:tc>
          <w:tcPr>
            <w:tcW w:w="1350" w:type="dxa"/>
            <w:tcBorders>
              <w:top w:val="nil"/>
              <w:left w:val="single" w:sz="4" w:space="0" w:color="auto"/>
              <w:bottom w:val="nil"/>
              <w:right w:val="single" w:sz="4" w:space="0" w:color="auto"/>
            </w:tcBorders>
          </w:tcPr>
          <w:p w14:paraId="01655CB4" w14:textId="7CB02051" w:rsidR="007104B7" w:rsidRPr="00751C85" w:rsidRDefault="007104B7" w:rsidP="007104B7">
            <w:pPr>
              <w:jc w:val="right"/>
              <w:rPr>
                <w:rFonts w:ascii="Arial" w:eastAsia="Arial Unicode MS" w:hAnsi="Arial"/>
                <w:sz w:val="18"/>
                <w:szCs w:val="22"/>
                <w:u w:val="single"/>
              </w:rPr>
            </w:pPr>
            <w:r w:rsidRPr="00751C85">
              <w:rPr>
                <w:rFonts w:ascii="Arial" w:eastAsia="Arial Unicode MS" w:hAnsi="Arial"/>
                <w:sz w:val="18"/>
                <w:szCs w:val="22"/>
                <w:u w:val="single"/>
              </w:rPr>
              <w:t>$0</w:t>
            </w:r>
          </w:p>
        </w:tc>
        <w:tc>
          <w:tcPr>
            <w:tcW w:w="1350" w:type="dxa"/>
            <w:gridSpan w:val="2"/>
            <w:tcBorders>
              <w:top w:val="nil"/>
              <w:left w:val="single" w:sz="4" w:space="0" w:color="auto"/>
              <w:bottom w:val="nil"/>
              <w:right w:val="single" w:sz="4" w:space="0" w:color="auto"/>
            </w:tcBorders>
          </w:tcPr>
          <w:p w14:paraId="28A20948" w14:textId="7DC918FE" w:rsidR="007104B7" w:rsidRPr="00751C85" w:rsidRDefault="007104B7" w:rsidP="007104B7">
            <w:pPr>
              <w:jc w:val="right"/>
              <w:rPr>
                <w:rFonts w:ascii="Arial" w:eastAsia="Arial Unicode MS" w:hAnsi="Arial"/>
                <w:sz w:val="18"/>
                <w:szCs w:val="22"/>
                <w:u w:val="single"/>
              </w:rPr>
            </w:pPr>
            <w:r w:rsidRPr="00751C85">
              <w:rPr>
                <w:rFonts w:ascii="Arial" w:eastAsia="Arial Unicode MS" w:hAnsi="Arial"/>
                <w:sz w:val="18"/>
                <w:szCs w:val="22"/>
                <w:u w:val="single"/>
              </w:rPr>
              <w:t>$0</w:t>
            </w:r>
          </w:p>
        </w:tc>
        <w:tc>
          <w:tcPr>
            <w:tcW w:w="1440" w:type="dxa"/>
            <w:tcBorders>
              <w:top w:val="nil"/>
              <w:left w:val="single" w:sz="4" w:space="0" w:color="auto"/>
              <w:bottom w:val="nil"/>
              <w:right w:val="single" w:sz="4" w:space="0" w:color="auto"/>
            </w:tcBorders>
          </w:tcPr>
          <w:p w14:paraId="6B4AE938" w14:textId="3020FF3E" w:rsidR="007104B7" w:rsidRPr="00751C85" w:rsidRDefault="007104B7" w:rsidP="007104B7">
            <w:pPr>
              <w:jc w:val="right"/>
              <w:rPr>
                <w:rFonts w:ascii="Arial" w:eastAsia="Arial Unicode MS" w:hAnsi="Arial"/>
                <w:sz w:val="18"/>
                <w:szCs w:val="22"/>
                <w:u w:val="single"/>
              </w:rPr>
            </w:pPr>
            <w:r w:rsidRPr="00751C85">
              <w:rPr>
                <w:rFonts w:ascii="Arial" w:eastAsia="Arial Unicode MS" w:hAnsi="Arial"/>
                <w:sz w:val="18"/>
                <w:szCs w:val="22"/>
                <w:u w:val="single"/>
              </w:rPr>
              <w:t>$4,900</w:t>
            </w:r>
          </w:p>
        </w:tc>
        <w:tc>
          <w:tcPr>
            <w:tcW w:w="1260" w:type="dxa"/>
            <w:tcBorders>
              <w:left w:val="single" w:sz="4" w:space="0" w:color="auto"/>
            </w:tcBorders>
          </w:tcPr>
          <w:p w14:paraId="33E1FB6C" w14:textId="0515341C" w:rsidR="007104B7" w:rsidRPr="00751C85" w:rsidRDefault="007104B7" w:rsidP="007104B7">
            <w:pPr>
              <w:jc w:val="right"/>
              <w:rPr>
                <w:rFonts w:ascii="Arial" w:eastAsia="Arial Unicode MS" w:hAnsi="Arial"/>
                <w:sz w:val="18"/>
                <w:szCs w:val="22"/>
                <w:u w:val="single"/>
              </w:rPr>
            </w:pPr>
          </w:p>
        </w:tc>
      </w:tr>
      <w:tr w:rsidR="007104B7" w:rsidRPr="006F214F" w14:paraId="4201761E" w14:textId="77777777" w:rsidTr="00751C8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4675" w:type="dxa"/>
            <w:gridSpan w:val="3"/>
            <w:tcBorders>
              <w:right w:val="single" w:sz="4" w:space="0" w:color="auto"/>
            </w:tcBorders>
          </w:tcPr>
          <w:p w14:paraId="1BF9BF37" w14:textId="77777777" w:rsidR="007104B7" w:rsidRPr="00751C85" w:rsidRDefault="007104B7" w:rsidP="007104B7">
            <w:pPr>
              <w:ind w:left="240"/>
              <w:jc w:val="right"/>
              <w:rPr>
                <w:rFonts w:ascii="Arial" w:hAnsi="Arial"/>
                <w:b/>
                <w:sz w:val="18"/>
                <w:szCs w:val="22"/>
              </w:rPr>
            </w:pPr>
            <w:r w:rsidRPr="00751C85">
              <w:rPr>
                <w:rFonts w:ascii="Arial" w:hAnsi="Arial"/>
                <w:b/>
                <w:sz w:val="18"/>
                <w:szCs w:val="22"/>
              </w:rPr>
              <w:t>Total</w:t>
            </w:r>
          </w:p>
        </w:tc>
        <w:tc>
          <w:tcPr>
            <w:tcW w:w="1350" w:type="dxa"/>
            <w:tcBorders>
              <w:top w:val="nil"/>
              <w:left w:val="single" w:sz="4" w:space="0" w:color="auto"/>
              <w:bottom w:val="single" w:sz="4" w:space="0" w:color="auto"/>
              <w:right w:val="single" w:sz="4" w:space="0" w:color="auto"/>
            </w:tcBorders>
          </w:tcPr>
          <w:p w14:paraId="57295BF3" w14:textId="1FE8CC25" w:rsidR="007104B7" w:rsidRPr="00751C85" w:rsidRDefault="007104B7" w:rsidP="007104B7">
            <w:pPr>
              <w:jc w:val="right"/>
              <w:rPr>
                <w:rFonts w:ascii="Arial" w:eastAsia="Arial Unicode MS" w:hAnsi="Arial"/>
                <w:b/>
                <w:sz w:val="18"/>
                <w:szCs w:val="22"/>
              </w:rPr>
            </w:pPr>
            <w:r w:rsidRPr="00751C85">
              <w:rPr>
                <w:rFonts w:ascii="Arial" w:eastAsia="Arial Unicode MS" w:hAnsi="Arial"/>
                <w:b/>
                <w:sz w:val="18"/>
                <w:szCs w:val="22"/>
              </w:rPr>
              <w:t>$637,200</w:t>
            </w:r>
          </w:p>
        </w:tc>
        <w:tc>
          <w:tcPr>
            <w:tcW w:w="1350" w:type="dxa"/>
            <w:gridSpan w:val="2"/>
            <w:tcBorders>
              <w:top w:val="nil"/>
              <w:left w:val="single" w:sz="4" w:space="0" w:color="auto"/>
              <w:bottom w:val="single" w:sz="4" w:space="0" w:color="auto"/>
              <w:right w:val="single" w:sz="4" w:space="0" w:color="auto"/>
            </w:tcBorders>
          </w:tcPr>
          <w:p w14:paraId="68B9513E" w14:textId="482EE69C" w:rsidR="007104B7" w:rsidRPr="00751C85" w:rsidRDefault="007104B7" w:rsidP="007104B7">
            <w:pPr>
              <w:jc w:val="right"/>
              <w:rPr>
                <w:rFonts w:ascii="Arial" w:eastAsia="Arial Unicode MS" w:hAnsi="Arial"/>
                <w:b/>
                <w:sz w:val="18"/>
                <w:szCs w:val="22"/>
              </w:rPr>
            </w:pPr>
            <w:r w:rsidRPr="00751C85">
              <w:rPr>
                <w:rFonts w:ascii="Arial" w:eastAsia="Arial Unicode MS" w:hAnsi="Arial"/>
                <w:b/>
                <w:sz w:val="18"/>
                <w:szCs w:val="22"/>
              </w:rPr>
              <w:t>$667,200</w:t>
            </w:r>
          </w:p>
        </w:tc>
        <w:tc>
          <w:tcPr>
            <w:tcW w:w="1440" w:type="dxa"/>
            <w:tcBorders>
              <w:top w:val="nil"/>
              <w:left w:val="single" w:sz="4" w:space="0" w:color="auto"/>
              <w:bottom w:val="single" w:sz="4" w:space="0" w:color="auto"/>
              <w:right w:val="single" w:sz="4" w:space="0" w:color="auto"/>
            </w:tcBorders>
          </w:tcPr>
          <w:p w14:paraId="286E9ACE" w14:textId="3E9D1A3A" w:rsidR="007104B7" w:rsidRPr="00751C85" w:rsidRDefault="007104B7" w:rsidP="007104B7">
            <w:pPr>
              <w:jc w:val="right"/>
              <w:rPr>
                <w:rFonts w:ascii="Arial" w:eastAsia="Arial Unicode MS" w:hAnsi="Arial"/>
                <w:b/>
                <w:sz w:val="18"/>
                <w:szCs w:val="22"/>
              </w:rPr>
            </w:pPr>
            <w:r w:rsidRPr="00751C85">
              <w:rPr>
                <w:rFonts w:ascii="Arial" w:eastAsia="Arial Unicode MS" w:hAnsi="Arial"/>
                <w:b/>
                <w:sz w:val="18"/>
                <w:szCs w:val="22"/>
              </w:rPr>
              <w:t>$722,700</w:t>
            </w:r>
          </w:p>
        </w:tc>
        <w:tc>
          <w:tcPr>
            <w:tcW w:w="1260" w:type="dxa"/>
            <w:tcBorders>
              <w:left w:val="single" w:sz="4" w:space="0" w:color="auto"/>
            </w:tcBorders>
          </w:tcPr>
          <w:p w14:paraId="36359E2A" w14:textId="197CD603" w:rsidR="007104B7" w:rsidRPr="00751C85" w:rsidRDefault="007104B7" w:rsidP="007104B7">
            <w:pPr>
              <w:jc w:val="right"/>
              <w:rPr>
                <w:rFonts w:ascii="Arial" w:eastAsia="Arial Unicode MS" w:hAnsi="Arial"/>
                <w:b/>
                <w:sz w:val="18"/>
                <w:szCs w:val="22"/>
              </w:rPr>
            </w:pPr>
          </w:p>
        </w:tc>
      </w:tr>
    </w:tbl>
    <w:p w14:paraId="2E3D5D60" w14:textId="77777777" w:rsidR="001D50CB" w:rsidRDefault="001D50CB" w:rsidP="005D2CAB">
      <w:pPr>
        <w:rPr>
          <w:rFonts w:ascii="Arial" w:hAnsi="Arial" w:cs="Arial"/>
          <w:b/>
          <w:bCs/>
        </w:rPr>
      </w:pPr>
    </w:p>
    <w:p w14:paraId="4D2EB1A3" w14:textId="083468FD" w:rsidR="00446B1D" w:rsidRPr="00301088" w:rsidRDefault="00751C85" w:rsidP="005D2CAB">
      <w:pPr>
        <w:rPr>
          <w:rFonts w:ascii="Arial" w:hAnsi="Arial" w:cs="Arial"/>
          <w:sz w:val="20"/>
        </w:rPr>
      </w:pPr>
      <w:r w:rsidRPr="00751C85">
        <w:rPr>
          <w:rFonts w:ascii="Arial" w:hAnsi="Arial" w:cs="Arial"/>
          <w:b/>
          <w:bCs/>
        </w:rPr>
        <w:t xml:space="preserve">Idaho State University (ISU) </w:t>
      </w:r>
      <w:r w:rsidR="00446B1D" w:rsidRPr="00301088">
        <w:rPr>
          <w:rFonts w:ascii="Arial" w:hAnsi="Arial" w:cs="Arial"/>
          <w:b/>
          <w:bCs/>
        </w:rPr>
        <w:t xml:space="preserve">Profile of Cases Managed </w:t>
      </w:r>
      <w:r w:rsidR="00446B1D" w:rsidRPr="00D65105">
        <w:rPr>
          <w:rFonts w:ascii="Arial" w:hAnsi="Arial" w:cs="Arial"/>
          <w:b/>
          <w:bCs/>
          <w:noProof/>
        </w:rPr>
        <w:t>and/or</w:t>
      </w:r>
      <w:r w:rsidR="00446B1D" w:rsidRPr="00301088">
        <w:rPr>
          <w:rFonts w:ascii="Arial" w:hAnsi="Arial" w:cs="Arial"/>
          <w:b/>
          <w:bCs/>
        </w:rPr>
        <w:t xml:space="preserve"> Key Services Provided</w:t>
      </w:r>
    </w:p>
    <w:tbl>
      <w:tblPr>
        <w:tblW w:w="5002" w:type="pct"/>
        <w:tblBorders>
          <w:top w:val="double" w:sz="4" w:space="0" w:color="000080"/>
          <w:left w:val="double" w:sz="4" w:space="0" w:color="000080"/>
          <w:bottom w:val="double" w:sz="4" w:space="0" w:color="000080"/>
          <w:right w:val="double" w:sz="4" w:space="0" w:color="000080"/>
          <w:insideH w:val="single" w:sz="6" w:space="0" w:color="000080"/>
          <w:insideV w:val="single" w:sz="6" w:space="0" w:color="000080"/>
        </w:tblBorders>
        <w:tblLayout w:type="fixed"/>
        <w:tblLook w:val="0000" w:firstRow="0" w:lastRow="0" w:firstColumn="0" w:lastColumn="0" w:noHBand="0" w:noVBand="0"/>
      </w:tblPr>
      <w:tblGrid>
        <w:gridCol w:w="3955"/>
        <w:gridCol w:w="540"/>
        <w:gridCol w:w="1620"/>
        <w:gridCol w:w="1260"/>
        <w:gridCol w:w="89"/>
        <w:gridCol w:w="1350"/>
        <w:gridCol w:w="1260"/>
      </w:tblGrid>
      <w:tr w:rsidR="007104B7" w:rsidRPr="00301088" w14:paraId="6A226537" w14:textId="209B952F" w:rsidTr="00180CDF">
        <w:trPr>
          <w:tblHeader/>
        </w:trPr>
        <w:tc>
          <w:tcPr>
            <w:tcW w:w="3955" w:type="dxa"/>
            <w:tcBorders>
              <w:top w:val="single" w:sz="4" w:space="0" w:color="auto"/>
              <w:left w:val="single" w:sz="4" w:space="0" w:color="auto"/>
              <w:bottom w:val="single" w:sz="4" w:space="0" w:color="auto"/>
              <w:right w:val="single" w:sz="4" w:space="0" w:color="auto"/>
            </w:tcBorders>
            <w:shd w:val="clear" w:color="auto" w:fill="000080"/>
            <w:vAlign w:val="center"/>
          </w:tcPr>
          <w:p w14:paraId="136194A8" w14:textId="77777777" w:rsidR="007104B7" w:rsidRPr="00301088" w:rsidRDefault="007104B7" w:rsidP="007104B7">
            <w:pPr>
              <w:jc w:val="center"/>
              <w:rPr>
                <w:rFonts w:ascii="Arial" w:hAnsi="Arial" w:cs="Arial"/>
                <w:b/>
                <w:bCs/>
                <w:color w:val="FFFFFF"/>
                <w:sz w:val="20"/>
              </w:rPr>
            </w:pPr>
            <w:r w:rsidRPr="00301088">
              <w:rPr>
                <w:rFonts w:ascii="Arial" w:hAnsi="Arial" w:cs="Arial"/>
                <w:b/>
                <w:bCs/>
                <w:color w:val="FFFFFF"/>
                <w:sz w:val="20"/>
              </w:rPr>
              <w:t xml:space="preserve">Cases Managed </w:t>
            </w:r>
            <w:r w:rsidRPr="00D65105">
              <w:rPr>
                <w:rFonts w:ascii="Arial" w:hAnsi="Arial" w:cs="Arial"/>
                <w:b/>
                <w:bCs/>
                <w:noProof/>
                <w:color w:val="FFFFFF"/>
                <w:sz w:val="20"/>
              </w:rPr>
              <w:t>and/or</w:t>
            </w:r>
            <w:r w:rsidRPr="00301088">
              <w:rPr>
                <w:rFonts w:ascii="Arial" w:hAnsi="Arial" w:cs="Arial"/>
                <w:b/>
                <w:bCs/>
                <w:color w:val="FFFFFF"/>
                <w:sz w:val="20"/>
              </w:rPr>
              <w:t xml:space="preserve"> Key Services Provided</w:t>
            </w:r>
          </w:p>
        </w:tc>
        <w:tc>
          <w:tcPr>
            <w:tcW w:w="2160" w:type="dxa"/>
            <w:gridSpan w:val="2"/>
            <w:tcBorders>
              <w:top w:val="single" w:sz="4" w:space="0" w:color="auto"/>
              <w:left w:val="single" w:sz="4" w:space="0" w:color="auto"/>
              <w:bottom w:val="single" w:sz="4" w:space="0" w:color="auto"/>
              <w:right w:val="single" w:sz="4" w:space="0" w:color="auto"/>
            </w:tcBorders>
            <w:shd w:val="clear" w:color="auto" w:fill="000080"/>
          </w:tcPr>
          <w:p w14:paraId="46327805" w14:textId="0C3D47AC" w:rsidR="007104B7" w:rsidRPr="00301088" w:rsidRDefault="007104B7" w:rsidP="007104B7">
            <w:pPr>
              <w:jc w:val="center"/>
              <w:rPr>
                <w:rFonts w:ascii="Arial" w:hAnsi="Arial" w:cs="Arial"/>
                <w:b/>
                <w:bCs/>
                <w:color w:val="FFFFFF"/>
                <w:sz w:val="20"/>
              </w:rPr>
            </w:pPr>
            <w:r>
              <w:rPr>
                <w:rFonts w:ascii="Arial" w:hAnsi="Arial" w:cs="Arial"/>
                <w:b/>
                <w:bCs/>
                <w:color w:val="FFFFFF"/>
                <w:sz w:val="20"/>
              </w:rPr>
              <w:t>FY 2022</w:t>
            </w:r>
          </w:p>
        </w:tc>
        <w:tc>
          <w:tcPr>
            <w:tcW w:w="1260" w:type="dxa"/>
            <w:tcBorders>
              <w:top w:val="single" w:sz="4" w:space="0" w:color="auto"/>
              <w:left w:val="single" w:sz="4" w:space="0" w:color="auto"/>
              <w:bottom w:val="single" w:sz="4" w:space="0" w:color="auto"/>
              <w:right w:val="single" w:sz="4" w:space="0" w:color="auto"/>
            </w:tcBorders>
            <w:shd w:val="clear" w:color="auto" w:fill="000080"/>
          </w:tcPr>
          <w:p w14:paraId="19332A04" w14:textId="012ABD39" w:rsidR="007104B7" w:rsidRPr="00301088" w:rsidRDefault="007104B7" w:rsidP="007104B7">
            <w:pPr>
              <w:jc w:val="center"/>
              <w:rPr>
                <w:rFonts w:ascii="Arial" w:hAnsi="Arial" w:cs="Arial"/>
                <w:b/>
                <w:bCs/>
                <w:color w:val="FFFFFF"/>
                <w:sz w:val="20"/>
              </w:rPr>
            </w:pPr>
            <w:r>
              <w:rPr>
                <w:rFonts w:ascii="Arial" w:hAnsi="Arial" w:cs="Arial"/>
                <w:b/>
                <w:bCs/>
                <w:color w:val="FFFFFF"/>
                <w:sz w:val="20"/>
              </w:rPr>
              <w:t>FY 2023</w:t>
            </w:r>
          </w:p>
        </w:tc>
        <w:tc>
          <w:tcPr>
            <w:tcW w:w="1439" w:type="dxa"/>
            <w:gridSpan w:val="2"/>
            <w:tcBorders>
              <w:top w:val="single" w:sz="4" w:space="0" w:color="auto"/>
              <w:left w:val="single" w:sz="4" w:space="0" w:color="auto"/>
              <w:bottom w:val="single" w:sz="4" w:space="0" w:color="auto"/>
              <w:right w:val="single" w:sz="4" w:space="0" w:color="auto"/>
            </w:tcBorders>
            <w:shd w:val="clear" w:color="auto" w:fill="000080"/>
          </w:tcPr>
          <w:p w14:paraId="466570FE" w14:textId="14F9DD89" w:rsidR="007104B7" w:rsidRPr="00301088" w:rsidRDefault="007104B7" w:rsidP="007104B7">
            <w:pPr>
              <w:jc w:val="center"/>
              <w:rPr>
                <w:rFonts w:ascii="Arial" w:hAnsi="Arial" w:cs="Arial"/>
                <w:b/>
                <w:bCs/>
                <w:color w:val="FFFFFF"/>
                <w:sz w:val="20"/>
              </w:rPr>
            </w:pPr>
            <w:r>
              <w:rPr>
                <w:rFonts w:ascii="Arial" w:hAnsi="Arial" w:cs="Arial"/>
                <w:b/>
                <w:bCs/>
                <w:color w:val="FFFFFF"/>
                <w:sz w:val="20"/>
              </w:rPr>
              <w:t>FY 2024</w:t>
            </w:r>
          </w:p>
        </w:tc>
        <w:tc>
          <w:tcPr>
            <w:tcW w:w="1260" w:type="dxa"/>
            <w:tcBorders>
              <w:top w:val="single" w:sz="4" w:space="0" w:color="auto"/>
              <w:left w:val="single" w:sz="4" w:space="0" w:color="auto"/>
              <w:bottom w:val="single" w:sz="4" w:space="0" w:color="auto"/>
              <w:right w:val="single" w:sz="4" w:space="0" w:color="auto"/>
            </w:tcBorders>
            <w:shd w:val="clear" w:color="auto" w:fill="000080"/>
          </w:tcPr>
          <w:p w14:paraId="753F3CC1" w14:textId="4B78E9D3" w:rsidR="007104B7" w:rsidRDefault="007104B7" w:rsidP="007104B7">
            <w:pPr>
              <w:jc w:val="center"/>
              <w:rPr>
                <w:rFonts w:ascii="Arial" w:hAnsi="Arial" w:cs="Arial"/>
                <w:b/>
                <w:bCs/>
                <w:color w:val="FFFFFF"/>
                <w:sz w:val="20"/>
              </w:rPr>
            </w:pPr>
            <w:r>
              <w:rPr>
                <w:rFonts w:ascii="Arial" w:hAnsi="Arial" w:cs="Arial"/>
                <w:b/>
                <w:bCs/>
                <w:color w:val="FFFFFF"/>
                <w:sz w:val="20"/>
              </w:rPr>
              <w:t>FY 2025</w:t>
            </w:r>
          </w:p>
        </w:tc>
      </w:tr>
      <w:tr w:rsidR="007104B7" w:rsidRPr="00301088" w14:paraId="306DE1E1" w14:textId="50E54BD8" w:rsidTr="00823743">
        <w:trPr>
          <w:trHeight w:val="1241"/>
        </w:trPr>
        <w:tc>
          <w:tcPr>
            <w:tcW w:w="4495" w:type="dxa"/>
            <w:gridSpan w:val="2"/>
            <w:tcBorders>
              <w:top w:val="single" w:sz="4" w:space="0" w:color="auto"/>
              <w:left w:val="single" w:sz="4" w:space="0" w:color="auto"/>
              <w:bottom w:val="single" w:sz="4" w:space="0" w:color="auto"/>
              <w:right w:val="single" w:sz="4" w:space="0" w:color="auto"/>
            </w:tcBorders>
          </w:tcPr>
          <w:p w14:paraId="4491DED9" w14:textId="77777777" w:rsidR="007104B7" w:rsidRPr="00B94017" w:rsidRDefault="007104B7" w:rsidP="007104B7">
            <w:pPr>
              <w:rPr>
                <w:rFonts w:ascii="Arial" w:hAnsi="Arial" w:cs="Arial"/>
                <w:sz w:val="20"/>
                <w:szCs w:val="20"/>
              </w:rPr>
            </w:pPr>
          </w:p>
          <w:p w14:paraId="2B1F0BF1" w14:textId="5C04321D" w:rsidR="007104B7" w:rsidRPr="00B94017" w:rsidRDefault="007104B7" w:rsidP="007104B7">
            <w:pPr>
              <w:rPr>
                <w:rFonts w:ascii="Arial" w:hAnsi="Arial" w:cs="Arial"/>
                <w:sz w:val="20"/>
                <w:szCs w:val="20"/>
              </w:rPr>
            </w:pPr>
            <w:r w:rsidRPr="00B94017">
              <w:rPr>
                <w:rFonts w:ascii="Arial" w:hAnsi="Arial" w:cs="Arial"/>
                <w:sz w:val="20"/>
                <w:szCs w:val="20"/>
              </w:rPr>
              <w:t>Grand Total Number of Students</w:t>
            </w:r>
            <w:r w:rsidRPr="00B94017">
              <w:rPr>
                <w:rFonts w:ascii="Arial" w:hAnsi="Arial" w:cs="Arial"/>
                <w:b/>
                <w:sz w:val="20"/>
                <w:szCs w:val="20"/>
                <w:vertAlign w:val="superscript"/>
              </w:rPr>
              <w:t>1</w:t>
            </w:r>
          </w:p>
          <w:p w14:paraId="6119DF9C" w14:textId="77777777" w:rsidR="007104B7" w:rsidRPr="00B94017" w:rsidRDefault="007104B7" w:rsidP="007104B7">
            <w:pPr>
              <w:rPr>
                <w:rFonts w:ascii="Arial" w:hAnsi="Arial" w:cs="Arial"/>
                <w:sz w:val="20"/>
                <w:szCs w:val="20"/>
              </w:rPr>
            </w:pPr>
          </w:p>
          <w:p w14:paraId="38A45351" w14:textId="77777777" w:rsidR="007104B7" w:rsidRPr="00B94017" w:rsidRDefault="007104B7" w:rsidP="007104B7">
            <w:pPr>
              <w:rPr>
                <w:rFonts w:ascii="Arial" w:hAnsi="Arial" w:cs="Arial"/>
                <w:sz w:val="20"/>
                <w:szCs w:val="20"/>
              </w:rPr>
            </w:pPr>
            <w:r w:rsidRPr="00B94017">
              <w:rPr>
                <w:rFonts w:ascii="Arial" w:hAnsi="Arial" w:cs="Arial"/>
                <w:sz w:val="20"/>
                <w:szCs w:val="20"/>
              </w:rPr>
              <w:t xml:space="preserve">Total number of enrolled ISU students in a fiscal year </w:t>
            </w:r>
          </w:p>
          <w:p w14:paraId="131D16A2" w14:textId="77777777" w:rsidR="007104B7" w:rsidRPr="00B94017" w:rsidRDefault="007104B7" w:rsidP="007104B7">
            <w:pPr>
              <w:rPr>
                <w:rFonts w:ascii="Arial" w:hAnsi="Arial" w:cs="Arial"/>
                <w:sz w:val="20"/>
                <w:szCs w:val="20"/>
              </w:rPr>
            </w:pPr>
          </w:p>
          <w:p w14:paraId="5DF9EDE9" w14:textId="18FFE38C" w:rsidR="007104B7" w:rsidRPr="00B94017" w:rsidRDefault="007104B7" w:rsidP="007104B7">
            <w:pPr>
              <w:rPr>
                <w:rFonts w:ascii="Arial" w:hAnsi="Arial" w:cs="Arial"/>
                <w:sz w:val="20"/>
                <w:szCs w:val="20"/>
              </w:rPr>
            </w:pPr>
            <w:r w:rsidRPr="00B94017">
              <w:rPr>
                <w:rFonts w:ascii="Arial" w:hAnsi="Arial" w:cs="Arial"/>
                <w:sz w:val="20"/>
                <w:szCs w:val="20"/>
              </w:rPr>
              <w:t xml:space="preserve">Total number of College of Education K-12 professional development students in a fiscal year </w:t>
            </w:r>
            <w:r>
              <w:rPr>
                <w:rFonts w:ascii="Arial" w:hAnsi="Arial" w:cs="Arial"/>
                <w:sz w:val="20"/>
                <w:szCs w:val="20"/>
              </w:rPr>
              <w:t xml:space="preserve">(see note </w:t>
            </w:r>
            <w:r w:rsidRPr="00B94017">
              <w:rPr>
                <w:rFonts w:ascii="Arial" w:hAnsi="Arial" w:cs="Arial"/>
                <w:b/>
                <w:sz w:val="20"/>
                <w:szCs w:val="20"/>
                <w:vertAlign w:val="superscript"/>
              </w:rPr>
              <w:t>1</w:t>
            </w:r>
            <w:r>
              <w:rPr>
                <w:rFonts w:ascii="Arial" w:hAnsi="Arial" w:cs="Arial"/>
                <w:b/>
                <w:sz w:val="20"/>
                <w:szCs w:val="20"/>
                <w:vertAlign w:val="superscript"/>
              </w:rPr>
              <w:t>)</w:t>
            </w:r>
          </w:p>
          <w:p w14:paraId="5828F22A" w14:textId="77777777" w:rsidR="007104B7" w:rsidRPr="00B94017" w:rsidRDefault="007104B7" w:rsidP="007104B7">
            <w:pPr>
              <w:rPr>
                <w:rFonts w:ascii="Arial" w:hAnsi="Arial" w:cs="Arial"/>
                <w:sz w:val="20"/>
                <w:szCs w:val="20"/>
              </w:rPr>
            </w:pPr>
          </w:p>
          <w:p w14:paraId="35DF0C07" w14:textId="77777777" w:rsidR="007104B7" w:rsidRPr="00B94017" w:rsidRDefault="007104B7" w:rsidP="007104B7">
            <w:pPr>
              <w:rPr>
                <w:rFonts w:ascii="Arial" w:hAnsi="Arial" w:cs="Arial"/>
                <w:sz w:val="20"/>
                <w:szCs w:val="20"/>
              </w:rPr>
            </w:pPr>
            <w:r w:rsidRPr="00B94017">
              <w:rPr>
                <w:rFonts w:ascii="Arial" w:hAnsi="Arial" w:cs="Arial"/>
                <w:sz w:val="20"/>
                <w:szCs w:val="20"/>
              </w:rPr>
              <w:t>Total number of Workforce Training / Continuing Education students in a fiscal year</w:t>
            </w:r>
          </w:p>
          <w:p w14:paraId="48DD290E" w14:textId="77777777" w:rsidR="007104B7" w:rsidRPr="00B94017" w:rsidRDefault="007104B7" w:rsidP="007104B7">
            <w:pP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14:paraId="371D03C0" w14:textId="77777777" w:rsidR="007104B7" w:rsidRDefault="007104B7" w:rsidP="007104B7">
            <w:pPr>
              <w:jc w:val="center"/>
              <w:rPr>
                <w:rFonts w:ascii="Arial" w:hAnsi="Arial" w:cs="Arial"/>
                <w:sz w:val="20"/>
                <w:szCs w:val="20"/>
              </w:rPr>
            </w:pPr>
          </w:p>
          <w:p w14:paraId="6F25B47D" w14:textId="77777777" w:rsidR="007104B7" w:rsidRPr="0000387F" w:rsidRDefault="007104B7" w:rsidP="007104B7">
            <w:pPr>
              <w:jc w:val="center"/>
              <w:rPr>
                <w:rFonts w:ascii="Arial" w:hAnsi="Arial" w:cs="Arial"/>
                <w:b/>
                <w:sz w:val="20"/>
                <w:szCs w:val="20"/>
              </w:rPr>
            </w:pPr>
            <w:r w:rsidRPr="0000387F">
              <w:rPr>
                <w:rFonts w:ascii="Arial" w:hAnsi="Arial" w:cs="Arial"/>
                <w:b/>
                <w:sz w:val="20"/>
                <w:szCs w:val="20"/>
              </w:rPr>
              <w:t>36,115</w:t>
            </w:r>
          </w:p>
          <w:p w14:paraId="148A1427" w14:textId="77777777" w:rsidR="007104B7" w:rsidRDefault="007104B7" w:rsidP="007104B7">
            <w:pPr>
              <w:jc w:val="center"/>
              <w:rPr>
                <w:rFonts w:ascii="Arial" w:hAnsi="Arial" w:cs="Arial"/>
                <w:sz w:val="20"/>
                <w:szCs w:val="20"/>
              </w:rPr>
            </w:pPr>
          </w:p>
          <w:p w14:paraId="1033CFA6" w14:textId="77777777" w:rsidR="007104B7" w:rsidRDefault="007104B7" w:rsidP="007104B7">
            <w:pPr>
              <w:jc w:val="center"/>
              <w:rPr>
                <w:rFonts w:ascii="Arial" w:hAnsi="Arial" w:cs="Arial"/>
                <w:sz w:val="20"/>
                <w:szCs w:val="20"/>
              </w:rPr>
            </w:pPr>
            <w:r>
              <w:rPr>
                <w:rFonts w:ascii="Arial" w:hAnsi="Arial" w:cs="Arial"/>
                <w:sz w:val="20"/>
                <w:szCs w:val="20"/>
              </w:rPr>
              <w:t>14,702</w:t>
            </w:r>
          </w:p>
          <w:p w14:paraId="2EB1BE9D" w14:textId="77777777" w:rsidR="007104B7" w:rsidRDefault="007104B7" w:rsidP="007104B7">
            <w:pPr>
              <w:jc w:val="center"/>
              <w:rPr>
                <w:rFonts w:ascii="Arial" w:hAnsi="Arial" w:cs="Arial"/>
                <w:sz w:val="20"/>
                <w:szCs w:val="20"/>
              </w:rPr>
            </w:pPr>
          </w:p>
          <w:p w14:paraId="73EA666C" w14:textId="77777777" w:rsidR="007104B7" w:rsidRDefault="007104B7" w:rsidP="007104B7">
            <w:pPr>
              <w:jc w:val="center"/>
              <w:rPr>
                <w:rFonts w:ascii="Arial" w:hAnsi="Arial" w:cs="Arial"/>
                <w:sz w:val="20"/>
                <w:szCs w:val="20"/>
              </w:rPr>
            </w:pPr>
          </w:p>
          <w:p w14:paraId="026831D4" w14:textId="77777777" w:rsidR="007104B7" w:rsidRDefault="007104B7" w:rsidP="007104B7">
            <w:pPr>
              <w:jc w:val="center"/>
              <w:rPr>
                <w:rFonts w:ascii="Arial" w:hAnsi="Arial" w:cs="Arial"/>
                <w:sz w:val="20"/>
                <w:szCs w:val="20"/>
              </w:rPr>
            </w:pPr>
            <w:r>
              <w:rPr>
                <w:rFonts w:ascii="Arial" w:hAnsi="Arial" w:cs="Arial"/>
                <w:sz w:val="20"/>
                <w:szCs w:val="20"/>
              </w:rPr>
              <w:t>15,805</w:t>
            </w:r>
          </w:p>
          <w:p w14:paraId="724C3767" w14:textId="77777777" w:rsidR="007104B7" w:rsidRDefault="007104B7" w:rsidP="007104B7">
            <w:pPr>
              <w:jc w:val="center"/>
              <w:rPr>
                <w:rFonts w:ascii="Arial" w:hAnsi="Arial" w:cs="Arial"/>
                <w:sz w:val="20"/>
                <w:szCs w:val="20"/>
              </w:rPr>
            </w:pPr>
          </w:p>
          <w:p w14:paraId="70F65CC2" w14:textId="77777777" w:rsidR="007104B7" w:rsidRDefault="007104B7" w:rsidP="007104B7">
            <w:pPr>
              <w:jc w:val="center"/>
              <w:rPr>
                <w:rFonts w:ascii="Arial" w:hAnsi="Arial" w:cs="Arial"/>
                <w:sz w:val="20"/>
                <w:szCs w:val="20"/>
              </w:rPr>
            </w:pPr>
          </w:p>
          <w:p w14:paraId="36517670" w14:textId="77777777" w:rsidR="007104B7" w:rsidRDefault="007104B7" w:rsidP="007104B7">
            <w:pPr>
              <w:jc w:val="center"/>
              <w:rPr>
                <w:rFonts w:ascii="Arial" w:hAnsi="Arial" w:cs="Arial"/>
                <w:sz w:val="20"/>
                <w:szCs w:val="20"/>
              </w:rPr>
            </w:pPr>
          </w:p>
          <w:p w14:paraId="6E39792E" w14:textId="77777777" w:rsidR="007104B7" w:rsidRDefault="007104B7" w:rsidP="007104B7">
            <w:pPr>
              <w:jc w:val="center"/>
              <w:rPr>
                <w:rFonts w:ascii="Arial" w:hAnsi="Arial" w:cs="Arial"/>
                <w:sz w:val="20"/>
                <w:szCs w:val="20"/>
              </w:rPr>
            </w:pPr>
          </w:p>
          <w:p w14:paraId="4EF960EF" w14:textId="2DEAD964" w:rsidR="007104B7" w:rsidRPr="00B94017" w:rsidRDefault="007104B7" w:rsidP="007104B7">
            <w:pPr>
              <w:jc w:val="center"/>
              <w:rPr>
                <w:rFonts w:ascii="Arial" w:hAnsi="Arial" w:cs="Arial"/>
                <w:sz w:val="20"/>
                <w:szCs w:val="20"/>
              </w:rPr>
            </w:pPr>
            <w:r>
              <w:rPr>
                <w:rFonts w:ascii="Arial" w:hAnsi="Arial" w:cs="Arial"/>
                <w:sz w:val="20"/>
                <w:szCs w:val="20"/>
              </w:rPr>
              <w:t>5,608</w:t>
            </w:r>
          </w:p>
        </w:tc>
        <w:tc>
          <w:tcPr>
            <w:tcW w:w="1260" w:type="dxa"/>
            <w:tcBorders>
              <w:top w:val="single" w:sz="4" w:space="0" w:color="auto"/>
              <w:left w:val="single" w:sz="4" w:space="0" w:color="auto"/>
              <w:bottom w:val="single" w:sz="4" w:space="0" w:color="auto"/>
              <w:right w:val="single" w:sz="4" w:space="0" w:color="auto"/>
            </w:tcBorders>
          </w:tcPr>
          <w:p w14:paraId="69C4825D" w14:textId="77777777" w:rsidR="007104B7" w:rsidRDefault="007104B7" w:rsidP="007104B7">
            <w:pPr>
              <w:jc w:val="center"/>
              <w:rPr>
                <w:rFonts w:ascii="Arial" w:hAnsi="Arial" w:cs="Arial"/>
                <w:sz w:val="20"/>
                <w:szCs w:val="20"/>
              </w:rPr>
            </w:pPr>
          </w:p>
          <w:p w14:paraId="32CA1BC1" w14:textId="77777777" w:rsidR="007104B7" w:rsidRPr="006828A3" w:rsidRDefault="007104B7" w:rsidP="007104B7">
            <w:pPr>
              <w:jc w:val="center"/>
              <w:rPr>
                <w:rFonts w:ascii="Arial" w:hAnsi="Arial" w:cs="Arial"/>
                <w:b/>
                <w:sz w:val="20"/>
                <w:szCs w:val="20"/>
              </w:rPr>
            </w:pPr>
            <w:r w:rsidRPr="006828A3">
              <w:rPr>
                <w:rFonts w:ascii="Arial" w:hAnsi="Arial" w:cs="Arial"/>
                <w:b/>
                <w:sz w:val="20"/>
                <w:szCs w:val="20"/>
              </w:rPr>
              <w:t>38,513</w:t>
            </w:r>
          </w:p>
          <w:p w14:paraId="0E977928" w14:textId="77777777" w:rsidR="007104B7" w:rsidRDefault="007104B7" w:rsidP="007104B7">
            <w:pPr>
              <w:jc w:val="center"/>
              <w:rPr>
                <w:rFonts w:ascii="Arial" w:hAnsi="Arial" w:cs="Arial"/>
                <w:sz w:val="20"/>
                <w:szCs w:val="20"/>
              </w:rPr>
            </w:pPr>
          </w:p>
          <w:p w14:paraId="640FB64A" w14:textId="77777777" w:rsidR="007104B7" w:rsidRDefault="007104B7" w:rsidP="007104B7">
            <w:pPr>
              <w:jc w:val="center"/>
              <w:rPr>
                <w:rFonts w:ascii="Arial" w:hAnsi="Arial" w:cs="Arial"/>
                <w:sz w:val="20"/>
                <w:szCs w:val="20"/>
              </w:rPr>
            </w:pPr>
            <w:r>
              <w:rPr>
                <w:rFonts w:ascii="Arial" w:hAnsi="Arial" w:cs="Arial"/>
                <w:sz w:val="20"/>
                <w:szCs w:val="20"/>
              </w:rPr>
              <w:t>14,816</w:t>
            </w:r>
          </w:p>
          <w:p w14:paraId="49D12F04" w14:textId="77777777" w:rsidR="007104B7" w:rsidRDefault="007104B7" w:rsidP="007104B7">
            <w:pPr>
              <w:jc w:val="center"/>
              <w:rPr>
                <w:rFonts w:ascii="Arial" w:hAnsi="Arial" w:cs="Arial"/>
                <w:sz w:val="20"/>
                <w:szCs w:val="20"/>
              </w:rPr>
            </w:pPr>
          </w:p>
          <w:p w14:paraId="79058923" w14:textId="77777777" w:rsidR="007104B7" w:rsidRDefault="007104B7" w:rsidP="007104B7">
            <w:pPr>
              <w:jc w:val="center"/>
              <w:rPr>
                <w:rFonts w:ascii="Arial" w:hAnsi="Arial" w:cs="Arial"/>
                <w:sz w:val="20"/>
                <w:szCs w:val="20"/>
              </w:rPr>
            </w:pPr>
          </w:p>
          <w:p w14:paraId="646AF800" w14:textId="77777777" w:rsidR="007104B7" w:rsidRPr="009138AD" w:rsidRDefault="007104B7" w:rsidP="007104B7">
            <w:pPr>
              <w:jc w:val="center"/>
              <w:rPr>
                <w:rFonts w:ascii="Arial" w:hAnsi="Arial" w:cs="Arial"/>
                <w:sz w:val="20"/>
                <w:szCs w:val="20"/>
              </w:rPr>
            </w:pPr>
            <w:r w:rsidRPr="009138AD">
              <w:rPr>
                <w:rFonts w:ascii="Arial" w:hAnsi="Arial" w:cs="Arial"/>
                <w:sz w:val="20"/>
                <w:szCs w:val="20"/>
              </w:rPr>
              <w:t>17,209</w:t>
            </w:r>
          </w:p>
          <w:p w14:paraId="76B9149A" w14:textId="77777777" w:rsidR="007104B7" w:rsidRDefault="007104B7" w:rsidP="007104B7">
            <w:pPr>
              <w:jc w:val="center"/>
              <w:rPr>
                <w:rFonts w:ascii="Arial" w:hAnsi="Arial" w:cs="Arial"/>
                <w:sz w:val="20"/>
                <w:szCs w:val="20"/>
              </w:rPr>
            </w:pPr>
          </w:p>
          <w:p w14:paraId="35585AC5" w14:textId="77777777" w:rsidR="007104B7" w:rsidRDefault="007104B7" w:rsidP="007104B7">
            <w:pPr>
              <w:jc w:val="center"/>
              <w:rPr>
                <w:rFonts w:ascii="Arial" w:hAnsi="Arial" w:cs="Arial"/>
                <w:sz w:val="20"/>
                <w:szCs w:val="20"/>
                <w:highlight w:val="yellow"/>
              </w:rPr>
            </w:pPr>
          </w:p>
          <w:p w14:paraId="199F171A" w14:textId="77777777" w:rsidR="007104B7" w:rsidRDefault="007104B7" w:rsidP="007104B7">
            <w:pPr>
              <w:jc w:val="center"/>
              <w:rPr>
                <w:rFonts w:ascii="Arial" w:hAnsi="Arial" w:cs="Arial"/>
                <w:sz w:val="20"/>
                <w:szCs w:val="20"/>
                <w:highlight w:val="yellow"/>
              </w:rPr>
            </w:pPr>
          </w:p>
          <w:p w14:paraId="07460AA1" w14:textId="77777777" w:rsidR="007104B7" w:rsidRDefault="007104B7" w:rsidP="007104B7">
            <w:pPr>
              <w:jc w:val="center"/>
              <w:rPr>
                <w:rFonts w:ascii="Arial" w:hAnsi="Arial" w:cs="Arial"/>
                <w:sz w:val="20"/>
                <w:szCs w:val="20"/>
              </w:rPr>
            </w:pPr>
          </w:p>
          <w:p w14:paraId="25126F39" w14:textId="77777777" w:rsidR="007104B7" w:rsidRPr="006828A3" w:rsidRDefault="007104B7" w:rsidP="007104B7">
            <w:pPr>
              <w:jc w:val="center"/>
              <w:rPr>
                <w:rFonts w:ascii="Arial" w:hAnsi="Arial" w:cs="Arial"/>
                <w:sz w:val="20"/>
                <w:szCs w:val="20"/>
              </w:rPr>
            </w:pPr>
            <w:r w:rsidRPr="006828A3">
              <w:rPr>
                <w:rFonts w:ascii="Arial" w:hAnsi="Arial" w:cs="Arial"/>
                <w:sz w:val="20"/>
                <w:szCs w:val="20"/>
              </w:rPr>
              <w:t>6,488</w:t>
            </w:r>
          </w:p>
          <w:p w14:paraId="50087F33" w14:textId="25A29896" w:rsidR="007104B7" w:rsidRPr="00B94017" w:rsidRDefault="007104B7" w:rsidP="007104B7">
            <w:pPr>
              <w:jc w:val="center"/>
              <w:rPr>
                <w:rFonts w:ascii="Arial" w:hAnsi="Arial" w:cs="Arial"/>
                <w:sz w:val="20"/>
                <w:szCs w:val="20"/>
              </w:rPr>
            </w:pPr>
          </w:p>
        </w:tc>
        <w:tc>
          <w:tcPr>
            <w:tcW w:w="1439" w:type="dxa"/>
            <w:gridSpan w:val="2"/>
            <w:tcBorders>
              <w:top w:val="single" w:sz="4" w:space="0" w:color="auto"/>
              <w:left w:val="single" w:sz="4" w:space="0" w:color="auto"/>
              <w:bottom w:val="single" w:sz="4" w:space="0" w:color="auto"/>
              <w:right w:val="single" w:sz="4" w:space="0" w:color="auto"/>
            </w:tcBorders>
          </w:tcPr>
          <w:p w14:paraId="4F41A20B" w14:textId="77777777" w:rsidR="007104B7" w:rsidRDefault="007104B7" w:rsidP="007104B7">
            <w:pPr>
              <w:jc w:val="center"/>
              <w:rPr>
                <w:rFonts w:ascii="Arial" w:hAnsi="Arial" w:cs="Arial"/>
                <w:sz w:val="20"/>
                <w:szCs w:val="20"/>
              </w:rPr>
            </w:pPr>
          </w:p>
          <w:p w14:paraId="23F24CA6" w14:textId="77777777" w:rsidR="007104B7" w:rsidRPr="00B06D63" w:rsidRDefault="007104B7" w:rsidP="007104B7">
            <w:pPr>
              <w:jc w:val="center"/>
              <w:rPr>
                <w:rFonts w:ascii="Arial" w:hAnsi="Arial" w:cs="Arial"/>
                <w:b/>
                <w:sz w:val="20"/>
                <w:szCs w:val="20"/>
              </w:rPr>
            </w:pPr>
            <w:r w:rsidRPr="00B06D63">
              <w:rPr>
                <w:rFonts w:ascii="Arial" w:hAnsi="Arial" w:cs="Arial"/>
                <w:b/>
                <w:sz w:val="20"/>
                <w:szCs w:val="20"/>
              </w:rPr>
              <w:t>52,429</w:t>
            </w:r>
          </w:p>
          <w:p w14:paraId="21734F2D" w14:textId="77777777" w:rsidR="007104B7" w:rsidRDefault="007104B7" w:rsidP="007104B7">
            <w:pPr>
              <w:jc w:val="center"/>
              <w:rPr>
                <w:rFonts w:ascii="Arial" w:hAnsi="Arial" w:cs="Arial"/>
                <w:sz w:val="20"/>
                <w:szCs w:val="20"/>
              </w:rPr>
            </w:pPr>
          </w:p>
          <w:p w14:paraId="5FB14724" w14:textId="77777777" w:rsidR="007104B7" w:rsidRDefault="007104B7" w:rsidP="007104B7">
            <w:pPr>
              <w:jc w:val="center"/>
              <w:rPr>
                <w:rFonts w:ascii="Arial" w:hAnsi="Arial" w:cs="Arial"/>
                <w:sz w:val="20"/>
                <w:szCs w:val="20"/>
              </w:rPr>
            </w:pPr>
            <w:r>
              <w:rPr>
                <w:rFonts w:ascii="Arial" w:hAnsi="Arial" w:cs="Arial"/>
                <w:sz w:val="20"/>
                <w:szCs w:val="20"/>
              </w:rPr>
              <w:t>15,146</w:t>
            </w:r>
          </w:p>
          <w:p w14:paraId="2F030918" w14:textId="77777777" w:rsidR="007104B7" w:rsidRDefault="007104B7" w:rsidP="007104B7">
            <w:pPr>
              <w:jc w:val="center"/>
              <w:rPr>
                <w:rFonts w:ascii="Arial" w:hAnsi="Arial" w:cs="Arial"/>
                <w:sz w:val="20"/>
                <w:szCs w:val="20"/>
              </w:rPr>
            </w:pPr>
          </w:p>
          <w:p w14:paraId="2280AF78" w14:textId="77777777" w:rsidR="007104B7" w:rsidRDefault="007104B7" w:rsidP="007104B7">
            <w:pPr>
              <w:jc w:val="center"/>
              <w:rPr>
                <w:rFonts w:ascii="Arial" w:hAnsi="Arial" w:cs="Arial"/>
                <w:sz w:val="20"/>
                <w:szCs w:val="20"/>
              </w:rPr>
            </w:pPr>
          </w:p>
          <w:p w14:paraId="3DD84897" w14:textId="77777777" w:rsidR="007104B7" w:rsidRDefault="007104B7" w:rsidP="007104B7">
            <w:pPr>
              <w:jc w:val="center"/>
              <w:rPr>
                <w:rFonts w:ascii="Arial" w:hAnsi="Arial" w:cs="Arial"/>
                <w:sz w:val="20"/>
                <w:szCs w:val="20"/>
              </w:rPr>
            </w:pPr>
            <w:r>
              <w:rPr>
                <w:rFonts w:ascii="Arial" w:hAnsi="Arial" w:cs="Arial"/>
                <w:sz w:val="20"/>
                <w:szCs w:val="20"/>
              </w:rPr>
              <w:t>29,056</w:t>
            </w:r>
          </w:p>
          <w:p w14:paraId="2D6592F6" w14:textId="77777777" w:rsidR="007104B7" w:rsidRDefault="007104B7" w:rsidP="007104B7">
            <w:pPr>
              <w:jc w:val="center"/>
              <w:rPr>
                <w:rFonts w:ascii="Arial" w:hAnsi="Arial" w:cs="Arial"/>
                <w:sz w:val="20"/>
                <w:szCs w:val="20"/>
              </w:rPr>
            </w:pPr>
          </w:p>
          <w:p w14:paraId="2CC3B37F" w14:textId="77777777" w:rsidR="007104B7" w:rsidRDefault="007104B7" w:rsidP="007104B7">
            <w:pPr>
              <w:jc w:val="center"/>
              <w:rPr>
                <w:rFonts w:ascii="Arial" w:hAnsi="Arial" w:cs="Arial"/>
                <w:sz w:val="20"/>
                <w:szCs w:val="20"/>
              </w:rPr>
            </w:pPr>
          </w:p>
          <w:p w14:paraId="6AC9D797" w14:textId="77777777" w:rsidR="007104B7" w:rsidRDefault="007104B7" w:rsidP="007104B7">
            <w:pPr>
              <w:jc w:val="center"/>
              <w:rPr>
                <w:rFonts w:ascii="Arial" w:hAnsi="Arial" w:cs="Arial"/>
                <w:sz w:val="20"/>
                <w:szCs w:val="20"/>
              </w:rPr>
            </w:pPr>
          </w:p>
          <w:p w14:paraId="5C60AE7F" w14:textId="77777777" w:rsidR="007104B7" w:rsidRDefault="007104B7" w:rsidP="007104B7">
            <w:pPr>
              <w:jc w:val="center"/>
              <w:rPr>
                <w:rFonts w:ascii="Arial" w:hAnsi="Arial" w:cs="Arial"/>
                <w:sz w:val="20"/>
                <w:szCs w:val="20"/>
              </w:rPr>
            </w:pPr>
          </w:p>
          <w:p w14:paraId="5B4E98D8" w14:textId="041314AF" w:rsidR="007104B7" w:rsidRPr="00B94017" w:rsidRDefault="007104B7" w:rsidP="007104B7">
            <w:pPr>
              <w:jc w:val="center"/>
              <w:rPr>
                <w:rFonts w:ascii="Arial" w:hAnsi="Arial" w:cs="Arial"/>
                <w:sz w:val="20"/>
                <w:szCs w:val="20"/>
              </w:rPr>
            </w:pPr>
            <w:r w:rsidRPr="00B06D63">
              <w:rPr>
                <w:rFonts w:ascii="Arial" w:hAnsi="Arial" w:cs="Arial"/>
                <w:sz w:val="20"/>
                <w:szCs w:val="20"/>
              </w:rPr>
              <w:t>8,227</w:t>
            </w:r>
          </w:p>
        </w:tc>
        <w:tc>
          <w:tcPr>
            <w:tcW w:w="1260" w:type="dxa"/>
            <w:tcBorders>
              <w:top w:val="single" w:sz="4" w:space="0" w:color="auto"/>
              <w:left w:val="single" w:sz="4" w:space="0" w:color="auto"/>
              <w:bottom w:val="single" w:sz="4" w:space="0" w:color="auto"/>
              <w:right w:val="single" w:sz="4" w:space="0" w:color="auto"/>
            </w:tcBorders>
          </w:tcPr>
          <w:p w14:paraId="333FB042" w14:textId="78AF1638" w:rsidR="007104B7" w:rsidRPr="00B06D63" w:rsidRDefault="007104B7" w:rsidP="007104B7">
            <w:pPr>
              <w:jc w:val="center"/>
              <w:rPr>
                <w:rFonts w:ascii="Arial" w:hAnsi="Arial" w:cs="Arial"/>
                <w:sz w:val="20"/>
                <w:szCs w:val="20"/>
              </w:rPr>
            </w:pPr>
          </w:p>
        </w:tc>
      </w:tr>
      <w:tr w:rsidR="007104B7" w:rsidRPr="0044068C" w14:paraId="2A32E161" w14:textId="6F9D2734" w:rsidTr="00823743">
        <w:trPr>
          <w:trHeight w:val="1241"/>
        </w:trPr>
        <w:tc>
          <w:tcPr>
            <w:tcW w:w="4495" w:type="dxa"/>
            <w:gridSpan w:val="2"/>
            <w:tcBorders>
              <w:top w:val="single" w:sz="4" w:space="0" w:color="auto"/>
              <w:left w:val="single" w:sz="4" w:space="0" w:color="auto"/>
              <w:bottom w:val="single" w:sz="4" w:space="0" w:color="auto"/>
              <w:right w:val="single" w:sz="4" w:space="0" w:color="auto"/>
            </w:tcBorders>
          </w:tcPr>
          <w:p w14:paraId="027F4943" w14:textId="77777777" w:rsidR="007104B7" w:rsidRDefault="007104B7" w:rsidP="007104B7">
            <w:pPr>
              <w:rPr>
                <w:rFonts w:ascii="Arial" w:hAnsi="Arial" w:cs="Arial"/>
                <w:sz w:val="20"/>
              </w:rPr>
            </w:pPr>
            <w:r>
              <w:rPr>
                <w:rFonts w:ascii="Arial" w:hAnsi="Arial" w:cs="Arial"/>
                <w:sz w:val="20"/>
              </w:rPr>
              <w:t>Percentage of undergraduates (based on fall term)</w:t>
            </w:r>
          </w:p>
          <w:p w14:paraId="682A3E9E" w14:textId="77777777" w:rsidR="007104B7" w:rsidRDefault="007104B7" w:rsidP="007104B7">
            <w:pPr>
              <w:rPr>
                <w:rFonts w:ascii="Arial" w:hAnsi="Arial" w:cs="Arial"/>
                <w:sz w:val="20"/>
              </w:rPr>
            </w:pPr>
          </w:p>
          <w:p w14:paraId="37B124D8" w14:textId="77777777" w:rsidR="007104B7" w:rsidRPr="00301088" w:rsidRDefault="007104B7" w:rsidP="007104B7">
            <w:pPr>
              <w:numPr>
                <w:ilvl w:val="0"/>
                <w:numId w:val="1"/>
              </w:numPr>
              <w:rPr>
                <w:rFonts w:ascii="Arial" w:hAnsi="Arial" w:cs="Arial"/>
                <w:sz w:val="20"/>
              </w:rPr>
            </w:pPr>
            <w:r>
              <w:rPr>
                <w:rFonts w:ascii="Arial" w:hAnsi="Arial" w:cs="Arial"/>
                <w:sz w:val="20"/>
              </w:rPr>
              <w:t>Full-time</w:t>
            </w:r>
          </w:p>
          <w:p w14:paraId="21DF3D19" w14:textId="77777777" w:rsidR="007104B7" w:rsidRPr="00301088" w:rsidRDefault="007104B7" w:rsidP="007104B7">
            <w:pPr>
              <w:numPr>
                <w:ilvl w:val="0"/>
                <w:numId w:val="1"/>
              </w:numPr>
              <w:rPr>
                <w:rFonts w:ascii="Arial" w:hAnsi="Arial" w:cs="Arial"/>
                <w:sz w:val="20"/>
              </w:rPr>
            </w:pPr>
            <w:r>
              <w:rPr>
                <w:rFonts w:ascii="Arial" w:hAnsi="Arial" w:cs="Arial"/>
                <w:sz w:val="20"/>
              </w:rPr>
              <w:t>Part-time</w:t>
            </w:r>
          </w:p>
          <w:p w14:paraId="0C37BEA1" w14:textId="77777777" w:rsidR="007104B7" w:rsidRPr="00301088" w:rsidRDefault="007104B7" w:rsidP="007104B7">
            <w:pPr>
              <w:rPr>
                <w:rFonts w:ascii="Arial" w:hAnsi="Arial" w:cs="Arial"/>
                <w:sz w:val="20"/>
              </w:rPr>
            </w:pPr>
          </w:p>
        </w:tc>
        <w:tc>
          <w:tcPr>
            <w:tcW w:w="1620" w:type="dxa"/>
            <w:tcBorders>
              <w:top w:val="single" w:sz="4" w:space="0" w:color="auto"/>
              <w:left w:val="single" w:sz="4" w:space="0" w:color="auto"/>
              <w:bottom w:val="single" w:sz="4" w:space="0" w:color="auto"/>
              <w:right w:val="single" w:sz="4" w:space="0" w:color="auto"/>
            </w:tcBorders>
          </w:tcPr>
          <w:p w14:paraId="72F1BEF9" w14:textId="77777777" w:rsidR="007104B7" w:rsidRDefault="007104B7" w:rsidP="007104B7">
            <w:pPr>
              <w:jc w:val="center"/>
              <w:rPr>
                <w:rFonts w:ascii="Arial" w:hAnsi="Arial" w:cs="Arial"/>
                <w:sz w:val="20"/>
              </w:rPr>
            </w:pPr>
          </w:p>
          <w:p w14:paraId="3F383AA3" w14:textId="77777777" w:rsidR="007104B7" w:rsidRDefault="007104B7" w:rsidP="007104B7">
            <w:pPr>
              <w:jc w:val="center"/>
              <w:rPr>
                <w:rFonts w:ascii="Arial" w:hAnsi="Arial" w:cs="Arial"/>
                <w:sz w:val="20"/>
              </w:rPr>
            </w:pPr>
          </w:p>
          <w:p w14:paraId="6B2E5382" w14:textId="77777777" w:rsidR="007104B7" w:rsidRDefault="007104B7" w:rsidP="007104B7">
            <w:pPr>
              <w:jc w:val="center"/>
              <w:rPr>
                <w:rFonts w:ascii="Arial" w:hAnsi="Arial" w:cs="Arial"/>
                <w:sz w:val="20"/>
              </w:rPr>
            </w:pPr>
          </w:p>
          <w:p w14:paraId="6B468953" w14:textId="77777777" w:rsidR="007104B7" w:rsidRDefault="007104B7" w:rsidP="007104B7">
            <w:pPr>
              <w:jc w:val="center"/>
              <w:rPr>
                <w:rFonts w:ascii="Arial" w:hAnsi="Arial" w:cs="Arial"/>
                <w:sz w:val="20"/>
              </w:rPr>
            </w:pPr>
            <w:r>
              <w:rPr>
                <w:rFonts w:ascii="Arial" w:hAnsi="Arial" w:cs="Arial"/>
                <w:sz w:val="20"/>
              </w:rPr>
              <w:t>55%</w:t>
            </w:r>
          </w:p>
          <w:p w14:paraId="59A9A514" w14:textId="0C0F32F6" w:rsidR="007104B7" w:rsidRPr="0044068C" w:rsidRDefault="007104B7" w:rsidP="007104B7">
            <w:pPr>
              <w:jc w:val="center"/>
              <w:rPr>
                <w:rFonts w:ascii="Arial" w:hAnsi="Arial" w:cs="Arial"/>
                <w:sz w:val="20"/>
              </w:rPr>
            </w:pPr>
            <w:r>
              <w:rPr>
                <w:rFonts w:ascii="Arial" w:hAnsi="Arial" w:cs="Arial"/>
                <w:sz w:val="20"/>
              </w:rPr>
              <w:t>45%</w:t>
            </w:r>
          </w:p>
        </w:tc>
        <w:tc>
          <w:tcPr>
            <w:tcW w:w="1260" w:type="dxa"/>
            <w:tcBorders>
              <w:top w:val="single" w:sz="4" w:space="0" w:color="auto"/>
              <w:left w:val="single" w:sz="4" w:space="0" w:color="auto"/>
              <w:bottom w:val="single" w:sz="4" w:space="0" w:color="auto"/>
              <w:right w:val="single" w:sz="4" w:space="0" w:color="auto"/>
            </w:tcBorders>
          </w:tcPr>
          <w:p w14:paraId="554443B1" w14:textId="77777777" w:rsidR="007104B7" w:rsidRDefault="007104B7" w:rsidP="007104B7">
            <w:pPr>
              <w:jc w:val="center"/>
              <w:rPr>
                <w:rFonts w:ascii="Arial" w:hAnsi="Arial" w:cs="Arial"/>
                <w:sz w:val="20"/>
              </w:rPr>
            </w:pPr>
          </w:p>
          <w:p w14:paraId="36E5C1C8" w14:textId="77777777" w:rsidR="007104B7" w:rsidRDefault="007104B7" w:rsidP="007104B7">
            <w:pPr>
              <w:jc w:val="center"/>
              <w:rPr>
                <w:rFonts w:ascii="Arial" w:hAnsi="Arial" w:cs="Arial"/>
                <w:sz w:val="20"/>
              </w:rPr>
            </w:pPr>
          </w:p>
          <w:p w14:paraId="2747DF63" w14:textId="77777777" w:rsidR="007104B7" w:rsidRDefault="007104B7" w:rsidP="007104B7">
            <w:pPr>
              <w:jc w:val="center"/>
              <w:rPr>
                <w:rFonts w:ascii="Arial" w:hAnsi="Arial" w:cs="Arial"/>
                <w:sz w:val="20"/>
              </w:rPr>
            </w:pPr>
          </w:p>
          <w:p w14:paraId="0B51A89E" w14:textId="77777777" w:rsidR="007104B7" w:rsidRDefault="007104B7" w:rsidP="007104B7">
            <w:pPr>
              <w:jc w:val="center"/>
              <w:rPr>
                <w:rFonts w:ascii="Arial" w:hAnsi="Arial" w:cs="Arial"/>
                <w:sz w:val="20"/>
              </w:rPr>
            </w:pPr>
            <w:r>
              <w:rPr>
                <w:rFonts w:ascii="Arial" w:hAnsi="Arial" w:cs="Arial"/>
                <w:sz w:val="20"/>
              </w:rPr>
              <w:t>53%</w:t>
            </w:r>
          </w:p>
          <w:p w14:paraId="5C2ED1E5" w14:textId="56BE6C18" w:rsidR="007104B7" w:rsidRPr="0044068C" w:rsidRDefault="007104B7" w:rsidP="007104B7">
            <w:pPr>
              <w:jc w:val="center"/>
              <w:rPr>
                <w:rFonts w:ascii="Arial" w:hAnsi="Arial" w:cs="Arial"/>
                <w:sz w:val="20"/>
              </w:rPr>
            </w:pPr>
            <w:r>
              <w:rPr>
                <w:rFonts w:ascii="Arial" w:hAnsi="Arial" w:cs="Arial"/>
                <w:sz w:val="20"/>
              </w:rPr>
              <w:t>47%</w:t>
            </w:r>
          </w:p>
        </w:tc>
        <w:tc>
          <w:tcPr>
            <w:tcW w:w="1439" w:type="dxa"/>
            <w:gridSpan w:val="2"/>
            <w:tcBorders>
              <w:top w:val="single" w:sz="4" w:space="0" w:color="auto"/>
              <w:left w:val="single" w:sz="4" w:space="0" w:color="auto"/>
              <w:bottom w:val="single" w:sz="4" w:space="0" w:color="auto"/>
              <w:right w:val="single" w:sz="4" w:space="0" w:color="auto"/>
            </w:tcBorders>
          </w:tcPr>
          <w:p w14:paraId="29B60E0D" w14:textId="77777777" w:rsidR="007104B7" w:rsidRDefault="007104B7" w:rsidP="007104B7">
            <w:pPr>
              <w:jc w:val="center"/>
              <w:rPr>
                <w:rFonts w:ascii="Arial" w:hAnsi="Arial" w:cs="Arial"/>
                <w:sz w:val="20"/>
              </w:rPr>
            </w:pPr>
          </w:p>
          <w:p w14:paraId="4845C0B2" w14:textId="77777777" w:rsidR="007104B7" w:rsidRDefault="007104B7" w:rsidP="007104B7">
            <w:pPr>
              <w:jc w:val="center"/>
              <w:rPr>
                <w:rFonts w:ascii="Arial" w:hAnsi="Arial" w:cs="Arial"/>
                <w:sz w:val="20"/>
              </w:rPr>
            </w:pPr>
          </w:p>
          <w:p w14:paraId="36FE3A71" w14:textId="77777777" w:rsidR="007104B7" w:rsidRDefault="007104B7" w:rsidP="007104B7">
            <w:pPr>
              <w:jc w:val="center"/>
              <w:rPr>
                <w:rFonts w:ascii="Arial" w:hAnsi="Arial" w:cs="Arial"/>
                <w:sz w:val="20"/>
              </w:rPr>
            </w:pPr>
          </w:p>
          <w:p w14:paraId="5214C95B" w14:textId="77777777" w:rsidR="007104B7" w:rsidRDefault="007104B7" w:rsidP="007104B7">
            <w:pPr>
              <w:jc w:val="center"/>
              <w:rPr>
                <w:rFonts w:ascii="Arial" w:hAnsi="Arial" w:cs="Arial"/>
                <w:sz w:val="20"/>
              </w:rPr>
            </w:pPr>
            <w:r>
              <w:rPr>
                <w:rFonts w:ascii="Arial" w:hAnsi="Arial" w:cs="Arial"/>
                <w:sz w:val="20"/>
              </w:rPr>
              <w:t>55%</w:t>
            </w:r>
          </w:p>
          <w:p w14:paraId="3047CF59" w14:textId="027D8CC4" w:rsidR="007104B7" w:rsidRPr="0044068C" w:rsidRDefault="007104B7" w:rsidP="007104B7">
            <w:pPr>
              <w:jc w:val="center"/>
              <w:rPr>
                <w:rFonts w:ascii="Arial" w:hAnsi="Arial" w:cs="Arial"/>
                <w:sz w:val="20"/>
              </w:rPr>
            </w:pPr>
            <w:r>
              <w:rPr>
                <w:rFonts w:ascii="Arial" w:hAnsi="Arial" w:cs="Arial"/>
                <w:sz w:val="20"/>
              </w:rPr>
              <w:t>45%</w:t>
            </w:r>
          </w:p>
        </w:tc>
        <w:tc>
          <w:tcPr>
            <w:tcW w:w="1260" w:type="dxa"/>
            <w:tcBorders>
              <w:top w:val="single" w:sz="4" w:space="0" w:color="auto"/>
              <w:left w:val="single" w:sz="4" w:space="0" w:color="auto"/>
              <w:bottom w:val="single" w:sz="4" w:space="0" w:color="auto"/>
              <w:right w:val="single" w:sz="4" w:space="0" w:color="auto"/>
            </w:tcBorders>
          </w:tcPr>
          <w:p w14:paraId="60E11A26" w14:textId="77777777" w:rsidR="007104B7" w:rsidRDefault="007104B7" w:rsidP="007104B7">
            <w:pPr>
              <w:jc w:val="center"/>
              <w:rPr>
                <w:rFonts w:ascii="Arial" w:hAnsi="Arial" w:cs="Arial"/>
                <w:sz w:val="20"/>
              </w:rPr>
            </w:pPr>
          </w:p>
          <w:p w14:paraId="6390A68E" w14:textId="6FF468FD" w:rsidR="007104B7" w:rsidRDefault="007104B7" w:rsidP="007104B7">
            <w:pPr>
              <w:jc w:val="center"/>
              <w:rPr>
                <w:rFonts w:ascii="Arial" w:hAnsi="Arial" w:cs="Arial"/>
                <w:sz w:val="20"/>
              </w:rPr>
            </w:pPr>
          </w:p>
        </w:tc>
      </w:tr>
      <w:tr w:rsidR="007104B7" w:rsidRPr="00301088" w14:paraId="22ABD0A7" w14:textId="66B9BCDB" w:rsidTr="00823743">
        <w:trPr>
          <w:trHeight w:val="1241"/>
        </w:trPr>
        <w:tc>
          <w:tcPr>
            <w:tcW w:w="4495" w:type="dxa"/>
            <w:gridSpan w:val="2"/>
            <w:tcBorders>
              <w:top w:val="single" w:sz="4" w:space="0" w:color="auto"/>
              <w:left w:val="single" w:sz="4" w:space="0" w:color="auto"/>
              <w:bottom w:val="single" w:sz="4" w:space="0" w:color="auto"/>
              <w:right w:val="single" w:sz="4" w:space="0" w:color="auto"/>
            </w:tcBorders>
          </w:tcPr>
          <w:p w14:paraId="7CFD1343" w14:textId="5C25457E" w:rsidR="007104B7" w:rsidRDefault="007104B7" w:rsidP="007104B7">
            <w:pPr>
              <w:rPr>
                <w:rFonts w:ascii="Arial" w:hAnsi="Arial" w:cs="Arial"/>
                <w:b/>
                <w:sz w:val="20"/>
                <w:szCs w:val="20"/>
                <w:vertAlign w:val="superscript"/>
              </w:rPr>
            </w:pPr>
            <w:r w:rsidRPr="00B94017">
              <w:rPr>
                <w:rFonts w:ascii="Arial" w:hAnsi="Arial" w:cs="Arial"/>
                <w:sz w:val="20"/>
                <w:szCs w:val="20"/>
              </w:rPr>
              <w:t xml:space="preserve">Total annual full-time equivalency (FTE) enrollment </w:t>
            </w:r>
            <w:r w:rsidRPr="00B94017">
              <w:rPr>
                <w:rFonts w:ascii="Arial" w:hAnsi="Arial" w:cs="Arial"/>
                <w:b/>
                <w:sz w:val="20"/>
                <w:szCs w:val="20"/>
                <w:vertAlign w:val="superscript"/>
              </w:rPr>
              <w:t>2</w:t>
            </w:r>
          </w:p>
          <w:p w14:paraId="1CE7CF9D" w14:textId="77777777" w:rsidR="007104B7" w:rsidRPr="00B94017" w:rsidRDefault="007104B7" w:rsidP="007104B7">
            <w:pPr>
              <w:rPr>
                <w:rFonts w:ascii="Arial" w:hAnsi="Arial" w:cs="Arial"/>
                <w:sz w:val="20"/>
                <w:szCs w:val="20"/>
              </w:rPr>
            </w:pPr>
          </w:p>
          <w:p w14:paraId="13D8E70E" w14:textId="77777777" w:rsidR="007104B7" w:rsidRPr="00B94017" w:rsidRDefault="007104B7" w:rsidP="007104B7">
            <w:pPr>
              <w:numPr>
                <w:ilvl w:val="0"/>
                <w:numId w:val="1"/>
              </w:numPr>
              <w:rPr>
                <w:rFonts w:ascii="Arial" w:hAnsi="Arial" w:cs="Arial"/>
                <w:sz w:val="20"/>
                <w:szCs w:val="20"/>
              </w:rPr>
            </w:pPr>
            <w:r w:rsidRPr="00B94017">
              <w:rPr>
                <w:rFonts w:ascii="Arial" w:hAnsi="Arial" w:cs="Arial"/>
                <w:sz w:val="20"/>
                <w:szCs w:val="20"/>
              </w:rPr>
              <w:t>Career Technical</w:t>
            </w:r>
          </w:p>
          <w:p w14:paraId="78547BFB" w14:textId="248FD314" w:rsidR="007104B7" w:rsidRPr="00D17FA6" w:rsidRDefault="007104B7" w:rsidP="007104B7">
            <w:pPr>
              <w:numPr>
                <w:ilvl w:val="0"/>
                <w:numId w:val="1"/>
              </w:numPr>
              <w:rPr>
                <w:rFonts w:ascii="Arial" w:hAnsi="Arial" w:cs="Arial"/>
                <w:sz w:val="20"/>
                <w:szCs w:val="20"/>
              </w:rPr>
            </w:pPr>
            <w:r w:rsidRPr="00D17FA6">
              <w:rPr>
                <w:rFonts w:ascii="Arial" w:hAnsi="Arial" w:cs="Arial"/>
                <w:sz w:val="20"/>
                <w:szCs w:val="20"/>
              </w:rPr>
              <w:t>Undergraduate</w:t>
            </w:r>
          </w:p>
          <w:p w14:paraId="34B3C930" w14:textId="77777777" w:rsidR="007104B7" w:rsidRPr="00B94017" w:rsidRDefault="007104B7" w:rsidP="007104B7">
            <w:pPr>
              <w:numPr>
                <w:ilvl w:val="0"/>
                <w:numId w:val="1"/>
              </w:numPr>
              <w:rPr>
                <w:rFonts w:ascii="Arial" w:hAnsi="Arial" w:cs="Arial"/>
                <w:sz w:val="20"/>
                <w:szCs w:val="20"/>
              </w:rPr>
            </w:pPr>
            <w:r w:rsidRPr="00B94017">
              <w:rPr>
                <w:rFonts w:ascii="Arial" w:hAnsi="Arial" w:cs="Arial"/>
                <w:sz w:val="20"/>
                <w:szCs w:val="20"/>
              </w:rPr>
              <w:t>Graduate</w:t>
            </w:r>
          </w:p>
        </w:tc>
        <w:tc>
          <w:tcPr>
            <w:tcW w:w="1620" w:type="dxa"/>
            <w:tcBorders>
              <w:top w:val="single" w:sz="4" w:space="0" w:color="auto"/>
              <w:left w:val="single" w:sz="4" w:space="0" w:color="auto"/>
              <w:bottom w:val="single" w:sz="4" w:space="0" w:color="auto"/>
              <w:right w:val="single" w:sz="4" w:space="0" w:color="auto"/>
            </w:tcBorders>
          </w:tcPr>
          <w:p w14:paraId="51C2529C" w14:textId="77777777" w:rsidR="007104B7" w:rsidRDefault="007104B7" w:rsidP="007104B7">
            <w:pPr>
              <w:jc w:val="center"/>
              <w:rPr>
                <w:rFonts w:ascii="Arial" w:hAnsi="Arial" w:cs="Arial"/>
                <w:b/>
                <w:sz w:val="20"/>
                <w:szCs w:val="20"/>
              </w:rPr>
            </w:pPr>
            <w:r>
              <w:rPr>
                <w:rFonts w:ascii="Arial" w:hAnsi="Arial" w:cs="Arial"/>
                <w:b/>
                <w:sz w:val="20"/>
                <w:szCs w:val="20"/>
              </w:rPr>
              <w:t>9,252</w:t>
            </w:r>
          </w:p>
          <w:p w14:paraId="26E7F980" w14:textId="77777777" w:rsidR="007104B7" w:rsidRDefault="007104B7" w:rsidP="007104B7">
            <w:pPr>
              <w:jc w:val="center"/>
              <w:rPr>
                <w:rFonts w:ascii="Arial" w:hAnsi="Arial" w:cs="Arial"/>
                <w:b/>
                <w:sz w:val="20"/>
                <w:szCs w:val="20"/>
              </w:rPr>
            </w:pPr>
          </w:p>
          <w:p w14:paraId="2C5B5A46" w14:textId="77777777" w:rsidR="007104B7" w:rsidRDefault="007104B7" w:rsidP="007104B7">
            <w:pPr>
              <w:jc w:val="center"/>
              <w:rPr>
                <w:rFonts w:ascii="Arial" w:hAnsi="Arial" w:cs="Arial"/>
                <w:sz w:val="20"/>
                <w:szCs w:val="20"/>
              </w:rPr>
            </w:pPr>
          </w:p>
          <w:p w14:paraId="47A300CD" w14:textId="77777777" w:rsidR="007104B7" w:rsidRDefault="007104B7" w:rsidP="007104B7">
            <w:pPr>
              <w:jc w:val="center"/>
              <w:rPr>
                <w:rFonts w:ascii="Arial" w:hAnsi="Arial" w:cs="Arial"/>
                <w:sz w:val="20"/>
                <w:szCs w:val="20"/>
              </w:rPr>
            </w:pPr>
            <w:r w:rsidRPr="00213983">
              <w:rPr>
                <w:rFonts w:ascii="Arial" w:hAnsi="Arial" w:cs="Arial"/>
                <w:sz w:val="20"/>
                <w:szCs w:val="20"/>
              </w:rPr>
              <w:t>711</w:t>
            </w:r>
          </w:p>
          <w:p w14:paraId="53629C5A" w14:textId="77777777" w:rsidR="007104B7" w:rsidRDefault="007104B7" w:rsidP="007104B7">
            <w:pPr>
              <w:jc w:val="center"/>
              <w:rPr>
                <w:rFonts w:ascii="Arial" w:hAnsi="Arial" w:cs="Arial"/>
                <w:sz w:val="20"/>
                <w:szCs w:val="20"/>
              </w:rPr>
            </w:pPr>
            <w:r>
              <w:rPr>
                <w:rFonts w:ascii="Arial" w:hAnsi="Arial" w:cs="Arial"/>
                <w:sz w:val="20"/>
                <w:szCs w:val="20"/>
              </w:rPr>
              <w:t>6,191</w:t>
            </w:r>
          </w:p>
          <w:p w14:paraId="5F872FB3" w14:textId="09150769" w:rsidR="007104B7" w:rsidRPr="00B94017" w:rsidRDefault="007104B7" w:rsidP="007104B7">
            <w:pPr>
              <w:jc w:val="center"/>
              <w:rPr>
                <w:rFonts w:ascii="Arial" w:hAnsi="Arial" w:cs="Arial"/>
                <w:b/>
                <w:sz w:val="20"/>
                <w:szCs w:val="20"/>
              </w:rPr>
            </w:pPr>
            <w:r>
              <w:rPr>
                <w:rFonts w:ascii="Arial" w:hAnsi="Arial" w:cs="Arial"/>
                <w:sz w:val="20"/>
                <w:szCs w:val="20"/>
              </w:rPr>
              <w:t>2,350</w:t>
            </w:r>
          </w:p>
        </w:tc>
        <w:tc>
          <w:tcPr>
            <w:tcW w:w="1260" w:type="dxa"/>
            <w:tcBorders>
              <w:top w:val="single" w:sz="4" w:space="0" w:color="auto"/>
              <w:left w:val="single" w:sz="4" w:space="0" w:color="auto"/>
              <w:bottom w:val="single" w:sz="4" w:space="0" w:color="auto"/>
              <w:right w:val="single" w:sz="4" w:space="0" w:color="auto"/>
            </w:tcBorders>
          </w:tcPr>
          <w:p w14:paraId="0B4A9256" w14:textId="77777777" w:rsidR="007104B7" w:rsidRDefault="007104B7" w:rsidP="007104B7">
            <w:pPr>
              <w:jc w:val="center"/>
              <w:rPr>
                <w:rFonts w:ascii="Arial" w:hAnsi="Arial" w:cs="Arial"/>
                <w:b/>
                <w:sz w:val="20"/>
                <w:szCs w:val="20"/>
              </w:rPr>
            </w:pPr>
            <w:r>
              <w:rPr>
                <w:rFonts w:ascii="Arial" w:hAnsi="Arial" w:cs="Arial"/>
                <w:b/>
                <w:sz w:val="20"/>
                <w:szCs w:val="20"/>
              </w:rPr>
              <w:t>9,216</w:t>
            </w:r>
          </w:p>
          <w:p w14:paraId="46DCAD75" w14:textId="77777777" w:rsidR="007104B7" w:rsidRDefault="007104B7" w:rsidP="007104B7">
            <w:pPr>
              <w:jc w:val="center"/>
              <w:rPr>
                <w:rFonts w:ascii="Arial" w:hAnsi="Arial" w:cs="Arial"/>
                <w:b/>
                <w:sz w:val="20"/>
                <w:szCs w:val="20"/>
              </w:rPr>
            </w:pPr>
          </w:p>
          <w:p w14:paraId="1AF72E88" w14:textId="77777777" w:rsidR="007104B7" w:rsidRDefault="007104B7" w:rsidP="007104B7">
            <w:pPr>
              <w:jc w:val="center"/>
              <w:rPr>
                <w:rFonts w:ascii="Arial" w:hAnsi="Arial" w:cs="Arial"/>
                <w:sz w:val="20"/>
                <w:szCs w:val="20"/>
              </w:rPr>
            </w:pPr>
          </w:p>
          <w:p w14:paraId="17C0E6C2" w14:textId="77777777" w:rsidR="007104B7" w:rsidRPr="00D17FA6" w:rsidRDefault="007104B7" w:rsidP="007104B7">
            <w:pPr>
              <w:jc w:val="center"/>
              <w:rPr>
                <w:rFonts w:ascii="Arial" w:hAnsi="Arial" w:cs="Arial"/>
                <w:sz w:val="20"/>
                <w:szCs w:val="20"/>
              </w:rPr>
            </w:pPr>
            <w:r w:rsidRPr="00D17FA6">
              <w:rPr>
                <w:rFonts w:ascii="Arial" w:hAnsi="Arial" w:cs="Arial"/>
                <w:sz w:val="20"/>
                <w:szCs w:val="20"/>
              </w:rPr>
              <w:t>685</w:t>
            </w:r>
          </w:p>
          <w:p w14:paraId="5E6161AA" w14:textId="77777777" w:rsidR="007104B7" w:rsidRPr="00D17FA6" w:rsidRDefault="007104B7" w:rsidP="007104B7">
            <w:pPr>
              <w:jc w:val="center"/>
              <w:rPr>
                <w:rFonts w:ascii="Arial" w:hAnsi="Arial" w:cs="Arial"/>
                <w:sz w:val="20"/>
                <w:szCs w:val="20"/>
              </w:rPr>
            </w:pPr>
            <w:r w:rsidRPr="00D17FA6">
              <w:rPr>
                <w:rFonts w:ascii="Arial" w:hAnsi="Arial" w:cs="Arial"/>
                <w:sz w:val="20"/>
                <w:szCs w:val="20"/>
              </w:rPr>
              <w:t>6</w:t>
            </w:r>
            <w:r>
              <w:rPr>
                <w:rFonts w:ascii="Arial" w:hAnsi="Arial" w:cs="Arial"/>
                <w:sz w:val="20"/>
                <w:szCs w:val="20"/>
              </w:rPr>
              <w:t>,</w:t>
            </w:r>
            <w:r w:rsidRPr="00D17FA6">
              <w:rPr>
                <w:rFonts w:ascii="Arial" w:hAnsi="Arial" w:cs="Arial"/>
                <w:sz w:val="20"/>
                <w:szCs w:val="20"/>
              </w:rPr>
              <w:t>196</w:t>
            </w:r>
          </w:p>
          <w:p w14:paraId="603DDB37" w14:textId="58EC91A5" w:rsidR="007104B7" w:rsidRPr="00B94017" w:rsidRDefault="007104B7" w:rsidP="007104B7">
            <w:pPr>
              <w:jc w:val="center"/>
              <w:rPr>
                <w:rFonts w:ascii="Arial" w:hAnsi="Arial" w:cs="Arial"/>
                <w:b/>
                <w:sz w:val="20"/>
                <w:szCs w:val="20"/>
              </w:rPr>
            </w:pPr>
            <w:r w:rsidRPr="00D17FA6">
              <w:rPr>
                <w:rFonts w:ascii="Arial" w:hAnsi="Arial" w:cs="Arial"/>
                <w:sz w:val="20"/>
                <w:szCs w:val="20"/>
              </w:rPr>
              <w:t>2</w:t>
            </w:r>
            <w:r>
              <w:rPr>
                <w:rFonts w:ascii="Arial" w:hAnsi="Arial" w:cs="Arial"/>
                <w:sz w:val="20"/>
                <w:szCs w:val="20"/>
              </w:rPr>
              <w:t>,</w:t>
            </w:r>
            <w:r w:rsidRPr="00D17FA6">
              <w:rPr>
                <w:rFonts w:ascii="Arial" w:hAnsi="Arial" w:cs="Arial"/>
                <w:sz w:val="20"/>
                <w:szCs w:val="20"/>
              </w:rPr>
              <w:t>335</w:t>
            </w:r>
          </w:p>
        </w:tc>
        <w:tc>
          <w:tcPr>
            <w:tcW w:w="1439" w:type="dxa"/>
            <w:gridSpan w:val="2"/>
            <w:tcBorders>
              <w:top w:val="single" w:sz="4" w:space="0" w:color="auto"/>
              <w:left w:val="single" w:sz="4" w:space="0" w:color="auto"/>
              <w:bottom w:val="single" w:sz="4" w:space="0" w:color="auto"/>
              <w:right w:val="single" w:sz="4" w:space="0" w:color="auto"/>
            </w:tcBorders>
          </w:tcPr>
          <w:p w14:paraId="3553D479" w14:textId="77777777" w:rsidR="007104B7" w:rsidRDefault="007104B7" w:rsidP="007104B7">
            <w:pPr>
              <w:jc w:val="center"/>
              <w:rPr>
                <w:rFonts w:ascii="Arial" w:hAnsi="Arial" w:cs="Arial"/>
                <w:b/>
                <w:sz w:val="20"/>
                <w:szCs w:val="20"/>
              </w:rPr>
            </w:pPr>
            <w:r>
              <w:rPr>
                <w:rFonts w:ascii="Arial" w:hAnsi="Arial" w:cs="Arial"/>
                <w:b/>
                <w:sz w:val="20"/>
                <w:szCs w:val="20"/>
              </w:rPr>
              <w:t>9,544</w:t>
            </w:r>
          </w:p>
          <w:p w14:paraId="6C0AF96D" w14:textId="77777777" w:rsidR="007104B7" w:rsidRDefault="007104B7" w:rsidP="007104B7">
            <w:pPr>
              <w:jc w:val="center"/>
              <w:rPr>
                <w:rFonts w:ascii="Arial" w:hAnsi="Arial" w:cs="Arial"/>
                <w:b/>
                <w:sz w:val="20"/>
                <w:szCs w:val="20"/>
              </w:rPr>
            </w:pPr>
          </w:p>
          <w:p w14:paraId="7C0FB1C5" w14:textId="77777777" w:rsidR="007104B7" w:rsidRDefault="007104B7" w:rsidP="007104B7">
            <w:pPr>
              <w:jc w:val="center"/>
              <w:rPr>
                <w:rFonts w:ascii="Arial" w:hAnsi="Arial" w:cs="Arial"/>
                <w:b/>
                <w:sz w:val="20"/>
                <w:szCs w:val="20"/>
              </w:rPr>
            </w:pPr>
          </w:p>
          <w:p w14:paraId="0123D76B" w14:textId="77777777" w:rsidR="007104B7" w:rsidRPr="00360F8E" w:rsidRDefault="007104B7" w:rsidP="007104B7">
            <w:pPr>
              <w:jc w:val="center"/>
              <w:rPr>
                <w:rFonts w:ascii="Arial" w:hAnsi="Arial" w:cs="Arial"/>
                <w:sz w:val="20"/>
                <w:szCs w:val="20"/>
              </w:rPr>
            </w:pPr>
            <w:r w:rsidRPr="00360F8E">
              <w:rPr>
                <w:rFonts w:ascii="Arial" w:hAnsi="Arial" w:cs="Arial"/>
                <w:sz w:val="20"/>
                <w:szCs w:val="20"/>
              </w:rPr>
              <w:t>766</w:t>
            </w:r>
          </w:p>
          <w:p w14:paraId="570BD94B" w14:textId="77777777" w:rsidR="007104B7" w:rsidRPr="00360F8E" w:rsidRDefault="007104B7" w:rsidP="007104B7">
            <w:pPr>
              <w:jc w:val="center"/>
              <w:rPr>
                <w:rFonts w:ascii="Arial" w:hAnsi="Arial" w:cs="Arial"/>
                <w:sz w:val="20"/>
                <w:szCs w:val="20"/>
              </w:rPr>
            </w:pPr>
            <w:r w:rsidRPr="00360F8E">
              <w:rPr>
                <w:rFonts w:ascii="Arial" w:hAnsi="Arial" w:cs="Arial"/>
                <w:sz w:val="20"/>
                <w:szCs w:val="20"/>
              </w:rPr>
              <w:t>6,516</w:t>
            </w:r>
          </w:p>
          <w:p w14:paraId="4104887C" w14:textId="7C9BFFA4" w:rsidR="007104B7" w:rsidRPr="00B94017" w:rsidRDefault="007104B7" w:rsidP="007104B7">
            <w:pPr>
              <w:jc w:val="center"/>
              <w:rPr>
                <w:rFonts w:ascii="Arial" w:hAnsi="Arial" w:cs="Arial"/>
                <w:b/>
                <w:sz w:val="20"/>
                <w:szCs w:val="20"/>
              </w:rPr>
            </w:pPr>
            <w:r w:rsidRPr="00360F8E">
              <w:rPr>
                <w:rFonts w:ascii="Arial" w:hAnsi="Arial" w:cs="Arial"/>
                <w:sz w:val="20"/>
                <w:szCs w:val="20"/>
              </w:rPr>
              <w:t>2,262</w:t>
            </w:r>
          </w:p>
        </w:tc>
        <w:tc>
          <w:tcPr>
            <w:tcW w:w="1260" w:type="dxa"/>
            <w:tcBorders>
              <w:top w:val="single" w:sz="4" w:space="0" w:color="auto"/>
              <w:left w:val="single" w:sz="4" w:space="0" w:color="auto"/>
              <w:bottom w:val="single" w:sz="4" w:space="0" w:color="auto"/>
              <w:right w:val="single" w:sz="4" w:space="0" w:color="auto"/>
            </w:tcBorders>
          </w:tcPr>
          <w:p w14:paraId="5A07C911" w14:textId="0E6C9B7D" w:rsidR="007104B7" w:rsidRDefault="007104B7" w:rsidP="007104B7">
            <w:pPr>
              <w:jc w:val="center"/>
              <w:rPr>
                <w:rFonts w:ascii="Arial" w:hAnsi="Arial" w:cs="Arial"/>
                <w:b/>
                <w:sz w:val="20"/>
                <w:szCs w:val="20"/>
              </w:rPr>
            </w:pPr>
          </w:p>
        </w:tc>
      </w:tr>
      <w:tr w:rsidR="007104B7" w:rsidRPr="00301088" w14:paraId="6B36EB35" w14:textId="744A96CB" w:rsidTr="00823743">
        <w:trPr>
          <w:trHeight w:val="1250"/>
        </w:trPr>
        <w:tc>
          <w:tcPr>
            <w:tcW w:w="4495" w:type="dxa"/>
            <w:gridSpan w:val="2"/>
            <w:tcBorders>
              <w:top w:val="single" w:sz="4" w:space="0" w:color="auto"/>
              <w:left w:val="single" w:sz="4" w:space="0" w:color="auto"/>
              <w:bottom w:val="single" w:sz="4" w:space="0" w:color="auto"/>
              <w:right w:val="single" w:sz="4" w:space="0" w:color="auto"/>
            </w:tcBorders>
          </w:tcPr>
          <w:p w14:paraId="34704CD8" w14:textId="77777777" w:rsidR="007104B7" w:rsidRPr="00B94017" w:rsidRDefault="007104B7" w:rsidP="007104B7">
            <w:pPr>
              <w:rPr>
                <w:rFonts w:ascii="Arial" w:hAnsi="Arial" w:cs="Arial"/>
                <w:sz w:val="20"/>
                <w:szCs w:val="20"/>
              </w:rPr>
            </w:pPr>
            <w:r w:rsidRPr="00B94017">
              <w:rPr>
                <w:rFonts w:ascii="Arial" w:hAnsi="Arial" w:cs="Arial"/>
                <w:sz w:val="20"/>
                <w:szCs w:val="20"/>
              </w:rPr>
              <w:lastRenderedPageBreak/>
              <w:t>Total credit hours taught</w:t>
            </w:r>
            <w:proofErr w:type="gramStart"/>
            <w:r w:rsidRPr="00B94017">
              <w:rPr>
                <w:rFonts w:ascii="Arial" w:hAnsi="Arial" w:cs="Arial"/>
                <w:sz w:val="20"/>
                <w:szCs w:val="20"/>
              </w:rPr>
              <w:t>:</w:t>
            </w:r>
            <w:r w:rsidRPr="00B94017">
              <w:rPr>
                <w:rFonts w:ascii="Arial" w:hAnsi="Arial" w:cs="Arial"/>
                <w:b/>
                <w:sz w:val="20"/>
                <w:szCs w:val="20"/>
                <w:vertAlign w:val="superscript"/>
              </w:rPr>
              <w:t xml:space="preserve">  3</w:t>
            </w:r>
            <w:proofErr w:type="gramEnd"/>
          </w:p>
          <w:p w14:paraId="5340BA75" w14:textId="77777777" w:rsidR="007104B7" w:rsidRPr="00B94017" w:rsidRDefault="007104B7" w:rsidP="007104B7">
            <w:pPr>
              <w:pStyle w:val="ListParagraph"/>
              <w:numPr>
                <w:ilvl w:val="0"/>
                <w:numId w:val="3"/>
              </w:numPr>
              <w:ind w:left="340" w:hanging="340"/>
              <w:rPr>
                <w:rFonts w:ascii="Arial" w:hAnsi="Arial" w:cs="Arial"/>
                <w:sz w:val="20"/>
                <w:szCs w:val="20"/>
              </w:rPr>
            </w:pPr>
            <w:r w:rsidRPr="00B94017">
              <w:rPr>
                <w:rFonts w:ascii="Arial" w:hAnsi="Arial" w:cs="Arial"/>
                <w:sz w:val="20"/>
                <w:szCs w:val="20"/>
              </w:rPr>
              <w:t>Career Technical credit hours</w:t>
            </w:r>
          </w:p>
          <w:p w14:paraId="753DF8FC" w14:textId="77777777" w:rsidR="007104B7" w:rsidRPr="00B94017" w:rsidRDefault="007104B7" w:rsidP="007104B7">
            <w:pPr>
              <w:numPr>
                <w:ilvl w:val="0"/>
                <w:numId w:val="2"/>
              </w:numPr>
              <w:ind w:left="360"/>
              <w:rPr>
                <w:rFonts w:ascii="Arial" w:hAnsi="Arial" w:cs="Arial"/>
                <w:sz w:val="20"/>
                <w:szCs w:val="20"/>
              </w:rPr>
            </w:pPr>
            <w:r w:rsidRPr="00B94017">
              <w:rPr>
                <w:rFonts w:ascii="Arial" w:hAnsi="Arial" w:cs="Arial"/>
                <w:sz w:val="20"/>
                <w:szCs w:val="20"/>
              </w:rPr>
              <w:t>Academic credit hours</w:t>
            </w:r>
          </w:p>
          <w:p w14:paraId="6585DD9F" w14:textId="77777777" w:rsidR="007104B7" w:rsidRPr="00B94017" w:rsidRDefault="007104B7" w:rsidP="007104B7">
            <w:pPr>
              <w:numPr>
                <w:ilvl w:val="1"/>
                <w:numId w:val="2"/>
              </w:numPr>
              <w:ind w:left="700"/>
              <w:rPr>
                <w:rFonts w:ascii="Arial" w:hAnsi="Arial" w:cs="Arial"/>
                <w:sz w:val="20"/>
                <w:szCs w:val="20"/>
              </w:rPr>
            </w:pPr>
            <w:r w:rsidRPr="00B94017">
              <w:rPr>
                <w:rFonts w:ascii="Arial" w:hAnsi="Arial" w:cs="Arial"/>
                <w:sz w:val="20"/>
                <w:szCs w:val="20"/>
              </w:rPr>
              <w:t>Undergraduate credit hours</w:t>
            </w:r>
          </w:p>
          <w:p w14:paraId="5B940330" w14:textId="77777777" w:rsidR="007104B7" w:rsidRPr="00B94017" w:rsidRDefault="007104B7" w:rsidP="007104B7">
            <w:pPr>
              <w:numPr>
                <w:ilvl w:val="1"/>
                <w:numId w:val="2"/>
              </w:numPr>
              <w:ind w:left="700"/>
              <w:rPr>
                <w:rFonts w:ascii="Arial" w:hAnsi="Arial" w:cs="Arial"/>
                <w:sz w:val="20"/>
                <w:szCs w:val="20"/>
              </w:rPr>
            </w:pPr>
            <w:r w:rsidRPr="00B94017">
              <w:rPr>
                <w:rFonts w:ascii="Arial" w:hAnsi="Arial" w:cs="Arial"/>
                <w:sz w:val="20"/>
                <w:szCs w:val="20"/>
              </w:rPr>
              <w:t>Graduate credit hours</w:t>
            </w:r>
          </w:p>
        </w:tc>
        <w:tc>
          <w:tcPr>
            <w:tcW w:w="1620" w:type="dxa"/>
            <w:tcBorders>
              <w:top w:val="single" w:sz="4" w:space="0" w:color="auto"/>
              <w:left w:val="single" w:sz="4" w:space="0" w:color="auto"/>
              <w:bottom w:val="single" w:sz="4" w:space="0" w:color="auto"/>
              <w:right w:val="single" w:sz="4" w:space="0" w:color="auto"/>
            </w:tcBorders>
          </w:tcPr>
          <w:p w14:paraId="0ECEB62B" w14:textId="77777777" w:rsidR="007104B7" w:rsidRPr="000944F6" w:rsidRDefault="007104B7" w:rsidP="007104B7">
            <w:pPr>
              <w:jc w:val="center"/>
              <w:rPr>
                <w:rFonts w:ascii="Arial" w:hAnsi="Arial" w:cs="Arial"/>
                <w:b/>
                <w:sz w:val="20"/>
                <w:szCs w:val="20"/>
              </w:rPr>
            </w:pPr>
            <w:r w:rsidRPr="000944F6">
              <w:rPr>
                <w:rFonts w:ascii="Arial" w:hAnsi="Arial" w:cs="Arial"/>
                <w:b/>
                <w:sz w:val="20"/>
                <w:szCs w:val="20"/>
              </w:rPr>
              <w:t>263,467</w:t>
            </w:r>
          </w:p>
          <w:p w14:paraId="2B2F4BCA" w14:textId="77777777" w:rsidR="007104B7" w:rsidRDefault="007104B7" w:rsidP="007104B7">
            <w:pPr>
              <w:jc w:val="center"/>
              <w:rPr>
                <w:rFonts w:ascii="Arial" w:hAnsi="Arial" w:cs="Arial"/>
                <w:sz w:val="20"/>
                <w:szCs w:val="20"/>
              </w:rPr>
            </w:pPr>
            <w:r>
              <w:rPr>
                <w:rFonts w:ascii="Arial" w:hAnsi="Arial" w:cs="Arial"/>
                <w:sz w:val="20"/>
                <w:szCs w:val="20"/>
              </w:rPr>
              <w:t>21,334</w:t>
            </w:r>
          </w:p>
          <w:p w14:paraId="507B58C0" w14:textId="77777777" w:rsidR="007104B7" w:rsidRDefault="007104B7" w:rsidP="007104B7">
            <w:pPr>
              <w:jc w:val="center"/>
              <w:rPr>
                <w:rFonts w:ascii="Arial" w:hAnsi="Arial" w:cs="Arial"/>
                <w:sz w:val="20"/>
                <w:szCs w:val="20"/>
              </w:rPr>
            </w:pPr>
            <w:r>
              <w:rPr>
                <w:rFonts w:ascii="Arial" w:hAnsi="Arial" w:cs="Arial"/>
                <w:sz w:val="20"/>
                <w:szCs w:val="20"/>
              </w:rPr>
              <w:t>242,133</w:t>
            </w:r>
          </w:p>
          <w:p w14:paraId="2708ABD2" w14:textId="77777777" w:rsidR="007104B7" w:rsidRDefault="007104B7" w:rsidP="007104B7">
            <w:pPr>
              <w:jc w:val="center"/>
              <w:rPr>
                <w:rFonts w:ascii="Arial" w:hAnsi="Arial" w:cs="Arial"/>
                <w:sz w:val="20"/>
                <w:szCs w:val="20"/>
              </w:rPr>
            </w:pPr>
            <w:r>
              <w:rPr>
                <w:rFonts w:ascii="Arial" w:hAnsi="Arial" w:cs="Arial"/>
                <w:sz w:val="20"/>
                <w:szCs w:val="20"/>
              </w:rPr>
              <w:t>185,725</w:t>
            </w:r>
          </w:p>
          <w:p w14:paraId="12B46A9D" w14:textId="77777777" w:rsidR="007104B7" w:rsidRDefault="007104B7" w:rsidP="007104B7">
            <w:pPr>
              <w:jc w:val="center"/>
              <w:rPr>
                <w:rFonts w:ascii="Arial" w:hAnsi="Arial" w:cs="Arial"/>
                <w:sz w:val="20"/>
                <w:szCs w:val="20"/>
              </w:rPr>
            </w:pPr>
          </w:p>
          <w:p w14:paraId="33FE1246" w14:textId="2E6ABBEA" w:rsidR="007104B7" w:rsidRPr="00B94017" w:rsidRDefault="007104B7" w:rsidP="007104B7">
            <w:pPr>
              <w:jc w:val="center"/>
              <w:rPr>
                <w:rFonts w:ascii="Arial" w:hAnsi="Arial" w:cs="Arial"/>
                <w:sz w:val="20"/>
                <w:szCs w:val="20"/>
              </w:rPr>
            </w:pPr>
            <w:r>
              <w:rPr>
                <w:rFonts w:ascii="Arial" w:hAnsi="Arial" w:cs="Arial"/>
                <w:sz w:val="20"/>
                <w:szCs w:val="20"/>
              </w:rPr>
              <w:t>56,408</w:t>
            </w:r>
          </w:p>
        </w:tc>
        <w:tc>
          <w:tcPr>
            <w:tcW w:w="1260" w:type="dxa"/>
            <w:tcBorders>
              <w:top w:val="single" w:sz="4" w:space="0" w:color="auto"/>
              <w:left w:val="single" w:sz="4" w:space="0" w:color="auto"/>
              <w:bottom w:val="single" w:sz="4" w:space="0" w:color="auto"/>
              <w:right w:val="single" w:sz="4" w:space="0" w:color="auto"/>
            </w:tcBorders>
          </w:tcPr>
          <w:p w14:paraId="5758F79A" w14:textId="77777777" w:rsidR="007104B7" w:rsidRDefault="007104B7" w:rsidP="007104B7">
            <w:pPr>
              <w:jc w:val="center"/>
              <w:rPr>
                <w:rFonts w:ascii="Arial" w:hAnsi="Arial" w:cs="Arial"/>
                <w:b/>
                <w:sz w:val="20"/>
                <w:szCs w:val="20"/>
              </w:rPr>
            </w:pPr>
            <w:r>
              <w:rPr>
                <w:rFonts w:ascii="Arial" w:hAnsi="Arial" w:cs="Arial"/>
                <w:b/>
                <w:sz w:val="20"/>
                <w:szCs w:val="20"/>
              </w:rPr>
              <w:t>262,479</w:t>
            </w:r>
          </w:p>
          <w:p w14:paraId="0B1FC08A" w14:textId="77777777" w:rsidR="007104B7" w:rsidRPr="00C45977" w:rsidRDefault="007104B7" w:rsidP="007104B7">
            <w:pPr>
              <w:jc w:val="center"/>
              <w:rPr>
                <w:rFonts w:ascii="Arial" w:hAnsi="Arial" w:cs="Arial"/>
                <w:sz w:val="20"/>
                <w:szCs w:val="20"/>
              </w:rPr>
            </w:pPr>
            <w:r w:rsidRPr="00C45977">
              <w:rPr>
                <w:rFonts w:ascii="Arial" w:hAnsi="Arial" w:cs="Arial"/>
                <w:sz w:val="20"/>
                <w:szCs w:val="20"/>
              </w:rPr>
              <w:t>20,546</w:t>
            </w:r>
          </w:p>
          <w:p w14:paraId="5C2A2FB2" w14:textId="77777777" w:rsidR="007104B7" w:rsidRDefault="007104B7" w:rsidP="007104B7">
            <w:pPr>
              <w:jc w:val="center"/>
              <w:rPr>
                <w:rFonts w:ascii="Arial" w:hAnsi="Arial" w:cs="Arial"/>
                <w:sz w:val="20"/>
                <w:szCs w:val="20"/>
              </w:rPr>
            </w:pPr>
            <w:r>
              <w:rPr>
                <w:rFonts w:ascii="Arial" w:hAnsi="Arial" w:cs="Arial"/>
                <w:sz w:val="20"/>
                <w:szCs w:val="20"/>
              </w:rPr>
              <w:t>241,933</w:t>
            </w:r>
          </w:p>
          <w:p w14:paraId="59749707" w14:textId="77777777" w:rsidR="007104B7" w:rsidRDefault="007104B7" w:rsidP="007104B7">
            <w:pPr>
              <w:jc w:val="center"/>
              <w:rPr>
                <w:rFonts w:ascii="Arial" w:hAnsi="Arial" w:cs="Arial"/>
                <w:sz w:val="20"/>
                <w:szCs w:val="20"/>
              </w:rPr>
            </w:pPr>
            <w:r w:rsidRPr="00C45977">
              <w:rPr>
                <w:rFonts w:ascii="Arial" w:hAnsi="Arial" w:cs="Arial"/>
                <w:sz w:val="20"/>
                <w:szCs w:val="20"/>
              </w:rPr>
              <w:t>185,886</w:t>
            </w:r>
          </w:p>
          <w:p w14:paraId="68D2DFCD" w14:textId="77777777" w:rsidR="007104B7" w:rsidRDefault="007104B7" w:rsidP="007104B7">
            <w:pPr>
              <w:jc w:val="center"/>
              <w:rPr>
                <w:rFonts w:ascii="Arial" w:hAnsi="Arial" w:cs="Arial"/>
                <w:sz w:val="20"/>
                <w:szCs w:val="20"/>
              </w:rPr>
            </w:pPr>
          </w:p>
          <w:p w14:paraId="350FC4F2" w14:textId="7CE0A9C4" w:rsidR="007104B7" w:rsidRPr="00B94017" w:rsidRDefault="007104B7" w:rsidP="007104B7">
            <w:pPr>
              <w:jc w:val="center"/>
              <w:rPr>
                <w:rFonts w:ascii="Arial" w:hAnsi="Arial" w:cs="Arial"/>
                <w:sz w:val="20"/>
                <w:szCs w:val="20"/>
              </w:rPr>
            </w:pPr>
            <w:r>
              <w:rPr>
                <w:rFonts w:ascii="Arial" w:hAnsi="Arial" w:cs="Arial"/>
                <w:sz w:val="20"/>
                <w:szCs w:val="20"/>
              </w:rPr>
              <w:t>56,047</w:t>
            </w:r>
          </w:p>
        </w:tc>
        <w:tc>
          <w:tcPr>
            <w:tcW w:w="1439" w:type="dxa"/>
            <w:gridSpan w:val="2"/>
            <w:tcBorders>
              <w:top w:val="single" w:sz="4" w:space="0" w:color="auto"/>
              <w:left w:val="single" w:sz="4" w:space="0" w:color="auto"/>
              <w:bottom w:val="single" w:sz="4" w:space="0" w:color="auto"/>
              <w:right w:val="single" w:sz="4" w:space="0" w:color="auto"/>
            </w:tcBorders>
          </w:tcPr>
          <w:p w14:paraId="402CC4EA" w14:textId="77777777" w:rsidR="007104B7" w:rsidRDefault="007104B7" w:rsidP="007104B7">
            <w:pPr>
              <w:jc w:val="center"/>
              <w:rPr>
                <w:rFonts w:ascii="Arial" w:hAnsi="Arial" w:cs="Arial"/>
                <w:b/>
                <w:sz w:val="20"/>
                <w:szCs w:val="20"/>
              </w:rPr>
            </w:pPr>
            <w:r>
              <w:rPr>
                <w:rFonts w:ascii="Arial" w:hAnsi="Arial" w:cs="Arial"/>
                <w:b/>
                <w:sz w:val="20"/>
                <w:szCs w:val="20"/>
              </w:rPr>
              <w:t>272,738</w:t>
            </w:r>
          </w:p>
          <w:p w14:paraId="108B0D64" w14:textId="77777777" w:rsidR="007104B7" w:rsidRPr="00C45977" w:rsidRDefault="007104B7" w:rsidP="007104B7">
            <w:pPr>
              <w:jc w:val="center"/>
              <w:rPr>
                <w:rFonts w:ascii="Arial" w:hAnsi="Arial" w:cs="Arial"/>
                <w:sz w:val="20"/>
                <w:szCs w:val="20"/>
              </w:rPr>
            </w:pPr>
            <w:r>
              <w:rPr>
                <w:rFonts w:ascii="Arial" w:hAnsi="Arial" w:cs="Arial"/>
                <w:sz w:val="20"/>
                <w:szCs w:val="20"/>
              </w:rPr>
              <w:t>22,985</w:t>
            </w:r>
          </w:p>
          <w:p w14:paraId="418D7AA3" w14:textId="77777777" w:rsidR="007104B7" w:rsidRDefault="007104B7" w:rsidP="007104B7">
            <w:pPr>
              <w:jc w:val="center"/>
              <w:rPr>
                <w:rFonts w:ascii="Arial" w:hAnsi="Arial" w:cs="Arial"/>
                <w:sz w:val="20"/>
                <w:szCs w:val="20"/>
              </w:rPr>
            </w:pPr>
            <w:r>
              <w:rPr>
                <w:rFonts w:ascii="Arial" w:hAnsi="Arial" w:cs="Arial"/>
                <w:sz w:val="20"/>
                <w:szCs w:val="20"/>
              </w:rPr>
              <w:t>249,753</w:t>
            </w:r>
          </w:p>
          <w:p w14:paraId="6BA699BA" w14:textId="77777777" w:rsidR="007104B7" w:rsidRDefault="007104B7" w:rsidP="007104B7">
            <w:pPr>
              <w:jc w:val="center"/>
              <w:rPr>
                <w:rFonts w:ascii="Arial" w:hAnsi="Arial" w:cs="Arial"/>
                <w:sz w:val="20"/>
                <w:szCs w:val="20"/>
              </w:rPr>
            </w:pPr>
            <w:r>
              <w:rPr>
                <w:rFonts w:ascii="Arial" w:hAnsi="Arial" w:cs="Arial"/>
                <w:sz w:val="20"/>
                <w:szCs w:val="20"/>
              </w:rPr>
              <w:t>195,465</w:t>
            </w:r>
          </w:p>
          <w:p w14:paraId="71645E97" w14:textId="77777777" w:rsidR="007104B7" w:rsidRDefault="007104B7" w:rsidP="007104B7">
            <w:pPr>
              <w:jc w:val="center"/>
              <w:rPr>
                <w:rFonts w:ascii="Arial" w:hAnsi="Arial" w:cs="Arial"/>
                <w:sz w:val="20"/>
                <w:szCs w:val="20"/>
              </w:rPr>
            </w:pPr>
          </w:p>
          <w:p w14:paraId="1A8A0709" w14:textId="328DC7F5" w:rsidR="007104B7" w:rsidRPr="00B94017" w:rsidRDefault="007104B7" w:rsidP="007104B7">
            <w:pPr>
              <w:jc w:val="center"/>
              <w:rPr>
                <w:rFonts w:ascii="Arial" w:hAnsi="Arial" w:cs="Arial"/>
                <w:sz w:val="20"/>
                <w:szCs w:val="20"/>
              </w:rPr>
            </w:pPr>
            <w:r>
              <w:rPr>
                <w:rFonts w:ascii="Arial" w:hAnsi="Arial" w:cs="Arial"/>
                <w:sz w:val="20"/>
                <w:szCs w:val="20"/>
              </w:rPr>
              <w:t>54,288</w:t>
            </w:r>
          </w:p>
        </w:tc>
        <w:tc>
          <w:tcPr>
            <w:tcW w:w="1260" w:type="dxa"/>
            <w:tcBorders>
              <w:top w:val="single" w:sz="4" w:space="0" w:color="auto"/>
              <w:left w:val="single" w:sz="4" w:space="0" w:color="auto"/>
              <w:bottom w:val="single" w:sz="4" w:space="0" w:color="auto"/>
              <w:right w:val="single" w:sz="4" w:space="0" w:color="auto"/>
            </w:tcBorders>
          </w:tcPr>
          <w:p w14:paraId="23533BB3" w14:textId="2A5D461B" w:rsidR="007104B7" w:rsidRPr="00C45977" w:rsidRDefault="007104B7" w:rsidP="007104B7">
            <w:pPr>
              <w:jc w:val="center"/>
              <w:rPr>
                <w:rFonts w:ascii="Arial" w:hAnsi="Arial" w:cs="Arial"/>
                <w:sz w:val="20"/>
                <w:szCs w:val="20"/>
              </w:rPr>
            </w:pPr>
          </w:p>
        </w:tc>
      </w:tr>
      <w:tr w:rsidR="007104B7" w:rsidRPr="00301088" w14:paraId="3438055E" w14:textId="4CC889F1" w:rsidTr="007B1534">
        <w:trPr>
          <w:trHeight w:val="683"/>
        </w:trPr>
        <w:tc>
          <w:tcPr>
            <w:tcW w:w="4495" w:type="dxa"/>
            <w:gridSpan w:val="2"/>
            <w:tcBorders>
              <w:top w:val="single" w:sz="4" w:space="0" w:color="auto"/>
              <w:left w:val="single" w:sz="4" w:space="0" w:color="auto"/>
              <w:bottom w:val="single" w:sz="4" w:space="0" w:color="auto"/>
              <w:right w:val="single" w:sz="4" w:space="0" w:color="auto"/>
            </w:tcBorders>
          </w:tcPr>
          <w:p w14:paraId="66558490" w14:textId="77777777" w:rsidR="007104B7" w:rsidRPr="00301088" w:rsidRDefault="007104B7" w:rsidP="007104B7">
            <w:pPr>
              <w:rPr>
                <w:rFonts w:ascii="Arial" w:hAnsi="Arial" w:cs="Arial"/>
                <w:sz w:val="20"/>
              </w:rPr>
            </w:pPr>
            <w:r>
              <w:rPr>
                <w:rFonts w:ascii="Arial" w:hAnsi="Arial" w:cs="Arial"/>
                <w:sz w:val="20"/>
              </w:rPr>
              <w:t>Percentage of all degree-seeking undergraduates receiving a PELL grant</w:t>
            </w:r>
          </w:p>
        </w:tc>
        <w:tc>
          <w:tcPr>
            <w:tcW w:w="1620" w:type="dxa"/>
            <w:tcBorders>
              <w:top w:val="single" w:sz="4" w:space="0" w:color="auto"/>
              <w:left w:val="single" w:sz="4" w:space="0" w:color="auto"/>
              <w:bottom w:val="single" w:sz="4" w:space="0" w:color="auto"/>
              <w:right w:val="single" w:sz="4" w:space="0" w:color="auto"/>
            </w:tcBorders>
            <w:vAlign w:val="center"/>
          </w:tcPr>
          <w:p w14:paraId="501F0261" w14:textId="2D9CC136" w:rsidR="007104B7" w:rsidRPr="00301088" w:rsidRDefault="007104B7" w:rsidP="007104B7">
            <w:pPr>
              <w:jc w:val="center"/>
              <w:rPr>
                <w:rFonts w:ascii="Arial" w:eastAsia="Arial Unicode MS" w:hAnsi="Arial" w:cs="Arial"/>
                <w:sz w:val="20"/>
              </w:rPr>
            </w:pPr>
            <w:r>
              <w:rPr>
                <w:rFonts w:ascii="Arial" w:eastAsia="Arial Unicode MS" w:hAnsi="Arial" w:cs="Arial"/>
                <w:sz w:val="20"/>
              </w:rPr>
              <w:t>40%</w:t>
            </w:r>
          </w:p>
        </w:tc>
        <w:tc>
          <w:tcPr>
            <w:tcW w:w="1260" w:type="dxa"/>
            <w:tcBorders>
              <w:top w:val="single" w:sz="4" w:space="0" w:color="auto"/>
              <w:left w:val="single" w:sz="4" w:space="0" w:color="auto"/>
              <w:bottom w:val="single" w:sz="4" w:space="0" w:color="auto"/>
              <w:right w:val="single" w:sz="4" w:space="0" w:color="auto"/>
            </w:tcBorders>
          </w:tcPr>
          <w:p w14:paraId="15614394" w14:textId="77777777" w:rsidR="007104B7" w:rsidRDefault="007104B7" w:rsidP="007104B7">
            <w:pPr>
              <w:jc w:val="center"/>
              <w:rPr>
                <w:rFonts w:ascii="Arial" w:eastAsia="Arial Unicode MS" w:hAnsi="Arial" w:cs="Arial"/>
                <w:sz w:val="20"/>
              </w:rPr>
            </w:pPr>
          </w:p>
          <w:p w14:paraId="50AB1D4D" w14:textId="4F6A3C23" w:rsidR="007104B7" w:rsidRPr="00301088" w:rsidRDefault="007104B7" w:rsidP="007104B7">
            <w:pPr>
              <w:jc w:val="center"/>
              <w:rPr>
                <w:rFonts w:ascii="Arial" w:eastAsia="Arial Unicode MS" w:hAnsi="Arial" w:cs="Arial"/>
                <w:sz w:val="20"/>
              </w:rPr>
            </w:pPr>
            <w:r>
              <w:rPr>
                <w:rFonts w:ascii="Arial" w:eastAsia="Arial Unicode MS" w:hAnsi="Arial" w:cs="Arial"/>
                <w:sz w:val="20"/>
              </w:rPr>
              <w:t>38%</w:t>
            </w:r>
          </w:p>
        </w:tc>
        <w:tc>
          <w:tcPr>
            <w:tcW w:w="1439" w:type="dxa"/>
            <w:gridSpan w:val="2"/>
            <w:tcBorders>
              <w:top w:val="single" w:sz="4" w:space="0" w:color="auto"/>
              <w:left w:val="single" w:sz="4" w:space="0" w:color="auto"/>
              <w:bottom w:val="single" w:sz="4" w:space="0" w:color="auto"/>
              <w:right w:val="single" w:sz="4" w:space="0" w:color="auto"/>
            </w:tcBorders>
          </w:tcPr>
          <w:p w14:paraId="2E4FFDDF" w14:textId="77777777" w:rsidR="007104B7" w:rsidRDefault="007104B7" w:rsidP="007104B7">
            <w:pPr>
              <w:jc w:val="center"/>
              <w:rPr>
                <w:rFonts w:ascii="Arial" w:eastAsia="Arial Unicode MS" w:hAnsi="Arial" w:cs="Arial"/>
                <w:sz w:val="20"/>
              </w:rPr>
            </w:pPr>
          </w:p>
          <w:p w14:paraId="0B4A7ACA" w14:textId="4DCB0F5B" w:rsidR="007104B7" w:rsidRPr="00301088" w:rsidRDefault="007104B7" w:rsidP="007104B7">
            <w:pPr>
              <w:jc w:val="center"/>
              <w:rPr>
                <w:rFonts w:ascii="Arial" w:eastAsia="Arial Unicode MS" w:hAnsi="Arial" w:cs="Arial"/>
                <w:sz w:val="20"/>
              </w:rPr>
            </w:pPr>
            <w:r>
              <w:rPr>
                <w:rFonts w:ascii="Arial" w:eastAsia="Arial Unicode MS" w:hAnsi="Arial" w:cs="Arial"/>
                <w:sz w:val="20"/>
              </w:rPr>
              <w:t>39%</w:t>
            </w:r>
          </w:p>
        </w:tc>
        <w:tc>
          <w:tcPr>
            <w:tcW w:w="1260" w:type="dxa"/>
            <w:tcBorders>
              <w:top w:val="single" w:sz="4" w:space="0" w:color="auto"/>
              <w:left w:val="single" w:sz="4" w:space="0" w:color="auto"/>
              <w:bottom w:val="single" w:sz="4" w:space="0" w:color="auto"/>
              <w:right w:val="single" w:sz="4" w:space="0" w:color="auto"/>
            </w:tcBorders>
          </w:tcPr>
          <w:p w14:paraId="0CBACB58" w14:textId="57573454" w:rsidR="007104B7" w:rsidRDefault="007104B7" w:rsidP="007104B7">
            <w:pPr>
              <w:jc w:val="center"/>
              <w:rPr>
                <w:rFonts w:ascii="Arial" w:eastAsia="Arial Unicode MS" w:hAnsi="Arial" w:cs="Arial"/>
                <w:sz w:val="20"/>
              </w:rPr>
            </w:pPr>
          </w:p>
        </w:tc>
      </w:tr>
      <w:tr w:rsidR="007104B7" w:rsidRPr="00301088" w14:paraId="3F6EC822" w14:textId="15E70CF2" w:rsidTr="00823743">
        <w:tc>
          <w:tcPr>
            <w:tcW w:w="4495" w:type="dxa"/>
            <w:gridSpan w:val="2"/>
            <w:tcBorders>
              <w:top w:val="single" w:sz="4" w:space="0" w:color="auto"/>
              <w:left w:val="single" w:sz="4" w:space="0" w:color="auto"/>
              <w:bottom w:val="single" w:sz="4" w:space="0" w:color="auto"/>
              <w:right w:val="single" w:sz="4" w:space="0" w:color="auto"/>
            </w:tcBorders>
          </w:tcPr>
          <w:p w14:paraId="6432C28F" w14:textId="013845C0" w:rsidR="007104B7" w:rsidRPr="00B94017" w:rsidRDefault="007104B7" w:rsidP="007104B7">
            <w:pPr>
              <w:rPr>
                <w:rFonts w:ascii="Arial" w:hAnsi="Arial" w:cs="Arial"/>
                <w:sz w:val="20"/>
                <w:szCs w:val="20"/>
              </w:rPr>
            </w:pPr>
            <w:r w:rsidRPr="00B94017">
              <w:rPr>
                <w:rFonts w:ascii="Arial" w:hAnsi="Arial" w:cs="Arial"/>
                <w:sz w:val="20"/>
                <w:szCs w:val="20"/>
              </w:rPr>
              <w:t xml:space="preserve">Amount of ISU student scholarships/fellowships awarded </w:t>
            </w:r>
          </w:p>
        </w:tc>
        <w:tc>
          <w:tcPr>
            <w:tcW w:w="1620" w:type="dxa"/>
            <w:tcBorders>
              <w:top w:val="single" w:sz="4" w:space="0" w:color="auto"/>
              <w:left w:val="single" w:sz="4" w:space="0" w:color="auto"/>
              <w:bottom w:val="single" w:sz="4" w:space="0" w:color="auto"/>
              <w:right w:val="single" w:sz="4" w:space="0" w:color="auto"/>
            </w:tcBorders>
          </w:tcPr>
          <w:p w14:paraId="6165633F" w14:textId="10E9258B" w:rsidR="007104B7" w:rsidRPr="00B94017" w:rsidRDefault="007104B7" w:rsidP="007104B7">
            <w:pPr>
              <w:jc w:val="center"/>
              <w:rPr>
                <w:rFonts w:ascii="Arial" w:hAnsi="Arial" w:cs="Arial"/>
                <w:sz w:val="20"/>
                <w:szCs w:val="20"/>
              </w:rPr>
            </w:pPr>
            <w:r w:rsidRPr="009835F0">
              <w:rPr>
                <w:rFonts w:ascii="Arial" w:hAnsi="Arial" w:cs="Arial"/>
                <w:sz w:val="20"/>
                <w:szCs w:val="20"/>
              </w:rPr>
              <w:t>$30,487,000</w:t>
            </w:r>
          </w:p>
        </w:tc>
        <w:tc>
          <w:tcPr>
            <w:tcW w:w="1260" w:type="dxa"/>
            <w:tcBorders>
              <w:top w:val="single" w:sz="4" w:space="0" w:color="auto"/>
              <w:left w:val="single" w:sz="4" w:space="0" w:color="auto"/>
              <w:bottom w:val="single" w:sz="4" w:space="0" w:color="auto"/>
              <w:right w:val="single" w:sz="4" w:space="0" w:color="auto"/>
            </w:tcBorders>
          </w:tcPr>
          <w:p w14:paraId="099D5D9A" w14:textId="7131237E" w:rsidR="007104B7" w:rsidRPr="00B94017" w:rsidRDefault="007104B7" w:rsidP="007104B7">
            <w:pPr>
              <w:jc w:val="center"/>
              <w:rPr>
                <w:rFonts w:ascii="Arial" w:hAnsi="Arial" w:cs="Arial"/>
                <w:sz w:val="20"/>
                <w:szCs w:val="20"/>
              </w:rPr>
            </w:pPr>
            <w:r>
              <w:rPr>
                <w:rFonts w:ascii="Arial" w:hAnsi="Arial" w:cs="Arial"/>
                <w:sz w:val="20"/>
                <w:szCs w:val="20"/>
              </w:rPr>
              <w:t>$</w:t>
            </w:r>
            <w:r w:rsidRPr="001C12BF">
              <w:rPr>
                <w:rFonts w:ascii="Arial" w:hAnsi="Arial" w:cs="Arial"/>
                <w:sz w:val="20"/>
                <w:szCs w:val="20"/>
              </w:rPr>
              <w:t>16,898,000</w:t>
            </w:r>
          </w:p>
        </w:tc>
        <w:tc>
          <w:tcPr>
            <w:tcW w:w="1439" w:type="dxa"/>
            <w:gridSpan w:val="2"/>
            <w:tcBorders>
              <w:top w:val="single" w:sz="4" w:space="0" w:color="auto"/>
              <w:left w:val="single" w:sz="4" w:space="0" w:color="auto"/>
              <w:bottom w:val="single" w:sz="4" w:space="0" w:color="auto"/>
              <w:right w:val="single" w:sz="4" w:space="0" w:color="auto"/>
            </w:tcBorders>
          </w:tcPr>
          <w:p w14:paraId="73B28C38" w14:textId="74A12040" w:rsidR="007104B7" w:rsidRPr="00B94017" w:rsidRDefault="007104B7" w:rsidP="007104B7">
            <w:pPr>
              <w:jc w:val="center"/>
              <w:rPr>
                <w:rFonts w:ascii="Arial" w:hAnsi="Arial" w:cs="Arial"/>
                <w:sz w:val="20"/>
                <w:szCs w:val="20"/>
              </w:rPr>
            </w:pPr>
            <w:r w:rsidRPr="00982CC8">
              <w:rPr>
                <w:rFonts w:ascii="Arial" w:hAnsi="Arial" w:cs="Arial"/>
                <w:sz w:val="16"/>
                <w:szCs w:val="16"/>
              </w:rPr>
              <w:t>Available in November</w:t>
            </w:r>
          </w:p>
        </w:tc>
        <w:tc>
          <w:tcPr>
            <w:tcW w:w="1260" w:type="dxa"/>
            <w:tcBorders>
              <w:top w:val="single" w:sz="4" w:space="0" w:color="auto"/>
              <w:left w:val="single" w:sz="4" w:space="0" w:color="auto"/>
              <w:bottom w:val="single" w:sz="4" w:space="0" w:color="auto"/>
              <w:right w:val="single" w:sz="4" w:space="0" w:color="auto"/>
            </w:tcBorders>
          </w:tcPr>
          <w:p w14:paraId="2A071B53" w14:textId="477F4F09" w:rsidR="007104B7" w:rsidRPr="00982CC8" w:rsidRDefault="007104B7" w:rsidP="007104B7">
            <w:pPr>
              <w:jc w:val="center"/>
              <w:rPr>
                <w:rFonts w:ascii="Arial" w:hAnsi="Arial" w:cs="Arial"/>
                <w:sz w:val="16"/>
                <w:szCs w:val="16"/>
              </w:rPr>
            </w:pPr>
          </w:p>
        </w:tc>
      </w:tr>
      <w:tr w:rsidR="007104B7" w:rsidRPr="00301088" w14:paraId="41EF0A3F" w14:textId="10ED027A" w:rsidTr="007B1534">
        <w:tc>
          <w:tcPr>
            <w:tcW w:w="4495" w:type="dxa"/>
            <w:gridSpan w:val="2"/>
            <w:tcBorders>
              <w:top w:val="single" w:sz="4" w:space="0" w:color="auto"/>
              <w:left w:val="single" w:sz="4" w:space="0" w:color="auto"/>
              <w:bottom w:val="single" w:sz="4" w:space="0" w:color="auto"/>
              <w:right w:val="single" w:sz="4" w:space="0" w:color="auto"/>
            </w:tcBorders>
            <w:vAlign w:val="center"/>
          </w:tcPr>
          <w:p w14:paraId="3F917025" w14:textId="40CB61DD" w:rsidR="007104B7" w:rsidRPr="001072AD" w:rsidRDefault="007104B7" w:rsidP="007104B7">
            <w:pPr>
              <w:keepNext/>
              <w:rPr>
                <w:rFonts w:ascii="Arial" w:hAnsi="Arial" w:cs="Arial"/>
                <w:sz w:val="20"/>
              </w:rPr>
            </w:pPr>
            <w:r w:rsidRPr="001072AD">
              <w:rPr>
                <w:rFonts w:ascii="Arial" w:hAnsi="Arial" w:cs="Arial"/>
                <w:sz w:val="20"/>
              </w:rPr>
              <w:t>Total number of certificates and degrees awarded</w:t>
            </w:r>
            <w:r w:rsidRPr="00B94017">
              <w:rPr>
                <w:rFonts w:ascii="Arial" w:hAnsi="Arial" w:cs="Arial"/>
                <w:b/>
                <w:sz w:val="20"/>
                <w:szCs w:val="20"/>
                <w:vertAlign w:val="superscript"/>
              </w:rPr>
              <w:t>4</w:t>
            </w:r>
          </w:p>
          <w:p w14:paraId="49881D5F" w14:textId="77777777" w:rsidR="007104B7" w:rsidRPr="001072AD" w:rsidRDefault="007104B7" w:rsidP="007104B7">
            <w:pPr>
              <w:keepNext/>
              <w:rPr>
                <w:rFonts w:ascii="Arial" w:hAnsi="Arial" w:cs="Arial"/>
                <w:sz w:val="20"/>
              </w:rPr>
            </w:pPr>
            <w:r w:rsidRPr="001072AD">
              <w:rPr>
                <w:rFonts w:ascii="Arial" w:hAnsi="Arial" w:cs="Arial"/>
                <w:sz w:val="20"/>
              </w:rPr>
              <w:t>-</w:t>
            </w:r>
            <w:r w:rsidRPr="001072AD">
              <w:rPr>
                <w:rFonts w:ascii="Arial" w:hAnsi="Arial" w:cs="Arial"/>
                <w:sz w:val="20"/>
              </w:rPr>
              <w:tab/>
              <w:t>Undergraduate</w:t>
            </w:r>
          </w:p>
          <w:p w14:paraId="06004CAA" w14:textId="05DBAEDD" w:rsidR="007104B7" w:rsidRPr="001072AD" w:rsidRDefault="007104B7" w:rsidP="007104B7">
            <w:pPr>
              <w:keepNext/>
              <w:rPr>
                <w:rFonts w:ascii="Arial" w:hAnsi="Arial" w:cs="Arial"/>
                <w:sz w:val="20"/>
              </w:rPr>
            </w:pPr>
            <w:r w:rsidRPr="001072AD">
              <w:rPr>
                <w:rFonts w:ascii="Arial" w:hAnsi="Arial" w:cs="Arial"/>
                <w:sz w:val="20"/>
              </w:rPr>
              <w:t>-</w:t>
            </w:r>
            <w:r w:rsidRPr="001072AD">
              <w:rPr>
                <w:rFonts w:ascii="Arial" w:hAnsi="Arial" w:cs="Arial"/>
                <w:sz w:val="20"/>
              </w:rPr>
              <w:tab/>
              <w:t>Graduate</w:t>
            </w:r>
          </w:p>
        </w:tc>
        <w:tc>
          <w:tcPr>
            <w:tcW w:w="1620" w:type="dxa"/>
            <w:tcBorders>
              <w:top w:val="single" w:sz="4" w:space="0" w:color="auto"/>
              <w:left w:val="single" w:sz="4" w:space="0" w:color="auto"/>
              <w:bottom w:val="single" w:sz="4" w:space="0" w:color="auto"/>
              <w:right w:val="single" w:sz="4" w:space="0" w:color="auto"/>
            </w:tcBorders>
            <w:vAlign w:val="center"/>
          </w:tcPr>
          <w:p w14:paraId="340A4D06" w14:textId="77777777" w:rsidR="007104B7" w:rsidRDefault="007104B7" w:rsidP="007104B7">
            <w:pPr>
              <w:keepNext/>
              <w:jc w:val="center"/>
              <w:rPr>
                <w:rFonts w:ascii="Arial" w:hAnsi="Arial" w:cs="Arial"/>
                <w:b/>
                <w:sz w:val="20"/>
              </w:rPr>
            </w:pPr>
          </w:p>
          <w:p w14:paraId="0A39AF0F" w14:textId="77777777" w:rsidR="007104B7" w:rsidRDefault="007104B7" w:rsidP="007104B7">
            <w:pPr>
              <w:keepNext/>
              <w:jc w:val="center"/>
              <w:rPr>
                <w:rFonts w:ascii="Arial" w:hAnsi="Arial" w:cs="Arial"/>
                <w:b/>
                <w:sz w:val="20"/>
              </w:rPr>
            </w:pPr>
            <w:r>
              <w:rPr>
                <w:rFonts w:ascii="Arial" w:hAnsi="Arial" w:cs="Arial"/>
                <w:b/>
                <w:sz w:val="20"/>
              </w:rPr>
              <w:t>2,737</w:t>
            </w:r>
          </w:p>
          <w:p w14:paraId="61FD77B0" w14:textId="77777777" w:rsidR="007104B7" w:rsidRPr="00A103EA" w:rsidRDefault="007104B7" w:rsidP="007104B7">
            <w:pPr>
              <w:keepNext/>
              <w:jc w:val="center"/>
              <w:rPr>
                <w:rFonts w:ascii="Arial" w:hAnsi="Arial" w:cs="Arial"/>
                <w:sz w:val="20"/>
              </w:rPr>
            </w:pPr>
            <w:r>
              <w:rPr>
                <w:rFonts w:ascii="Arial" w:hAnsi="Arial" w:cs="Arial"/>
                <w:sz w:val="20"/>
              </w:rPr>
              <w:t>1,955</w:t>
            </w:r>
          </w:p>
          <w:p w14:paraId="65EB593D" w14:textId="53E57F57" w:rsidR="007104B7" w:rsidRPr="00301088" w:rsidRDefault="007104B7" w:rsidP="007104B7">
            <w:pPr>
              <w:keepNext/>
              <w:jc w:val="center"/>
              <w:rPr>
                <w:rFonts w:ascii="Arial" w:hAnsi="Arial" w:cs="Arial"/>
                <w:sz w:val="20"/>
              </w:rPr>
            </w:pPr>
            <w:r>
              <w:rPr>
                <w:rFonts w:ascii="Arial" w:hAnsi="Arial" w:cs="Arial"/>
                <w:sz w:val="20"/>
              </w:rPr>
              <w:t>782</w:t>
            </w:r>
          </w:p>
        </w:tc>
        <w:tc>
          <w:tcPr>
            <w:tcW w:w="1260" w:type="dxa"/>
            <w:tcBorders>
              <w:top w:val="single" w:sz="4" w:space="0" w:color="auto"/>
              <w:left w:val="single" w:sz="4" w:space="0" w:color="auto"/>
              <w:bottom w:val="single" w:sz="4" w:space="0" w:color="auto"/>
              <w:right w:val="single" w:sz="4" w:space="0" w:color="auto"/>
            </w:tcBorders>
          </w:tcPr>
          <w:p w14:paraId="5C757AB4" w14:textId="77777777" w:rsidR="007104B7" w:rsidRDefault="007104B7" w:rsidP="007104B7">
            <w:pPr>
              <w:keepNext/>
              <w:jc w:val="center"/>
              <w:rPr>
                <w:rFonts w:ascii="Arial" w:hAnsi="Arial" w:cs="Arial"/>
                <w:b/>
                <w:sz w:val="20"/>
              </w:rPr>
            </w:pPr>
          </w:p>
          <w:p w14:paraId="21F12814" w14:textId="77777777" w:rsidR="007104B7" w:rsidRDefault="007104B7" w:rsidP="007104B7">
            <w:pPr>
              <w:keepNext/>
              <w:jc w:val="center"/>
              <w:rPr>
                <w:rFonts w:ascii="Arial" w:hAnsi="Arial" w:cs="Arial"/>
                <w:b/>
                <w:sz w:val="20"/>
              </w:rPr>
            </w:pPr>
            <w:r>
              <w:rPr>
                <w:rFonts w:ascii="Arial" w:hAnsi="Arial" w:cs="Arial"/>
                <w:b/>
                <w:sz w:val="20"/>
              </w:rPr>
              <w:t>2,804</w:t>
            </w:r>
          </w:p>
          <w:p w14:paraId="3B9B5531" w14:textId="77777777" w:rsidR="007104B7" w:rsidRDefault="007104B7" w:rsidP="007104B7">
            <w:pPr>
              <w:keepNext/>
              <w:jc w:val="center"/>
              <w:rPr>
                <w:rFonts w:ascii="Arial" w:hAnsi="Arial" w:cs="Arial"/>
                <w:sz w:val="20"/>
              </w:rPr>
            </w:pPr>
            <w:r>
              <w:rPr>
                <w:rFonts w:ascii="Arial" w:hAnsi="Arial" w:cs="Arial"/>
                <w:sz w:val="20"/>
              </w:rPr>
              <w:t>2,004</w:t>
            </w:r>
          </w:p>
          <w:p w14:paraId="10CB5FBD" w14:textId="51200F0B" w:rsidR="007104B7" w:rsidRPr="00301088" w:rsidRDefault="007104B7" w:rsidP="007104B7">
            <w:pPr>
              <w:keepNext/>
              <w:jc w:val="center"/>
              <w:rPr>
                <w:rFonts w:ascii="Arial" w:hAnsi="Arial" w:cs="Arial"/>
                <w:sz w:val="20"/>
              </w:rPr>
            </w:pPr>
            <w:r>
              <w:rPr>
                <w:rFonts w:ascii="Arial" w:hAnsi="Arial" w:cs="Arial"/>
                <w:sz w:val="20"/>
              </w:rPr>
              <w:t>800</w:t>
            </w:r>
          </w:p>
        </w:tc>
        <w:tc>
          <w:tcPr>
            <w:tcW w:w="1439" w:type="dxa"/>
            <w:gridSpan w:val="2"/>
            <w:tcBorders>
              <w:top w:val="single" w:sz="4" w:space="0" w:color="auto"/>
              <w:left w:val="single" w:sz="4" w:space="0" w:color="auto"/>
              <w:bottom w:val="single" w:sz="4" w:space="0" w:color="auto"/>
              <w:right w:val="single" w:sz="4" w:space="0" w:color="auto"/>
            </w:tcBorders>
          </w:tcPr>
          <w:p w14:paraId="24EE68E4" w14:textId="77777777" w:rsidR="007104B7" w:rsidRDefault="007104B7" w:rsidP="007104B7">
            <w:pPr>
              <w:keepNext/>
              <w:jc w:val="center"/>
              <w:rPr>
                <w:rFonts w:ascii="Arial" w:hAnsi="Arial" w:cs="Arial"/>
                <w:b/>
                <w:sz w:val="20"/>
              </w:rPr>
            </w:pPr>
          </w:p>
          <w:p w14:paraId="693AAF11" w14:textId="77777777" w:rsidR="007104B7" w:rsidRDefault="007104B7" w:rsidP="007104B7">
            <w:pPr>
              <w:keepNext/>
              <w:jc w:val="center"/>
              <w:rPr>
                <w:rFonts w:ascii="Arial" w:hAnsi="Arial" w:cs="Arial"/>
                <w:b/>
                <w:sz w:val="20"/>
              </w:rPr>
            </w:pPr>
            <w:r>
              <w:rPr>
                <w:rFonts w:ascii="Arial" w:hAnsi="Arial" w:cs="Arial"/>
                <w:b/>
                <w:sz w:val="20"/>
              </w:rPr>
              <w:t>2,959</w:t>
            </w:r>
          </w:p>
          <w:p w14:paraId="0B5B20E1" w14:textId="77777777" w:rsidR="007104B7" w:rsidRDefault="007104B7" w:rsidP="007104B7">
            <w:pPr>
              <w:keepNext/>
              <w:jc w:val="center"/>
              <w:rPr>
                <w:rFonts w:ascii="Arial" w:hAnsi="Arial" w:cs="Arial"/>
                <w:sz w:val="20"/>
              </w:rPr>
            </w:pPr>
            <w:r w:rsidRPr="00E54FEC">
              <w:rPr>
                <w:rFonts w:ascii="Arial" w:hAnsi="Arial" w:cs="Arial"/>
                <w:sz w:val="20"/>
              </w:rPr>
              <w:t>2,154</w:t>
            </w:r>
          </w:p>
          <w:p w14:paraId="056FA29A" w14:textId="42091B53" w:rsidR="007104B7" w:rsidRPr="00301088" w:rsidRDefault="007104B7" w:rsidP="007104B7">
            <w:pPr>
              <w:keepNext/>
              <w:jc w:val="center"/>
              <w:rPr>
                <w:rFonts w:ascii="Arial" w:hAnsi="Arial" w:cs="Arial"/>
                <w:sz w:val="20"/>
              </w:rPr>
            </w:pPr>
            <w:r>
              <w:rPr>
                <w:rFonts w:ascii="Arial" w:hAnsi="Arial" w:cs="Arial"/>
                <w:sz w:val="20"/>
              </w:rPr>
              <w:t>805</w:t>
            </w:r>
          </w:p>
        </w:tc>
        <w:tc>
          <w:tcPr>
            <w:tcW w:w="1260" w:type="dxa"/>
            <w:tcBorders>
              <w:top w:val="single" w:sz="4" w:space="0" w:color="auto"/>
              <w:left w:val="single" w:sz="4" w:space="0" w:color="auto"/>
              <w:bottom w:val="single" w:sz="4" w:space="0" w:color="auto"/>
              <w:right w:val="single" w:sz="4" w:space="0" w:color="auto"/>
            </w:tcBorders>
          </w:tcPr>
          <w:p w14:paraId="1593B2C7" w14:textId="7A07E1E9" w:rsidR="007104B7" w:rsidRDefault="007104B7" w:rsidP="007104B7">
            <w:pPr>
              <w:keepNext/>
              <w:jc w:val="center"/>
              <w:rPr>
                <w:rFonts w:ascii="Arial" w:hAnsi="Arial" w:cs="Arial"/>
                <w:b/>
                <w:sz w:val="20"/>
              </w:rPr>
            </w:pPr>
          </w:p>
        </w:tc>
      </w:tr>
      <w:tr w:rsidR="007104B7" w:rsidRPr="00301088" w14:paraId="4A0597EB" w14:textId="703A42CD" w:rsidTr="007B1534">
        <w:tc>
          <w:tcPr>
            <w:tcW w:w="4495" w:type="dxa"/>
            <w:gridSpan w:val="2"/>
            <w:tcBorders>
              <w:top w:val="single" w:sz="4" w:space="0" w:color="auto"/>
              <w:left w:val="single" w:sz="4" w:space="0" w:color="auto"/>
              <w:bottom w:val="single" w:sz="4" w:space="0" w:color="auto"/>
              <w:right w:val="single" w:sz="4" w:space="0" w:color="auto"/>
            </w:tcBorders>
            <w:vAlign w:val="center"/>
          </w:tcPr>
          <w:p w14:paraId="32F15285" w14:textId="5E11AB25" w:rsidR="007104B7" w:rsidRPr="00B94017" w:rsidRDefault="007104B7" w:rsidP="007104B7">
            <w:pPr>
              <w:rPr>
                <w:rFonts w:ascii="Arial" w:hAnsi="Arial" w:cs="Arial"/>
                <w:color w:val="000000" w:themeColor="text1"/>
                <w:sz w:val="20"/>
                <w:szCs w:val="20"/>
              </w:rPr>
            </w:pPr>
            <w:r w:rsidRPr="00B94017">
              <w:rPr>
                <w:rFonts w:ascii="Arial" w:hAnsi="Arial" w:cs="Arial"/>
                <w:color w:val="000000" w:themeColor="text1"/>
                <w:sz w:val="20"/>
                <w:szCs w:val="20"/>
              </w:rPr>
              <w:t xml:space="preserve">% </w:t>
            </w:r>
            <w:r>
              <w:rPr>
                <w:rFonts w:ascii="Arial" w:hAnsi="Arial" w:cs="Arial"/>
                <w:color w:val="000000" w:themeColor="text1"/>
                <w:sz w:val="20"/>
                <w:szCs w:val="20"/>
              </w:rPr>
              <w:t xml:space="preserve">degrees </w:t>
            </w:r>
            <w:r w:rsidRPr="00B94017">
              <w:rPr>
                <w:rFonts w:ascii="Arial" w:hAnsi="Arial" w:cs="Arial"/>
                <w:color w:val="000000" w:themeColor="text1"/>
                <w:sz w:val="20"/>
                <w:szCs w:val="20"/>
              </w:rPr>
              <w:t xml:space="preserve">awarded in Health </w:t>
            </w:r>
            <w:proofErr w:type="gramStart"/>
            <w:r w:rsidRPr="00B94017">
              <w:rPr>
                <w:rFonts w:ascii="Arial" w:hAnsi="Arial" w:cs="Arial"/>
                <w:color w:val="000000" w:themeColor="text1"/>
                <w:sz w:val="20"/>
                <w:szCs w:val="20"/>
              </w:rPr>
              <w:t xml:space="preserve">Professions  </w:t>
            </w:r>
            <w:r w:rsidRPr="00B94017">
              <w:rPr>
                <w:rFonts w:ascii="Arial" w:hAnsi="Arial" w:cs="Arial"/>
                <w:b/>
                <w:sz w:val="20"/>
                <w:szCs w:val="20"/>
                <w:vertAlign w:val="superscript"/>
              </w:rPr>
              <w:t>5</w:t>
            </w:r>
            <w:proofErr w:type="gramEnd"/>
          </w:p>
          <w:p w14:paraId="48979D79" w14:textId="32C3ACFB" w:rsidR="007104B7" w:rsidRPr="001072AD" w:rsidRDefault="007104B7" w:rsidP="007104B7">
            <w:pPr>
              <w:keepNext/>
              <w:rPr>
                <w:rFonts w:ascii="Arial" w:hAnsi="Arial" w:cs="Arial"/>
                <w:sz w:val="20"/>
              </w:rPr>
            </w:pPr>
            <w:r w:rsidRPr="00B94017">
              <w:rPr>
                <w:rFonts w:ascii="Arial" w:hAnsi="Arial" w:cs="Arial"/>
                <w:color w:val="000000" w:themeColor="text1"/>
                <w:sz w:val="20"/>
                <w:szCs w:val="20"/>
              </w:rPr>
              <w:t xml:space="preserve">% </w:t>
            </w:r>
            <w:r>
              <w:rPr>
                <w:rFonts w:ascii="Arial" w:hAnsi="Arial" w:cs="Arial"/>
                <w:color w:val="000000" w:themeColor="text1"/>
                <w:sz w:val="20"/>
                <w:szCs w:val="20"/>
              </w:rPr>
              <w:t xml:space="preserve">degrees </w:t>
            </w:r>
            <w:r w:rsidRPr="00B94017">
              <w:rPr>
                <w:rFonts w:ascii="Arial" w:hAnsi="Arial" w:cs="Arial"/>
                <w:color w:val="000000" w:themeColor="text1"/>
                <w:sz w:val="20"/>
                <w:szCs w:val="20"/>
              </w:rPr>
              <w:t xml:space="preserve">awarded in STEM </w:t>
            </w:r>
            <w:proofErr w:type="gramStart"/>
            <w:r w:rsidRPr="00B94017">
              <w:rPr>
                <w:rFonts w:ascii="Arial" w:hAnsi="Arial" w:cs="Arial"/>
                <w:color w:val="000000" w:themeColor="text1"/>
                <w:sz w:val="20"/>
                <w:szCs w:val="20"/>
              </w:rPr>
              <w:t xml:space="preserve">Disciplines  </w:t>
            </w:r>
            <w:r w:rsidRPr="00B94017">
              <w:rPr>
                <w:rFonts w:ascii="Arial" w:hAnsi="Arial" w:cs="Arial"/>
                <w:b/>
                <w:sz w:val="20"/>
                <w:szCs w:val="20"/>
                <w:vertAlign w:val="superscript"/>
              </w:rPr>
              <w:t>6</w:t>
            </w:r>
            <w:proofErr w:type="gramEnd"/>
          </w:p>
        </w:tc>
        <w:tc>
          <w:tcPr>
            <w:tcW w:w="1620" w:type="dxa"/>
            <w:tcBorders>
              <w:top w:val="single" w:sz="4" w:space="0" w:color="auto"/>
              <w:left w:val="single" w:sz="4" w:space="0" w:color="auto"/>
              <w:bottom w:val="single" w:sz="4" w:space="0" w:color="auto"/>
              <w:right w:val="single" w:sz="4" w:space="0" w:color="auto"/>
            </w:tcBorders>
            <w:vAlign w:val="center"/>
          </w:tcPr>
          <w:p w14:paraId="726A12D8" w14:textId="77777777" w:rsidR="007104B7" w:rsidRDefault="007104B7" w:rsidP="007104B7">
            <w:pPr>
              <w:jc w:val="center"/>
              <w:rPr>
                <w:rFonts w:ascii="Arial" w:hAnsi="Arial" w:cs="Arial"/>
                <w:sz w:val="20"/>
                <w:szCs w:val="20"/>
              </w:rPr>
            </w:pPr>
          </w:p>
          <w:p w14:paraId="6A61E48C" w14:textId="77777777" w:rsidR="007104B7" w:rsidRPr="0004414F" w:rsidRDefault="007104B7" w:rsidP="007104B7">
            <w:pPr>
              <w:jc w:val="center"/>
              <w:rPr>
                <w:rFonts w:ascii="Arial" w:hAnsi="Arial" w:cs="Arial"/>
                <w:sz w:val="20"/>
                <w:szCs w:val="20"/>
              </w:rPr>
            </w:pPr>
            <w:r w:rsidRPr="0004414F">
              <w:rPr>
                <w:rFonts w:ascii="Arial" w:hAnsi="Arial" w:cs="Arial"/>
                <w:sz w:val="20"/>
                <w:szCs w:val="20"/>
              </w:rPr>
              <w:t>37%</w:t>
            </w:r>
          </w:p>
          <w:p w14:paraId="4889C745" w14:textId="77777777" w:rsidR="007104B7" w:rsidRPr="0004414F" w:rsidRDefault="007104B7" w:rsidP="007104B7">
            <w:pPr>
              <w:jc w:val="center"/>
              <w:rPr>
                <w:rFonts w:ascii="Arial" w:hAnsi="Arial" w:cs="Arial"/>
                <w:sz w:val="20"/>
                <w:szCs w:val="20"/>
              </w:rPr>
            </w:pPr>
            <w:r>
              <w:rPr>
                <w:rFonts w:ascii="Arial" w:hAnsi="Arial" w:cs="Arial"/>
                <w:sz w:val="20"/>
                <w:szCs w:val="20"/>
              </w:rPr>
              <w:t>13</w:t>
            </w:r>
            <w:r w:rsidRPr="0004414F">
              <w:rPr>
                <w:rFonts w:ascii="Arial" w:hAnsi="Arial" w:cs="Arial"/>
                <w:sz w:val="20"/>
                <w:szCs w:val="20"/>
              </w:rPr>
              <w:t>%</w:t>
            </w:r>
          </w:p>
          <w:p w14:paraId="49820949" w14:textId="48D5876E" w:rsidR="007104B7" w:rsidRDefault="007104B7" w:rsidP="007104B7">
            <w:pPr>
              <w:keepNext/>
              <w:jc w:val="center"/>
              <w:rPr>
                <w:rFonts w:ascii="Arial" w:hAnsi="Arial" w:cs="Arial"/>
                <w:b/>
                <w:sz w:val="20"/>
              </w:rPr>
            </w:pPr>
          </w:p>
        </w:tc>
        <w:tc>
          <w:tcPr>
            <w:tcW w:w="1260" w:type="dxa"/>
            <w:tcBorders>
              <w:top w:val="single" w:sz="4" w:space="0" w:color="auto"/>
              <w:left w:val="single" w:sz="4" w:space="0" w:color="auto"/>
              <w:bottom w:val="single" w:sz="4" w:space="0" w:color="auto"/>
              <w:right w:val="single" w:sz="4" w:space="0" w:color="auto"/>
            </w:tcBorders>
          </w:tcPr>
          <w:p w14:paraId="68AE77EF" w14:textId="77777777" w:rsidR="007104B7" w:rsidRDefault="007104B7" w:rsidP="007104B7">
            <w:pPr>
              <w:jc w:val="center"/>
              <w:rPr>
                <w:rFonts w:ascii="Arial" w:hAnsi="Arial" w:cs="Arial"/>
                <w:sz w:val="20"/>
                <w:szCs w:val="20"/>
              </w:rPr>
            </w:pPr>
          </w:p>
          <w:p w14:paraId="083BEBD0" w14:textId="77777777" w:rsidR="007104B7" w:rsidRDefault="007104B7" w:rsidP="007104B7">
            <w:pPr>
              <w:jc w:val="center"/>
              <w:rPr>
                <w:rFonts w:ascii="Arial" w:hAnsi="Arial" w:cs="Arial"/>
                <w:sz w:val="20"/>
                <w:szCs w:val="20"/>
              </w:rPr>
            </w:pPr>
            <w:r>
              <w:rPr>
                <w:rFonts w:ascii="Arial" w:hAnsi="Arial" w:cs="Arial"/>
                <w:sz w:val="20"/>
                <w:szCs w:val="20"/>
              </w:rPr>
              <w:t>35%</w:t>
            </w:r>
          </w:p>
          <w:p w14:paraId="1CAB1D13" w14:textId="7DD231D2" w:rsidR="007104B7" w:rsidRDefault="007104B7" w:rsidP="007104B7">
            <w:pPr>
              <w:keepNext/>
              <w:jc w:val="center"/>
              <w:rPr>
                <w:rFonts w:ascii="Arial" w:hAnsi="Arial" w:cs="Arial"/>
                <w:b/>
                <w:sz w:val="20"/>
              </w:rPr>
            </w:pPr>
            <w:r>
              <w:rPr>
                <w:rFonts w:ascii="Arial" w:hAnsi="Arial" w:cs="Arial"/>
                <w:sz w:val="20"/>
                <w:szCs w:val="20"/>
              </w:rPr>
              <w:t>14%</w:t>
            </w:r>
          </w:p>
        </w:tc>
        <w:tc>
          <w:tcPr>
            <w:tcW w:w="1439" w:type="dxa"/>
            <w:gridSpan w:val="2"/>
            <w:tcBorders>
              <w:top w:val="single" w:sz="4" w:space="0" w:color="auto"/>
              <w:left w:val="single" w:sz="4" w:space="0" w:color="auto"/>
              <w:bottom w:val="single" w:sz="4" w:space="0" w:color="auto"/>
              <w:right w:val="single" w:sz="4" w:space="0" w:color="auto"/>
            </w:tcBorders>
          </w:tcPr>
          <w:p w14:paraId="1C5538A0" w14:textId="77777777" w:rsidR="007104B7" w:rsidRDefault="007104B7" w:rsidP="007104B7">
            <w:pPr>
              <w:jc w:val="center"/>
              <w:rPr>
                <w:rFonts w:ascii="Arial" w:hAnsi="Arial" w:cs="Arial"/>
                <w:sz w:val="20"/>
                <w:szCs w:val="20"/>
              </w:rPr>
            </w:pPr>
          </w:p>
          <w:p w14:paraId="0C6A109E" w14:textId="77777777" w:rsidR="007104B7" w:rsidRDefault="007104B7" w:rsidP="007104B7">
            <w:pPr>
              <w:jc w:val="center"/>
              <w:rPr>
                <w:rFonts w:ascii="Arial" w:hAnsi="Arial" w:cs="Arial"/>
                <w:sz w:val="20"/>
                <w:szCs w:val="20"/>
              </w:rPr>
            </w:pPr>
            <w:r>
              <w:rPr>
                <w:rFonts w:ascii="Arial" w:hAnsi="Arial" w:cs="Arial"/>
                <w:sz w:val="20"/>
                <w:szCs w:val="20"/>
              </w:rPr>
              <w:t>33%</w:t>
            </w:r>
          </w:p>
          <w:p w14:paraId="7B8118E0" w14:textId="5C0C439B" w:rsidR="007104B7" w:rsidRDefault="007104B7" w:rsidP="007104B7">
            <w:pPr>
              <w:keepNext/>
              <w:jc w:val="center"/>
              <w:rPr>
                <w:rFonts w:ascii="Arial" w:hAnsi="Arial" w:cs="Arial"/>
                <w:b/>
                <w:sz w:val="20"/>
              </w:rPr>
            </w:pPr>
            <w:r>
              <w:rPr>
                <w:rFonts w:ascii="Arial" w:hAnsi="Arial" w:cs="Arial"/>
                <w:sz w:val="20"/>
                <w:szCs w:val="20"/>
              </w:rPr>
              <w:t>11%</w:t>
            </w:r>
          </w:p>
        </w:tc>
        <w:tc>
          <w:tcPr>
            <w:tcW w:w="1260" w:type="dxa"/>
            <w:tcBorders>
              <w:top w:val="single" w:sz="4" w:space="0" w:color="auto"/>
              <w:left w:val="single" w:sz="4" w:space="0" w:color="auto"/>
              <w:bottom w:val="single" w:sz="4" w:space="0" w:color="auto"/>
              <w:right w:val="single" w:sz="4" w:space="0" w:color="auto"/>
            </w:tcBorders>
          </w:tcPr>
          <w:p w14:paraId="1647C160" w14:textId="1B729917" w:rsidR="007104B7" w:rsidRDefault="007104B7" w:rsidP="007104B7">
            <w:pPr>
              <w:jc w:val="center"/>
              <w:rPr>
                <w:rFonts w:ascii="Arial" w:hAnsi="Arial" w:cs="Arial"/>
                <w:sz w:val="20"/>
                <w:szCs w:val="20"/>
              </w:rPr>
            </w:pPr>
          </w:p>
        </w:tc>
      </w:tr>
      <w:tr w:rsidR="007104B7" w:rsidRPr="00301088" w14:paraId="593213D7" w14:textId="77777777" w:rsidTr="007B1534">
        <w:tc>
          <w:tcPr>
            <w:tcW w:w="4495" w:type="dxa"/>
            <w:gridSpan w:val="2"/>
            <w:tcBorders>
              <w:top w:val="single" w:sz="4" w:space="0" w:color="auto"/>
              <w:left w:val="nil"/>
              <w:bottom w:val="nil"/>
              <w:right w:val="nil"/>
            </w:tcBorders>
            <w:vAlign w:val="center"/>
          </w:tcPr>
          <w:p w14:paraId="35F14A4E" w14:textId="77777777" w:rsidR="007104B7" w:rsidRDefault="007104B7" w:rsidP="007104B7">
            <w:pPr>
              <w:rPr>
                <w:rFonts w:ascii="Arial" w:hAnsi="Arial" w:cs="Arial"/>
                <w:color w:val="000000" w:themeColor="text1"/>
                <w:sz w:val="20"/>
                <w:szCs w:val="20"/>
              </w:rPr>
            </w:pPr>
          </w:p>
          <w:p w14:paraId="7AEF4A36" w14:textId="2C89A867" w:rsidR="007104B7" w:rsidRPr="00B94017" w:rsidRDefault="007104B7" w:rsidP="007104B7">
            <w:pPr>
              <w:rPr>
                <w:rFonts w:ascii="Arial" w:hAnsi="Arial" w:cs="Arial"/>
                <w:color w:val="000000" w:themeColor="text1"/>
                <w:sz w:val="20"/>
                <w:szCs w:val="20"/>
              </w:rPr>
            </w:pPr>
          </w:p>
        </w:tc>
        <w:tc>
          <w:tcPr>
            <w:tcW w:w="1620" w:type="dxa"/>
            <w:tcBorders>
              <w:top w:val="single" w:sz="4" w:space="0" w:color="auto"/>
              <w:left w:val="nil"/>
              <w:bottom w:val="nil"/>
              <w:right w:val="nil"/>
            </w:tcBorders>
          </w:tcPr>
          <w:p w14:paraId="48FEE1C4" w14:textId="77777777" w:rsidR="007104B7" w:rsidRDefault="007104B7" w:rsidP="007104B7">
            <w:pPr>
              <w:jc w:val="center"/>
              <w:rPr>
                <w:rFonts w:ascii="Arial" w:hAnsi="Arial" w:cs="Arial"/>
                <w:sz w:val="20"/>
                <w:szCs w:val="20"/>
              </w:rPr>
            </w:pPr>
          </w:p>
        </w:tc>
        <w:tc>
          <w:tcPr>
            <w:tcW w:w="1260" w:type="dxa"/>
            <w:tcBorders>
              <w:top w:val="single" w:sz="4" w:space="0" w:color="auto"/>
              <w:left w:val="nil"/>
              <w:bottom w:val="nil"/>
              <w:right w:val="nil"/>
            </w:tcBorders>
            <w:vAlign w:val="center"/>
          </w:tcPr>
          <w:p w14:paraId="7528089F" w14:textId="77777777" w:rsidR="007104B7" w:rsidRDefault="007104B7" w:rsidP="007104B7">
            <w:pPr>
              <w:jc w:val="center"/>
              <w:rPr>
                <w:rFonts w:ascii="Arial" w:hAnsi="Arial" w:cs="Arial"/>
                <w:sz w:val="20"/>
                <w:szCs w:val="20"/>
              </w:rPr>
            </w:pPr>
          </w:p>
        </w:tc>
        <w:tc>
          <w:tcPr>
            <w:tcW w:w="1439" w:type="dxa"/>
            <w:gridSpan w:val="2"/>
            <w:tcBorders>
              <w:top w:val="single" w:sz="4" w:space="0" w:color="auto"/>
              <w:left w:val="nil"/>
              <w:bottom w:val="nil"/>
              <w:right w:val="nil"/>
            </w:tcBorders>
          </w:tcPr>
          <w:p w14:paraId="1BDFB599" w14:textId="77777777" w:rsidR="007104B7" w:rsidRDefault="007104B7" w:rsidP="007104B7">
            <w:pPr>
              <w:jc w:val="center"/>
              <w:rPr>
                <w:rFonts w:ascii="Arial" w:hAnsi="Arial" w:cs="Arial"/>
                <w:sz w:val="20"/>
                <w:szCs w:val="20"/>
              </w:rPr>
            </w:pPr>
          </w:p>
        </w:tc>
        <w:tc>
          <w:tcPr>
            <w:tcW w:w="1260" w:type="dxa"/>
            <w:tcBorders>
              <w:top w:val="single" w:sz="4" w:space="0" w:color="auto"/>
              <w:left w:val="nil"/>
              <w:bottom w:val="nil"/>
              <w:right w:val="nil"/>
            </w:tcBorders>
          </w:tcPr>
          <w:p w14:paraId="70466F8B" w14:textId="77777777" w:rsidR="007104B7" w:rsidRDefault="007104B7" w:rsidP="007104B7">
            <w:pPr>
              <w:jc w:val="center"/>
              <w:rPr>
                <w:rFonts w:ascii="Arial" w:hAnsi="Arial" w:cs="Arial"/>
                <w:sz w:val="20"/>
                <w:szCs w:val="20"/>
              </w:rPr>
            </w:pPr>
          </w:p>
        </w:tc>
      </w:tr>
      <w:tr w:rsidR="007104B7" w:rsidRPr="00301088" w14:paraId="66AC1965" w14:textId="79C96110" w:rsidTr="00823743">
        <w:tc>
          <w:tcPr>
            <w:tcW w:w="4495" w:type="dxa"/>
            <w:gridSpan w:val="2"/>
            <w:tcBorders>
              <w:top w:val="single" w:sz="4" w:space="0" w:color="auto"/>
              <w:left w:val="single" w:sz="4" w:space="0" w:color="auto"/>
              <w:bottom w:val="single" w:sz="4" w:space="0" w:color="auto"/>
              <w:right w:val="single" w:sz="4" w:space="0" w:color="auto"/>
            </w:tcBorders>
          </w:tcPr>
          <w:p w14:paraId="15E298E7" w14:textId="77777777" w:rsidR="007104B7" w:rsidRPr="002C2F90" w:rsidRDefault="007104B7" w:rsidP="007104B7">
            <w:pPr>
              <w:rPr>
                <w:rFonts w:ascii="Arial" w:hAnsi="Arial" w:cs="Arial"/>
                <w:sz w:val="20"/>
                <w:vertAlign w:val="superscript"/>
              </w:rPr>
            </w:pPr>
            <w:r w:rsidRPr="00301088">
              <w:rPr>
                <w:rFonts w:ascii="Arial" w:hAnsi="Arial" w:cs="Arial"/>
                <w:sz w:val="20"/>
              </w:rPr>
              <w:t>Total new degree-seeking undergraduate students</w:t>
            </w:r>
            <w:r>
              <w:rPr>
                <w:rFonts w:ascii="Arial" w:hAnsi="Arial" w:cs="Arial"/>
                <w:sz w:val="20"/>
              </w:rPr>
              <w:t xml:space="preserve"> in FY</w:t>
            </w:r>
            <w:r>
              <w:rPr>
                <w:rFonts w:ascii="Arial" w:hAnsi="Arial" w:cs="Arial"/>
                <w:b/>
                <w:sz w:val="20"/>
                <w:vertAlign w:val="superscript"/>
              </w:rPr>
              <w:t>7</w:t>
            </w:r>
          </w:p>
          <w:p w14:paraId="311080B4" w14:textId="77777777" w:rsidR="007104B7" w:rsidRPr="00E66B60" w:rsidRDefault="007104B7" w:rsidP="007104B7">
            <w:pPr>
              <w:rPr>
                <w:rFonts w:ascii="Arial" w:hAnsi="Arial" w:cs="Arial"/>
                <w:sz w:val="20"/>
              </w:rPr>
            </w:pPr>
          </w:p>
          <w:p w14:paraId="6126485D" w14:textId="77777777" w:rsidR="007104B7" w:rsidRPr="00301088" w:rsidRDefault="007104B7" w:rsidP="007104B7">
            <w:pPr>
              <w:pStyle w:val="ListParagraph"/>
              <w:numPr>
                <w:ilvl w:val="0"/>
                <w:numId w:val="1"/>
              </w:numPr>
              <w:rPr>
                <w:rFonts w:ascii="Arial" w:hAnsi="Arial" w:cs="Arial"/>
                <w:sz w:val="20"/>
              </w:rPr>
            </w:pPr>
            <w:r w:rsidRPr="00301088">
              <w:rPr>
                <w:rFonts w:ascii="Arial" w:hAnsi="Arial" w:cs="Arial"/>
                <w:sz w:val="20"/>
              </w:rPr>
              <w:t>Idaho Resident</w:t>
            </w:r>
          </w:p>
          <w:p w14:paraId="44853CE0" w14:textId="77777777" w:rsidR="007104B7" w:rsidRDefault="007104B7" w:rsidP="007104B7">
            <w:pPr>
              <w:pStyle w:val="ListParagraph"/>
              <w:numPr>
                <w:ilvl w:val="0"/>
                <w:numId w:val="1"/>
              </w:numPr>
              <w:rPr>
                <w:rFonts w:ascii="Arial" w:hAnsi="Arial" w:cs="Arial"/>
                <w:sz w:val="20"/>
              </w:rPr>
            </w:pPr>
            <w:r w:rsidRPr="00301088">
              <w:rPr>
                <w:rFonts w:ascii="Arial" w:hAnsi="Arial" w:cs="Arial"/>
                <w:sz w:val="20"/>
              </w:rPr>
              <w:t>Non-resident</w:t>
            </w:r>
          </w:p>
          <w:p w14:paraId="2DBE2B7D" w14:textId="7A4F0524" w:rsidR="007104B7" w:rsidRPr="00180CDF" w:rsidRDefault="007104B7" w:rsidP="007104B7">
            <w:pPr>
              <w:pStyle w:val="ListParagraph"/>
              <w:numPr>
                <w:ilvl w:val="0"/>
                <w:numId w:val="1"/>
              </w:numPr>
              <w:rPr>
                <w:rFonts w:ascii="Arial" w:hAnsi="Arial" w:cs="Arial"/>
                <w:sz w:val="20"/>
              </w:rPr>
            </w:pPr>
            <w:r w:rsidRPr="00180CDF">
              <w:rPr>
                <w:rFonts w:ascii="Arial" w:hAnsi="Arial" w:cs="Arial"/>
                <w:sz w:val="20"/>
              </w:rPr>
              <w:t>International</w:t>
            </w:r>
          </w:p>
        </w:tc>
        <w:tc>
          <w:tcPr>
            <w:tcW w:w="1620" w:type="dxa"/>
            <w:tcBorders>
              <w:top w:val="single" w:sz="4" w:space="0" w:color="auto"/>
              <w:left w:val="single" w:sz="4" w:space="0" w:color="auto"/>
              <w:bottom w:val="single" w:sz="4" w:space="0" w:color="auto"/>
              <w:right w:val="single" w:sz="4" w:space="0" w:color="auto"/>
            </w:tcBorders>
          </w:tcPr>
          <w:p w14:paraId="235FB56B" w14:textId="77777777" w:rsidR="007104B7" w:rsidRDefault="007104B7" w:rsidP="007104B7">
            <w:pPr>
              <w:jc w:val="center"/>
              <w:rPr>
                <w:rFonts w:ascii="Arial" w:hAnsi="Arial" w:cs="Arial"/>
                <w:b/>
                <w:sz w:val="20"/>
              </w:rPr>
            </w:pPr>
          </w:p>
          <w:p w14:paraId="29BF82AB" w14:textId="77777777" w:rsidR="007104B7" w:rsidRDefault="007104B7" w:rsidP="007104B7">
            <w:pPr>
              <w:jc w:val="center"/>
              <w:rPr>
                <w:rFonts w:ascii="Arial" w:hAnsi="Arial" w:cs="Arial"/>
                <w:b/>
                <w:sz w:val="20"/>
              </w:rPr>
            </w:pPr>
            <w:r w:rsidRPr="00D847A3">
              <w:rPr>
                <w:rFonts w:ascii="Arial" w:hAnsi="Arial" w:cs="Arial"/>
                <w:b/>
                <w:sz w:val="20"/>
              </w:rPr>
              <w:t>1,703</w:t>
            </w:r>
          </w:p>
          <w:p w14:paraId="3304A7D3" w14:textId="77777777" w:rsidR="007104B7" w:rsidRDefault="007104B7" w:rsidP="007104B7">
            <w:pPr>
              <w:jc w:val="center"/>
              <w:rPr>
                <w:rFonts w:ascii="Arial" w:hAnsi="Arial" w:cs="Arial"/>
                <w:b/>
                <w:sz w:val="20"/>
              </w:rPr>
            </w:pPr>
          </w:p>
          <w:p w14:paraId="54A70AFD" w14:textId="77777777" w:rsidR="007104B7" w:rsidRPr="00D847A3" w:rsidRDefault="007104B7" w:rsidP="007104B7">
            <w:pPr>
              <w:jc w:val="center"/>
              <w:rPr>
                <w:rFonts w:ascii="Arial" w:hAnsi="Arial" w:cs="Arial"/>
                <w:sz w:val="20"/>
              </w:rPr>
            </w:pPr>
            <w:r w:rsidRPr="00D847A3">
              <w:rPr>
                <w:rFonts w:ascii="Arial" w:hAnsi="Arial" w:cs="Arial"/>
                <w:sz w:val="20"/>
              </w:rPr>
              <w:t>1,522</w:t>
            </w:r>
          </w:p>
          <w:p w14:paraId="275D74BD" w14:textId="77777777" w:rsidR="007104B7" w:rsidRPr="00D847A3" w:rsidRDefault="007104B7" w:rsidP="007104B7">
            <w:pPr>
              <w:jc w:val="center"/>
              <w:rPr>
                <w:rFonts w:ascii="Arial" w:hAnsi="Arial" w:cs="Arial"/>
                <w:sz w:val="20"/>
              </w:rPr>
            </w:pPr>
            <w:r w:rsidRPr="00D847A3">
              <w:rPr>
                <w:rFonts w:ascii="Arial" w:hAnsi="Arial" w:cs="Arial"/>
                <w:sz w:val="20"/>
              </w:rPr>
              <w:t>142</w:t>
            </w:r>
          </w:p>
          <w:p w14:paraId="73971886" w14:textId="47542E8E" w:rsidR="007104B7" w:rsidRDefault="007104B7" w:rsidP="007104B7">
            <w:pPr>
              <w:jc w:val="center"/>
              <w:rPr>
                <w:rFonts w:ascii="Arial" w:hAnsi="Arial" w:cs="Arial"/>
                <w:b/>
                <w:sz w:val="20"/>
              </w:rPr>
            </w:pPr>
            <w:r w:rsidRPr="00D847A3">
              <w:rPr>
                <w:rFonts w:ascii="Arial" w:hAnsi="Arial" w:cs="Arial"/>
                <w:sz w:val="20"/>
              </w:rPr>
              <w:t>39</w:t>
            </w:r>
          </w:p>
        </w:tc>
        <w:tc>
          <w:tcPr>
            <w:tcW w:w="1349" w:type="dxa"/>
            <w:gridSpan w:val="2"/>
            <w:tcBorders>
              <w:top w:val="single" w:sz="4" w:space="0" w:color="auto"/>
              <w:left w:val="single" w:sz="4" w:space="0" w:color="auto"/>
              <w:bottom w:val="single" w:sz="4" w:space="0" w:color="auto"/>
              <w:right w:val="single" w:sz="4" w:space="0" w:color="auto"/>
            </w:tcBorders>
          </w:tcPr>
          <w:p w14:paraId="035CE0E8" w14:textId="77777777" w:rsidR="007104B7" w:rsidRDefault="007104B7" w:rsidP="007104B7">
            <w:pPr>
              <w:jc w:val="center"/>
              <w:rPr>
                <w:rFonts w:ascii="Arial" w:hAnsi="Arial" w:cs="Arial"/>
                <w:sz w:val="20"/>
              </w:rPr>
            </w:pPr>
          </w:p>
          <w:p w14:paraId="1D2CE240" w14:textId="77777777" w:rsidR="007104B7" w:rsidRDefault="007104B7" w:rsidP="007104B7">
            <w:pPr>
              <w:jc w:val="center"/>
              <w:rPr>
                <w:rFonts w:ascii="Arial" w:hAnsi="Arial" w:cs="Arial"/>
                <w:b/>
                <w:sz w:val="20"/>
              </w:rPr>
            </w:pPr>
            <w:r>
              <w:rPr>
                <w:rFonts w:ascii="Arial" w:hAnsi="Arial" w:cs="Arial"/>
                <w:b/>
                <w:sz w:val="20"/>
              </w:rPr>
              <w:t>1,671</w:t>
            </w:r>
          </w:p>
          <w:p w14:paraId="5DF06D0B" w14:textId="77777777" w:rsidR="007104B7" w:rsidRDefault="007104B7" w:rsidP="007104B7">
            <w:pPr>
              <w:jc w:val="center"/>
              <w:rPr>
                <w:rFonts w:ascii="Arial" w:hAnsi="Arial" w:cs="Arial"/>
                <w:b/>
                <w:sz w:val="20"/>
              </w:rPr>
            </w:pPr>
          </w:p>
          <w:p w14:paraId="6B9416E2" w14:textId="77777777" w:rsidR="007104B7" w:rsidRPr="00B716FB" w:rsidRDefault="007104B7" w:rsidP="007104B7">
            <w:pPr>
              <w:jc w:val="center"/>
              <w:rPr>
                <w:rFonts w:ascii="Arial" w:hAnsi="Arial" w:cs="Arial"/>
                <w:sz w:val="20"/>
              </w:rPr>
            </w:pPr>
            <w:r w:rsidRPr="00B716FB">
              <w:rPr>
                <w:rFonts w:ascii="Arial" w:hAnsi="Arial" w:cs="Arial"/>
                <w:sz w:val="20"/>
              </w:rPr>
              <w:t>1,456</w:t>
            </w:r>
          </w:p>
          <w:p w14:paraId="2B3EDEC7" w14:textId="77777777" w:rsidR="007104B7" w:rsidRDefault="007104B7" w:rsidP="007104B7">
            <w:pPr>
              <w:jc w:val="center"/>
              <w:rPr>
                <w:rFonts w:ascii="Arial" w:hAnsi="Arial" w:cs="Arial"/>
                <w:sz w:val="20"/>
              </w:rPr>
            </w:pPr>
            <w:r w:rsidRPr="00B716FB">
              <w:rPr>
                <w:rFonts w:ascii="Arial" w:hAnsi="Arial" w:cs="Arial"/>
                <w:sz w:val="20"/>
              </w:rPr>
              <w:t>160</w:t>
            </w:r>
          </w:p>
          <w:p w14:paraId="51E97916" w14:textId="25F549BE" w:rsidR="007104B7" w:rsidRDefault="007104B7" w:rsidP="007104B7">
            <w:pPr>
              <w:jc w:val="center"/>
              <w:rPr>
                <w:rFonts w:ascii="Arial" w:hAnsi="Arial" w:cs="Arial"/>
                <w:b/>
                <w:sz w:val="20"/>
              </w:rPr>
            </w:pPr>
            <w:r>
              <w:rPr>
                <w:rFonts w:ascii="Arial" w:hAnsi="Arial" w:cs="Arial"/>
                <w:sz w:val="20"/>
              </w:rPr>
              <w:t>55</w:t>
            </w:r>
          </w:p>
        </w:tc>
        <w:tc>
          <w:tcPr>
            <w:tcW w:w="1350" w:type="dxa"/>
            <w:tcBorders>
              <w:top w:val="single" w:sz="4" w:space="0" w:color="auto"/>
              <w:left w:val="single" w:sz="4" w:space="0" w:color="auto"/>
              <w:bottom w:val="single" w:sz="4" w:space="0" w:color="auto"/>
              <w:right w:val="single" w:sz="4" w:space="0" w:color="auto"/>
            </w:tcBorders>
          </w:tcPr>
          <w:p w14:paraId="73A4CFD0" w14:textId="77777777" w:rsidR="007104B7" w:rsidRPr="00F63426" w:rsidRDefault="007104B7" w:rsidP="007104B7">
            <w:pPr>
              <w:jc w:val="center"/>
              <w:rPr>
                <w:rFonts w:ascii="Arial" w:hAnsi="Arial" w:cs="Arial"/>
                <w:sz w:val="20"/>
              </w:rPr>
            </w:pPr>
          </w:p>
          <w:p w14:paraId="14C54F8F" w14:textId="77777777" w:rsidR="007104B7" w:rsidRPr="00F63426" w:rsidRDefault="007104B7" w:rsidP="007104B7">
            <w:pPr>
              <w:jc w:val="center"/>
              <w:rPr>
                <w:rFonts w:ascii="Arial" w:hAnsi="Arial" w:cs="Arial"/>
                <w:b/>
                <w:sz w:val="20"/>
              </w:rPr>
            </w:pPr>
            <w:r w:rsidRPr="00F63426">
              <w:rPr>
                <w:rFonts w:ascii="Arial" w:hAnsi="Arial" w:cs="Arial"/>
                <w:b/>
                <w:sz w:val="20"/>
              </w:rPr>
              <w:t>2,016</w:t>
            </w:r>
          </w:p>
          <w:p w14:paraId="7089D120" w14:textId="77777777" w:rsidR="007104B7" w:rsidRPr="00F63426" w:rsidRDefault="007104B7" w:rsidP="007104B7">
            <w:pPr>
              <w:jc w:val="center"/>
              <w:rPr>
                <w:rFonts w:ascii="Arial" w:hAnsi="Arial" w:cs="Arial"/>
                <w:sz w:val="20"/>
              </w:rPr>
            </w:pPr>
          </w:p>
          <w:p w14:paraId="7228B0F5" w14:textId="77777777" w:rsidR="007104B7" w:rsidRPr="00F63426" w:rsidRDefault="007104B7" w:rsidP="007104B7">
            <w:pPr>
              <w:jc w:val="center"/>
              <w:rPr>
                <w:rFonts w:ascii="Arial" w:hAnsi="Arial" w:cs="Arial"/>
                <w:sz w:val="20"/>
              </w:rPr>
            </w:pPr>
            <w:r w:rsidRPr="00F63426">
              <w:rPr>
                <w:rFonts w:ascii="Arial" w:hAnsi="Arial" w:cs="Arial"/>
                <w:sz w:val="20"/>
              </w:rPr>
              <w:t>1,802</w:t>
            </w:r>
          </w:p>
          <w:p w14:paraId="1E199C6B" w14:textId="77777777" w:rsidR="007104B7" w:rsidRPr="00F63426" w:rsidRDefault="007104B7" w:rsidP="007104B7">
            <w:pPr>
              <w:jc w:val="center"/>
              <w:rPr>
                <w:rFonts w:ascii="Arial" w:hAnsi="Arial" w:cs="Arial"/>
                <w:sz w:val="20"/>
              </w:rPr>
            </w:pPr>
            <w:r w:rsidRPr="00F63426">
              <w:rPr>
                <w:rFonts w:ascii="Arial" w:hAnsi="Arial" w:cs="Arial"/>
                <w:sz w:val="20"/>
              </w:rPr>
              <w:t>144</w:t>
            </w:r>
          </w:p>
          <w:p w14:paraId="0694BCC7" w14:textId="5792809F" w:rsidR="007104B7" w:rsidRDefault="007104B7" w:rsidP="007104B7">
            <w:pPr>
              <w:jc w:val="center"/>
              <w:rPr>
                <w:rFonts w:ascii="Arial" w:hAnsi="Arial" w:cs="Arial"/>
                <w:b/>
                <w:sz w:val="20"/>
              </w:rPr>
            </w:pPr>
            <w:r w:rsidRPr="00F63426">
              <w:rPr>
                <w:rFonts w:ascii="Arial" w:hAnsi="Arial" w:cs="Arial"/>
                <w:sz w:val="20"/>
              </w:rPr>
              <w:t>70</w:t>
            </w:r>
          </w:p>
        </w:tc>
        <w:tc>
          <w:tcPr>
            <w:tcW w:w="1260" w:type="dxa"/>
            <w:tcBorders>
              <w:top w:val="single" w:sz="4" w:space="0" w:color="auto"/>
              <w:left w:val="single" w:sz="4" w:space="0" w:color="auto"/>
              <w:bottom w:val="single" w:sz="4" w:space="0" w:color="auto"/>
              <w:right w:val="single" w:sz="4" w:space="0" w:color="auto"/>
            </w:tcBorders>
          </w:tcPr>
          <w:p w14:paraId="2E9AFBAA" w14:textId="1667BB22" w:rsidR="007104B7" w:rsidRPr="00F63426" w:rsidRDefault="007104B7" w:rsidP="007104B7">
            <w:pPr>
              <w:jc w:val="center"/>
              <w:rPr>
                <w:rFonts w:ascii="Arial" w:hAnsi="Arial" w:cs="Arial"/>
                <w:sz w:val="20"/>
              </w:rPr>
            </w:pPr>
          </w:p>
        </w:tc>
      </w:tr>
    </w:tbl>
    <w:p w14:paraId="6A06C348" w14:textId="77777777" w:rsidR="000E7976" w:rsidRPr="005B05EE" w:rsidRDefault="000E7976" w:rsidP="00F63426">
      <w:pPr>
        <w:jc w:val="center"/>
        <w:rPr>
          <w:rFonts w:ascii="Arial" w:hAnsi="Arial" w:cs="Arial"/>
          <w:sz w:val="20"/>
          <w:szCs w:val="20"/>
        </w:rPr>
      </w:pPr>
    </w:p>
    <w:p w14:paraId="1FBC8A2F" w14:textId="53505D09" w:rsidR="00FA7817" w:rsidRDefault="00FA7817" w:rsidP="00FA7817">
      <w:pPr>
        <w:rPr>
          <w:rFonts w:ascii="Arial" w:hAnsi="Arial" w:cs="Arial"/>
          <w:sz w:val="20"/>
          <w:szCs w:val="20"/>
        </w:rPr>
      </w:pPr>
      <w:r w:rsidRPr="00FA7817">
        <w:rPr>
          <w:rFonts w:ascii="Arial" w:hAnsi="Arial" w:cs="Arial"/>
          <w:sz w:val="20"/>
          <w:szCs w:val="20"/>
        </w:rPr>
        <w:t>1.</w:t>
      </w:r>
      <w:r>
        <w:rPr>
          <w:rFonts w:ascii="Arial" w:hAnsi="Arial" w:cs="Arial"/>
          <w:sz w:val="20"/>
          <w:szCs w:val="20"/>
        </w:rPr>
        <w:t xml:space="preserve"> </w:t>
      </w:r>
      <w:r w:rsidR="00C84C5F" w:rsidRPr="00FA7817">
        <w:rPr>
          <w:rFonts w:ascii="Arial" w:hAnsi="Arial" w:cs="Arial"/>
          <w:sz w:val="20"/>
          <w:szCs w:val="20"/>
        </w:rPr>
        <w:t xml:space="preserve">Student headcounts are unduplicated in a fiscal year by category. If a student is enrolled in an ISU course, </w:t>
      </w:r>
      <w:r w:rsidR="00F9378F" w:rsidRPr="00FA7817">
        <w:rPr>
          <w:rFonts w:ascii="Arial" w:hAnsi="Arial" w:cs="Arial"/>
          <w:sz w:val="20"/>
          <w:szCs w:val="20"/>
        </w:rPr>
        <w:t>enrolled</w:t>
      </w:r>
      <w:r w:rsidR="00C84C5F" w:rsidRPr="00FA7817">
        <w:rPr>
          <w:rFonts w:ascii="Arial" w:hAnsi="Arial" w:cs="Arial"/>
          <w:sz w:val="20"/>
          <w:szCs w:val="20"/>
        </w:rPr>
        <w:t xml:space="preserve"> in a College of Education professional development course, </w:t>
      </w:r>
      <w:r w:rsidR="00F9378F" w:rsidRPr="00FA7817">
        <w:rPr>
          <w:rFonts w:ascii="Arial" w:hAnsi="Arial" w:cs="Arial"/>
          <w:sz w:val="20"/>
          <w:szCs w:val="20"/>
        </w:rPr>
        <w:t>and</w:t>
      </w:r>
      <w:r w:rsidR="00C84C5F" w:rsidRPr="00FA7817">
        <w:rPr>
          <w:rFonts w:ascii="Arial" w:hAnsi="Arial" w:cs="Arial"/>
          <w:sz w:val="20"/>
          <w:szCs w:val="20"/>
        </w:rPr>
        <w:t xml:space="preserve"> enrolled in a </w:t>
      </w:r>
      <w:r w:rsidR="00017749" w:rsidRPr="00FA7817">
        <w:rPr>
          <w:rFonts w:ascii="Arial" w:hAnsi="Arial" w:cs="Arial"/>
          <w:sz w:val="20"/>
          <w:szCs w:val="20"/>
        </w:rPr>
        <w:t xml:space="preserve">Workforce Training / Continuing Education in the same fiscal </w:t>
      </w:r>
      <w:r w:rsidR="00F9378F" w:rsidRPr="00FA7817">
        <w:rPr>
          <w:rFonts w:ascii="Arial" w:hAnsi="Arial" w:cs="Arial"/>
          <w:sz w:val="20"/>
          <w:szCs w:val="20"/>
        </w:rPr>
        <w:t>year,</w:t>
      </w:r>
      <w:r w:rsidR="00017749" w:rsidRPr="00FA7817">
        <w:rPr>
          <w:rFonts w:ascii="Arial" w:hAnsi="Arial" w:cs="Arial"/>
          <w:sz w:val="20"/>
          <w:szCs w:val="20"/>
        </w:rPr>
        <w:t xml:space="preserve"> the student will be counted 3 times, once in each category. </w:t>
      </w:r>
      <w:r w:rsidRPr="00FA7817">
        <w:rPr>
          <w:rFonts w:ascii="Arial" w:hAnsi="Arial" w:cs="Arial"/>
          <w:sz w:val="20"/>
          <w:szCs w:val="20"/>
        </w:rPr>
        <w:t>The main reason for the large increase in the total number of College of Education K-12 professional developm</w:t>
      </w:r>
      <w:r w:rsidR="005A4EFA">
        <w:rPr>
          <w:rFonts w:ascii="Arial" w:hAnsi="Arial" w:cs="Arial"/>
          <w:sz w:val="20"/>
          <w:szCs w:val="20"/>
        </w:rPr>
        <w:t xml:space="preserve">ent students </w:t>
      </w:r>
      <w:r w:rsidR="00F63426">
        <w:rPr>
          <w:rFonts w:ascii="Arial" w:hAnsi="Arial" w:cs="Arial"/>
          <w:sz w:val="20"/>
          <w:szCs w:val="20"/>
        </w:rPr>
        <w:t>since</w:t>
      </w:r>
      <w:r w:rsidR="005A4EFA">
        <w:rPr>
          <w:rFonts w:ascii="Arial" w:hAnsi="Arial" w:cs="Arial"/>
          <w:sz w:val="20"/>
          <w:szCs w:val="20"/>
        </w:rPr>
        <w:t xml:space="preserve"> fiscal year 2021</w:t>
      </w:r>
      <w:r w:rsidRPr="00FA7817">
        <w:rPr>
          <w:rFonts w:ascii="Arial" w:hAnsi="Arial" w:cs="Arial"/>
          <w:sz w:val="20"/>
          <w:szCs w:val="20"/>
        </w:rPr>
        <w:t xml:space="preserve"> was the result of an out-of-state marketing campaign.</w:t>
      </w:r>
    </w:p>
    <w:p w14:paraId="31DF1C2D" w14:textId="629B7C13" w:rsidR="00ED6652" w:rsidRDefault="008C0226" w:rsidP="000E7976">
      <w:pPr>
        <w:spacing w:line="276" w:lineRule="auto"/>
        <w:jc w:val="both"/>
        <w:rPr>
          <w:rFonts w:ascii="Arial" w:hAnsi="Arial" w:cs="Arial"/>
          <w:sz w:val="20"/>
          <w:szCs w:val="20"/>
        </w:rPr>
      </w:pPr>
      <w:r w:rsidRPr="005B05EE">
        <w:rPr>
          <w:rFonts w:ascii="Arial" w:hAnsi="Arial" w:cs="Arial"/>
          <w:sz w:val="20"/>
          <w:szCs w:val="20"/>
        </w:rPr>
        <w:t>2.</w:t>
      </w:r>
      <w:r w:rsidR="00ED6652" w:rsidRPr="005B05EE">
        <w:rPr>
          <w:rFonts w:ascii="Arial" w:hAnsi="Arial" w:cs="Arial"/>
          <w:sz w:val="20"/>
          <w:szCs w:val="20"/>
        </w:rPr>
        <w:t xml:space="preserve"> Annual full-time equivalency (FTE) </w:t>
      </w:r>
      <w:r w:rsidR="00ED6652" w:rsidRPr="005B05EE">
        <w:rPr>
          <w:rFonts w:ascii="Arial" w:hAnsi="Arial" w:cs="Arial"/>
          <w:noProof/>
          <w:sz w:val="20"/>
          <w:szCs w:val="20"/>
        </w:rPr>
        <w:t>is calculated</w:t>
      </w:r>
      <w:r w:rsidR="00ED6652" w:rsidRPr="005B05EE">
        <w:rPr>
          <w:rFonts w:ascii="Arial" w:hAnsi="Arial" w:cs="Arial"/>
          <w:sz w:val="20"/>
          <w:szCs w:val="20"/>
        </w:rPr>
        <w:t xml:space="preserve"> by dividing the tota</w:t>
      </w:r>
      <w:r w:rsidR="003D1A5A" w:rsidRPr="005B05EE">
        <w:rPr>
          <w:rFonts w:ascii="Arial" w:hAnsi="Arial" w:cs="Arial"/>
          <w:sz w:val="20"/>
          <w:szCs w:val="20"/>
        </w:rPr>
        <w:t>l Undergraduate and Career</w:t>
      </w:r>
      <w:r w:rsidR="00ED6652" w:rsidRPr="005B05EE">
        <w:rPr>
          <w:rFonts w:ascii="Arial" w:hAnsi="Arial" w:cs="Arial"/>
          <w:sz w:val="20"/>
          <w:szCs w:val="20"/>
        </w:rPr>
        <w:t xml:space="preserve"> Technical credit hours (SCH) by 30; total Graduate SCH is divided by 24. </w:t>
      </w:r>
    </w:p>
    <w:p w14:paraId="5748C29D" w14:textId="77777777" w:rsidR="00ED6652" w:rsidRPr="005B05EE" w:rsidRDefault="008C0226" w:rsidP="000E7976">
      <w:pPr>
        <w:spacing w:line="276" w:lineRule="auto"/>
        <w:jc w:val="both"/>
        <w:rPr>
          <w:rFonts w:ascii="Arial" w:hAnsi="Arial" w:cs="Arial"/>
          <w:sz w:val="20"/>
          <w:szCs w:val="20"/>
        </w:rPr>
      </w:pPr>
      <w:r w:rsidRPr="005B05EE">
        <w:rPr>
          <w:rFonts w:ascii="Arial" w:hAnsi="Arial" w:cs="Arial"/>
          <w:sz w:val="20"/>
          <w:szCs w:val="20"/>
        </w:rPr>
        <w:t>3</w:t>
      </w:r>
      <w:r w:rsidR="00ED6652" w:rsidRPr="005B05EE">
        <w:rPr>
          <w:rFonts w:ascii="Arial" w:hAnsi="Arial" w:cs="Arial"/>
          <w:sz w:val="20"/>
          <w:szCs w:val="20"/>
        </w:rPr>
        <w:t>. Total student credit hour production for the fiscal year.</w:t>
      </w:r>
    </w:p>
    <w:p w14:paraId="1D5ED9D4" w14:textId="2C579DB2" w:rsidR="00ED6652" w:rsidRPr="005B05EE" w:rsidRDefault="008C0226" w:rsidP="000E7976">
      <w:pPr>
        <w:jc w:val="both"/>
        <w:rPr>
          <w:rFonts w:ascii="Arial" w:hAnsi="Arial" w:cs="Arial"/>
          <w:sz w:val="20"/>
          <w:szCs w:val="20"/>
        </w:rPr>
      </w:pPr>
      <w:r w:rsidRPr="005B05EE">
        <w:rPr>
          <w:rFonts w:ascii="Arial" w:hAnsi="Arial" w:cs="Arial"/>
          <w:sz w:val="20"/>
          <w:szCs w:val="20"/>
        </w:rPr>
        <w:t>4</w:t>
      </w:r>
      <w:r w:rsidR="00ED6652" w:rsidRPr="005B05EE">
        <w:rPr>
          <w:rFonts w:ascii="Arial" w:hAnsi="Arial" w:cs="Arial"/>
          <w:sz w:val="20"/>
          <w:szCs w:val="20"/>
        </w:rPr>
        <w:t>. Degrees are those awarde</w:t>
      </w:r>
      <w:r w:rsidR="0012552B">
        <w:rPr>
          <w:rFonts w:ascii="Arial" w:hAnsi="Arial" w:cs="Arial"/>
          <w:sz w:val="20"/>
          <w:szCs w:val="20"/>
        </w:rPr>
        <w:t xml:space="preserve">d and posted as of </w:t>
      </w:r>
      <w:r w:rsidR="00F63426">
        <w:rPr>
          <w:rFonts w:ascii="Arial" w:hAnsi="Arial" w:cs="Arial"/>
          <w:sz w:val="20"/>
          <w:szCs w:val="20"/>
        </w:rPr>
        <w:t>July 10, 2024.</w:t>
      </w:r>
      <w:r w:rsidR="00ED6652" w:rsidRPr="005B05EE">
        <w:rPr>
          <w:rFonts w:ascii="Arial" w:hAnsi="Arial" w:cs="Arial"/>
          <w:sz w:val="20"/>
          <w:szCs w:val="20"/>
        </w:rPr>
        <w:t xml:space="preserve"> </w:t>
      </w:r>
    </w:p>
    <w:p w14:paraId="5AD756DB" w14:textId="77777777" w:rsidR="00ED6652" w:rsidRPr="005B05EE" w:rsidRDefault="008C0226" w:rsidP="000E7976">
      <w:pPr>
        <w:spacing w:line="276" w:lineRule="auto"/>
        <w:jc w:val="both"/>
        <w:rPr>
          <w:rFonts w:ascii="Arial" w:hAnsi="Arial" w:cs="Arial"/>
          <w:sz w:val="20"/>
          <w:szCs w:val="20"/>
        </w:rPr>
      </w:pPr>
      <w:r w:rsidRPr="005B05EE">
        <w:rPr>
          <w:rFonts w:ascii="Arial" w:hAnsi="Arial" w:cs="Arial"/>
          <w:sz w:val="20"/>
          <w:szCs w:val="20"/>
        </w:rPr>
        <w:t>5</w:t>
      </w:r>
      <w:r w:rsidR="00ED6652" w:rsidRPr="005B05EE">
        <w:rPr>
          <w:rFonts w:ascii="Arial" w:hAnsi="Arial" w:cs="Arial"/>
          <w:sz w:val="20"/>
          <w:szCs w:val="20"/>
        </w:rPr>
        <w:t>. Certificates/Degrees with a U.S. Dept. of Education Classification of Instructional Programs (CIP) Code of 51 –Health Professions and Related Clinical Sciences, and Clinical Psychology degrees.</w:t>
      </w:r>
    </w:p>
    <w:p w14:paraId="122BFC48" w14:textId="77777777" w:rsidR="00A931CB" w:rsidRPr="005B05EE" w:rsidRDefault="008C0226" w:rsidP="000E7976">
      <w:pPr>
        <w:spacing w:line="276" w:lineRule="auto"/>
        <w:jc w:val="both"/>
        <w:rPr>
          <w:rFonts w:ascii="Arial" w:hAnsi="Arial" w:cs="Arial"/>
          <w:sz w:val="20"/>
          <w:szCs w:val="20"/>
        </w:rPr>
      </w:pPr>
      <w:r w:rsidRPr="005B05EE">
        <w:rPr>
          <w:rFonts w:ascii="Arial" w:hAnsi="Arial" w:cs="Arial"/>
          <w:sz w:val="20"/>
          <w:szCs w:val="20"/>
        </w:rPr>
        <w:t>6</w:t>
      </w:r>
      <w:r w:rsidR="00ED6652" w:rsidRPr="005B05EE">
        <w:rPr>
          <w:rFonts w:ascii="Arial" w:hAnsi="Arial" w:cs="Arial"/>
          <w:sz w:val="20"/>
          <w:szCs w:val="20"/>
        </w:rPr>
        <w:t xml:space="preserve">. Certificates/Degrees with a CIP Code in Science, Technology, Engineering, and Mathematics (STEM) as defined by the </w:t>
      </w:r>
      <w:r w:rsidR="003761E6">
        <w:rPr>
          <w:rFonts w:ascii="Arial" w:hAnsi="Arial" w:cs="Arial"/>
          <w:sz w:val="20"/>
          <w:szCs w:val="20"/>
        </w:rPr>
        <w:t>CIP codes, 01,03,04,11,14,15,26,27,29,40,41.</w:t>
      </w:r>
    </w:p>
    <w:p w14:paraId="3C7A1F23" w14:textId="77777777" w:rsidR="00C23C79" w:rsidRDefault="004F6C22" w:rsidP="000E7976">
      <w:pPr>
        <w:spacing w:line="276" w:lineRule="auto"/>
        <w:jc w:val="both"/>
        <w:rPr>
          <w:rFonts w:ascii="Arial" w:hAnsi="Arial" w:cs="Arial"/>
          <w:sz w:val="20"/>
          <w:szCs w:val="20"/>
        </w:rPr>
      </w:pPr>
      <w:r>
        <w:rPr>
          <w:rFonts w:ascii="Arial" w:hAnsi="Arial" w:cs="Arial"/>
          <w:sz w:val="20"/>
          <w:szCs w:val="20"/>
        </w:rPr>
        <w:t>7</w:t>
      </w:r>
      <w:r w:rsidR="002C2F90" w:rsidRPr="005B05EE">
        <w:rPr>
          <w:rFonts w:ascii="Arial" w:hAnsi="Arial" w:cs="Arial"/>
          <w:sz w:val="20"/>
          <w:szCs w:val="20"/>
        </w:rPr>
        <w:t>. New</w:t>
      </w:r>
      <w:r w:rsidR="006E31B1" w:rsidRPr="005B05EE">
        <w:rPr>
          <w:rFonts w:ascii="Arial" w:hAnsi="Arial" w:cs="Arial"/>
          <w:sz w:val="20"/>
          <w:szCs w:val="20"/>
        </w:rPr>
        <w:t xml:space="preserve"> students in the summer term</w:t>
      </w:r>
      <w:r w:rsidR="002C2F90" w:rsidRPr="005B05EE">
        <w:rPr>
          <w:rFonts w:ascii="Arial" w:hAnsi="Arial" w:cs="Arial"/>
          <w:sz w:val="20"/>
          <w:szCs w:val="20"/>
        </w:rPr>
        <w:t xml:space="preserve"> enrolled</w:t>
      </w:r>
      <w:r w:rsidR="006E31B1" w:rsidRPr="005B05EE">
        <w:rPr>
          <w:rFonts w:ascii="Arial" w:hAnsi="Arial" w:cs="Arial"/>
          <w:sz w:val="20"/>
          <w:szCs w:val="20"/>
        </w:rPr>
        <w:t xml:space="preserve"> in the subsequent fall term</w:t>
      </w:r>
      <w:r w:rsidR="002C2F90" w:rsidRPr="005B05EE">
        <w:rPr>
          <w:rFonts w:ascii="Arial" w:hAnsi="Arial" w:cs="Arial"/>
          <w:sz w:val="20"/>
          <w:szCs w:val="20"/>
        </w:rPr>
        <w:t xml:space="preserve"> are count</w:t>
      </w:r>
      <w:r w:rsidR="006E31B1" w:rsidRPr="005B05EE">
        <w:rPr>
          <w:rFonts w:ascii="Arial" w:hAnsi="Arial" w:cs="Arial"/>
          <w:sz w:val="20"/>
          <w:szCs w:val="20"/>
        </w:rPr>
        <w:t>ed as “new” in the fall term</w:t>
      </w:r>
      <w:r w:rsidR="002C2F90" w:rsidRPr="005B05EE">
        <w:rPr>
          <w:rFonts w:ascii="Arial" w:hAnsi="Arial" w:cs="Arial"/>
          <w:sz w:val="20"/>
          <w:szCs w:val="20"/>
        </w:rPr>
        <w:t>.</w:t>
      </w:r>
    </w:p>
    <w:p w14:paraId="4B1FF37C" w14:textId="77777777" w:rsidR="002B2820" w:rsidRPr="002B2820" w:rsidRDefault="002B2820" w:rsidP="00FA6EF5">
      <w:pPr>
        <w:rPr>
          <w:rFonts w:ascii="Arial" w:hAnsi="Arial" w:cs="Arial"/>
          <w:b/>
          <w:bCs/>
          <w:sz w:val="16"/>
          <w:szCs w:val="16"/>
        </w:rPr>
      </w:pPr>
    </w:p>
    <w:p w14:paraId="76B679BC" w14:textId="74EBEBFF" w:rsidR="00FA6EF5" w:rsidRDefault="0096682B" w:rsidP="00FA6EF5">
      <w:pPr>
        <w:rPr>
          <w:rFonts w:ascii="Arial" w:hAnsi="Arial" w:cs="Arial"/>
          <w:b/>
          <w:i/>
          <w:color w:val="FF0000"/>
        </w:rPr>
      </w:pPr>
      <w:r>
        <w:rPr>
          <w:rFonts w:ascii="Arial" w:hAnsi="Arial" w:cs="Arial"/>
          <w:b/>
          <w:bCs/>
        </w:rPr>
        <w:t>FY 2024</w:t>
      </w:r>
      <w:r w:rsidR="00B41CCC">
        <w:rPr>
          <w:rFonts w:ascii="Arial" w:hAnsi="Arial" w:cs="Arial"/>
          <w:b/>
          <w:bCs/>
        </w:rPr>
        <w:t xml:space="preserve"> Performance Highlights </w:t>
      </w:r>
      <w:r w:rsidR="00B41CCC">
        <w:rPr>
          <w:rFonts w:ascii="Arial" w:hAnsi="Arial" w:cs="Arial"/>
          <w:b/>
          <w:i/>
          <w:color w:val="FF0000"/>
        </w:rPr>
        <w:t>(O</w:t>
      </w:r>
      <w:r w:rsidR="00B41CCC" w:rsidRPr="005272AB">
        <w:rPr>
          <w:rFonts w:ascii="Arial" w:hAnsi="Arial" w:cs="Arial"/>
          <w:b/>
          <w:i/>
          <w:color w:val="FF0000"/>
        </w:rPr>
        <w:t>ptional</w:t>
      </w:r>
      <w:r w:rsidR="00B41CCC">
        <w:rPr>
          <w:rFonts w:ascii="Arial" w:hAnsi="Arial" w:cs="Arial"/>
          <w:b/>
          <w:i/>
          <w:color w:val="FF0000"/>
        </w:rPr>
        <w:t>)</w:t>
      </w:r>
    </w:p>
    <w:p w14:paraId="51690780" w14:textId="77777777" w:rsidR="008826CF" w:rsidRPr="002B2820" w:rsidRDefault="008826CF" w:rsidP="00FA6EF5">
      <w:pPr>
        <w:rPr>
          <w:rFonts w:ascii="Arial" w:hAnsi="Arial" w:cs="Arial"/>
          <w:b/>
          <w:color w:val="FF0000"/>
          <w:sz w:val="16"/>
          <w:szCs w:val="16"/>
        </w:rPr>
      </w:pPr>
    </w:p>
    <w:p w14:paraId="4070E33D" w14:textId="7E5F5F73" w:rsidR="00D642EC" w:rsidRDefault="00D642EC" w:rsidP="00D642EC">
      <w:pPr>
        <w:rPr>
          <w:rFonts w:ascii="Arial" w:hAnsi="Arial" w:cs="Arial"/>
          <w:b/>
          <w:i/>
        </w:rPr>
      </w:pPr>
      <w:r w:rsidRPr="00077507">
        <w:rPr>
          <w:rFonts w:ascii="Arial" w:hAnsi="Arial" w:cs="Arial"/>
          <w:b/>
          <w:i/>
        </w:rPr>
        <w:t xml:space="preserve">College of </w:t>
      </w:r>
      <w:r>
        <w:rPr>
          <w:rFonts w:ascii="Arial" w:hAnsi="Arial" w:cs="Arial"/>
          <w:b/>
          <w:i/>
        </w:rPr>
        <w:t>Arts and Letters</w:t>
      </w:r>
    </w:p>
    <w:p w14:paraId="7334FF4E" w14:textId="77777777" w:rsidR="009412D6" w:rsidRPr="001A71D0" w:rsidRDefault="009412D6" w:rsidP="008C5DD7">
      <w:pPr>
        <w:numPr>
          <w:ilvl w:val="0"/>
          <w:numId w:val="6"/>
        </w:numPr>
        <w:ind w:left="360"/>
        <w:rPr>
          <w:rFonts w:ascii="Arial" w:eastAsia="Arial" w:hAnsi="Arial" w:cs="Arial"/>
          <w:sz w:val="22"/>
          <w:szCs w:val="22"/>
        </w:rPr>
      </w:pPr>
      <w:r w:rsidRPr="001A71D0">
        <w:rPr>
          <w:rFonts w:ascii="Arial" w:eastAsia="Arial" w:hAnsi="Arial" w:cs="Arial"/>
          <w:sz w:val="22"/>
          <w:szCs w:val="22"/>
        </w:rPr>
        <w:t xml:space="preserve">The College of Arts and Letters is responding to current workforce needs by developing new programs and offerings. Specifically, the college has overseen the creation of </w:t>
      </w:r>
      <w:proofErr w:type="gramStart"/>
      <w:r w:rsidRPr="001A71D0">
        <w:rPr>
          <w:rFonts w:ascii="Arial" w:eastAsia="Arial" w:hAnsi="Arial" w:cs="Arial"/>
          <w:sz w:val="22"/>
          <w:szCs w:val="22"/>
        </w:rPr>
        <w:t>a number of</w:t>
      </w:r>
      <w:proofErr w:type="gramEnd"/>
      <w:r w:rsidRPr="001A71D0">
        <w:rPr>
          <w:rFonts w:ascii="Arial" w:eastAsia="Arial" w:hAnsi="Arial" w:cs="Arial"/>
          <w:sz w:val="22"/>
          <w:szCs w:val="22"/>
        </w:rPr>
        <w:t xml:space="preserve"> certificates designed to be practical and marketable additions to a student’s major and/or minor. These certificates keep credit requirements achievable while still offering meaningful educational experiences and career-enhancing training. Some examples include the following:</w:t>
      </w:r>
    </w:p>
    <w:p w14:paraId="53335928" w14:textId="77777777" w:rsidR="009412D6" w:rsidRPr="001A71D0" w:rsidRDefault="009412D6" w:rsidP="008C5DD7">
      <w:pPr>
        <w:numPr>
          <w:ilvl w:val="1"/>
          <w:numId w:val="6"/>
        </w:numPr>
        <w:ind w:left="720"/>
        <w:rPr>
          <w:rFonts w:ascii="Arial" w:eastAsia="Arial" w:hAnsi="Arial" w:cs="Arial"/>
          <w:sz w:val="22"/>
          <w:szCs w:val="22"/>
        </w:rPr>
      </w:pPr>
      <w:r w:rsidRPr="001A71D0">
        <w:rPr>
          <w:rFonts w:ascii="Arial" w:eastAsia="Arial" w:hAnsi="Arial" w:cs="Arial"/>
          <w:sz w:val="22"/>
          <w:szCs w:val="22"/>
        </w:rPr>
        <w:lastRenderedPageBreak/>
        <w:t>An undergraduate certificate designed to enhance skills for writing in technical and business contexts such as professional document design, producing technical reports, and the effective use of various business communications media.</w:t>
      </w:r>
    </w:p>
    <w:p w14:paraId="73F03D41" w14:textId="77777777" w:rsidR="009412D6" w:rsidRPr="001A71D0" w:rsidRDefault="009412D6" w:rsidP="008C5DD7">
      <w:pPr>
        <w:numPr>
          <w:ilvl w:val="1"/>
          <w:numId w:val="6"/>
        </w:numPr>
        <w:ind w:left="720"/>
        <w:rPr>
          <w:rFonts w:ascii="Arial" w:eastAsia="Arial" w:hAnsi="Arial" w:cs="Arial"/>
          <w:sz w:val="22"/>
          <w:szCs w:val="22"/>
        </w:rPr>
      </w:pPr>
      <w:r w:rsidRPr="001A71D0">
        <w:rPr>
          <w:rFonts w:ascii="Arial" w:eastAsia="Arial" w:hAnsi="Arial" w:cs="Arial"/>
          <w:sz w:val="22"/>
          <w:szCs w:val="22"/>
        </w:rPr>
        <w:t>Interdisciplinary undergraduate and graduate certificates for students who wish to pursue careers or other involvement in environmental resource management, public policy, and environmental advocacy. These programs provide valuable knowledge and skill sets for professional advancement.</w:t>
      </w:r>
    </w:p>
    <w:p w14:paraId="626ACBC4" w14:textId="77777777" w:rsidR="009412D6" w:rsidRPr="001A71D0" w:rsidRDefault="009412D6" w:rsidP="008C5DD7">
      <w:pPr>
        <w:numPr>
          <w:ilvl w:val="1"/>
          <w:numId w:val="6"/>
        </w:numPr>
        <w:ind w:left="720"/>
        <w:rPr>
          <w:rFonts w:ascii="Arial" w:eastAsia="Arial" w:hAnsi="Arial" w:cs="Arial"/>
          <w:sz w:val="22"/>
          <w:szCs w:val="22"/>
        </w:rPr>
      </w:pPr>
      <w:r w:rsidRPr="001A71D0">
        <w:rPr>
          <w:rFonts w:ascii="Arial" w:eastAsia="Arial" w:hAnsi="Arial" w:cs="Arial"/>
          <w:sz w:val="22"/>
          <w:szCs w:val="22"/>
        </w:rPr>
        <w:t>An undergraduate certificate focused on developing conflict management competencies for application in various contexts. Courses in this program offer a combination of skill development and exploration of the broader dynamics of conflict in organizational, political, social, and cultural systems.</w:t>
      </w:r>
    </w:p>
    <w:p w14:paraId="3618006F" w14:textId="77777777" w:rsidR="009412D6" w:rsidRPr="001A71D0" w:rsidRDefault="009412D6" w:rsidP="008C5DD7">
      <w:pPr>
        <w:numPr>
          <w:ilvl w:val="1"/>
          <w:numId w:val="6"/>
        </w:numPr>
        <w:ind w:left="720"/>
        <w:rPr>
          <w:rFonts w:ascii="Arial" w:eastAsia="Arial" w:hAnsi="Arial" w:cs="Arial"/>
          <w:sz w:val="22"/>
          <w:szCs w:val="22"/>
        </w:rPr>
      </w:pPr>
      <w:r w:rsidRPr="001A71D0">
        <w:rPr>
          <w:rFonts w:ascii="Arial" w:eastAsia="Arial" w:hAnsi="Arial" w:cs="Arial"/>
          <w:sz w:val="22"/>
          <w:szCs w:val="22"/>
        </w:rPr>
        <w:t>A cross-disciplinary graduate certificate offering concentrated training in cultural resource management, introducing students to various approaches and frameworks, related law and policy, and methodological approaches and techniques. This program is directly tied to job market demand in the government service industry and will give students a competitive advantage in employment seeking.</w:t>
      </w:r>
    </w:p>
    <w:p w14:paraId="51D5812F" w14:textId="77777777" w:rsidR="009412D6" w:rsidRPr="001A71D0" w:rsidRDefault="009412D6" w:rsidP="008C5DD7">
      <w:pPr>
        <w:numPr>
          <w:ilvl w:val="1"/>
          <w:numId w:val="6"/>
        </w:numPr>
        <w:ind w:left="720"/>
        <w:rPr>
          <w:rFonts w:ascii="Arial" w:eastAsia="Arial" w:hAnsi="Arial" w:cs="Arial"/>
          <w:sz w:val="22"/>
          <w:szCs w:val="22"/>
        </w:rPr>
      </w:pPr>
      <w:r w:rsidRPr="001A71D0">
        <w:rPr>
          <w:rFonts w:ascii="Arial" w:eastAsia="Arial" w:hAnsi="Arial" w:cs="Arial"/>
          <w:sz w:val="22"/>
          <w:szCs w:val="22"/>
        </w:rPr>
        <w:t>A graduate certificate in applied linguistics. This program would be professionally valuable for those going into speech pathology, English as a second language teachers, special education and classroom teachers, social workers, school psychologists, or those in other language-related professions.</w:t>
      </w:r>
      <w:r w:rsidRPr="001A71D0">
        <w:rPr>
          <w:rFonts w:ascii="Arial" w:eastAsia="Arial" w:hAnsi="Arial" w:cs="Arial"/>
          <w:sz w:val="22"/>
          <w:szCs w:val="22"/>
        </w:rPr>
        <w:br/>
      </w:r>
    </w:p>
    <w:p w14:paraId="06C9C045" w14:textId="77777777" w:rsidR="009412D6" w:rsidRPr="001A71D0" w:rsidRDefault="009412D6" w:rsidP="008C5DD7">
      <w:pPr>
        <w:numPr>
          <w:ilvl w:val="0"/>
          <w:numId w:val="6"/>
        </w:numPr>
        <w:ind w:left="360"/>
        <w:rPr>
          <w:rFonts w:ascii="Arial" w:eastAsia="Arial" w:hAnsi="Arial" w:cs="Arial"/>
          <w:sz w:val="22"/>
          <w:szCs w:val="22"/>
        </w:rPr>
      </w:pPr>
      <w:r w:rsidRPr="001A71D0">
        <w:rPr>
          <w:rFonts w:ascii="Arial" w:eastAsia="Arial" w:hAnsi="Arial" w:cs="Arial"/>
          <w:sz w:val="22"/>
          <w:szCs w:val="22"/>
        </w:rPr>
        <w:t>Over the last few years, the College of Arts and Letters has been awarded two grants totaling $1.29 million from the USDA to fund INCLUDE (Idaho Needs Connectivity Leading University Distance Education). This ongoing project addresses the educational and healthcare disparity between rural and urban communities in Southeast Idaho. CAL has worked with 28 high schools to install distance learning technology that connects these schools with ISU. As a result, nearly 10,000 students in rural communities now have access to dual enrollment courses taught by ISU professors. In the first three years of this project, a total of 272 ISU courses have been made available to these students, who now can also take advantage of Idaho’s Advanced Opportunities initiative.</w:t>
      </w:r>
    </w:p>
    <w:p w14:paraId="04E1C287" w14:textId="77777777" w:rsidR="009412D6" w:rsidRPr="001A71D0" w:rsidRDefault="009412D6" w:rsidP="008C5DD7">
      <w:pPr>
        <w:numPr>
          <w:ilvl w:val="1"/>
          <w:numId w:val="6"/>
        </w:numPr>
        <w:ind w:left="720"/>
        <w:rPr>
          <w:rFonts w:ascii="Arial" w:eastAsia="Arial" w:hAnsi="Arial" w:cs="Arial"/>
          <w:sz w:val="22"/>
          <w:szCs w:val="22"/>
        </w:rPr>
      </w:pPr>
      <w:r w:rsidRPr="001A71D0">
        <w:rPr>
          <w:rFonts w:ascii="Arial" w:eastAsia="Arial" w:hAnsi="Arial" w:cs="Arial"/>
          <w:sz w:val="22"/>
          <w:szCs w:val="22"/>
        </w:rPr>
        <w:t>The current phase of this project (INCLUDE II) focuses on delivering mental and physical telehealth services to the 28 participating high schools.</w:t>
      </w:r>
    </w:p>
    <w:p w14:paraId="63F07601" w14:textId="77777777" w:rsidR="009412D6" w:rsidRPr="001A71D0" w:rsidRDefault="009412D6" w:rsidP="008C5DD7">
      <w:pPr>
        <w:numPr>
          <w:ilvl w:val="1"/>
          <w:numId w:val="6"/>
        </w:numPr>
        <w:ind w:left="720"/>
        <w:rPr>
          <w:rFonts w:ascii="Arial" w:eastAsia="Arial" w:hAnsi="Arial" w:cs="Arial"/>
          <w:sz w:val="22"/>
          <w:szCs w:val="22"/>
        </w:rPr>
      </w:pPr>
      <w:r w:rsidRPr="001A71D0">
        <w:rPr>
          <w:rFonts w:ascii="Arial" w:eastAsia="Arial" w:hAnsi="Arial" w:cs="Arial"/>
          <w:sz w:val="22"/>
          <w:szCs w:val="22"/>
        </w:rPr>
        <w:t>In addition to USDA grants, INCLUDE has garnered substantial support from the following collaborators, who have provided a total of $220,456 in matching funds: Direct Communications, Blackfoot Communications, ATC Communications, Bayer Fund, Steele-Reese Foundation, Idaho Humanities Council, and ISU Physician Assistant Studies.</w:t>
      </w:r>
    </w:p>
    <w:p w14:paraId="1AEBF0B6" w14:textId="77777777" w:rsidR="009412D6" w:rsidRPr="001A71D0" w:rsidRDefault="009412D6" w:rsidP="008C5DD7">
      <w:pPr>
        <w:numPr>
          <w:ilvl w:val="1"/>
          <w:numId w:val="6"/>
        </w:numPr>
        <w:ind w:left="720"/>
        <w:rPr>
          <w:rFonts w:ascii="Arial" w:eastAsia="Arial" w:hAnsi="Arial" w:cs="Arial"/>
          <w:sz w:val="22"/>
          <w:szCs w:val="22"/>
        </w:rPr>
      </w:pPr>
      <w:r w:rsidRPr="001A71D0">
        <w:rPr>
          <w:rFonts w:ascii="Arial" w:eastAsia="Arial" w:hAnsi="Arial" w:cs="Arial"/>
          <w:sz w:val="22"/>
          <w:szCs w:val="22"/>
        </w:rPr>
        <w:t>The following ISU units have committed to support this project: Social Work, Department of Physician Assistant Studies, College of Education, College of Pharmacy, School of Nursing, and Spanish for Health Professions.</w:t>
      </w:r>
    </w:p>
    <w:p w14:paraId="2BDDCAF8" w14:textId="77777777" w:rsidR="009412D6" w:rsidRDefault="009412D6" w:rsidP="00D642EC">
      <w:pPr>
        <w:rPr>
          <w:rFonts w:ascii="Arial" w:hAnsi="Arial" w:cs="Arial"/>
          <w:b/>
          <w:i/>
        </w:rPr>
      </w:pPr>
    </w:p>
    <w:p w14:paraId="552F450E" w14:textId="77777777" w:rsidR="008B2702" w:rsidRDefault="0070113B" w:rsidP="008B2702">
      <w:pPr>
        <w:spacing w:before="100" w:line="360" w:lineRule="auto"/>
        <w:textAlignment w:val="baseline"/>
        <w:rPr>
          <w:rFonts w:ascii="Arial" w:hAnsi="Arial" w:cs="Arial"/>
          <w:b/>
          <w:i/>
        </w:rPr>
      </w:pPr>
      <w:r w:rsidRPr="0070113B">
        <w:rPr>
          <w:rFonts w:ascii="Arial" w:hAnsi="Arial" w:cs="Arial"/>
          <w:b/>
          <w:i/>
        </w:rPr>
        <w:t>C</w:t>
      </w:r>
      <w:r w:rsidR="00077507" w:rsidRPr="0070113B">
        <w:rPr>
          <w:rFonts w:ascii="Arial" w:hAnsi="Arial" w:cs="Arial"/>
          <w:b/>
          <w:i/>
        </w:rPr>
        <w:t>ollege of Business</w:t>
      </w:r>
    </w:p>
    <w:p w14:paraId="1D73A95A" w14:textId="0B8DACEA" w:rsidR="00C317EC" w:rsidRPr="008B2702" w:rsidRDefault="00C317EC" w:rsidP="008C5DD7">
      <w:pPr>
        <w:pStyle w:val="ListParagraph"/>
        <w:numPr>
          <w:ilvl w:val="0"/>
          <w:numId w:val="16"/>
        </w:numPr>
        <w:spacing w:before="100" w:line="360" w:lineRule="auto"/>
        <w:textAlignment w:val="baseline"/>
        <w:rPr>
          <w:rFonts w:ascii="Arial" w:eastAsia="Arial" w:hAnsi="Arial" w:cs="Arial"/>
          <w:sz w:val="22"/>
          <w:szCs w:val="22"/>
        </w:rPr>
      </w:pPr>
      <w:r w:rsidRPr="008B2702">
        <w:rPr>
          <w:rFonts w:ascii="Arial" w:eastAsia="Arial" w:hAnsi="Arial" w:cs="Arial"/>
          <w:sz w:val="22"/>
          <w:szCs w:val="22"/>
        </w:rPr>
        <w:t>We received the largest single scholarship gift in College History</w:t>
      </w:r>
    </w:p>
    <w:p w14:paraId="6468D413" w14:textId="77777777" w:rsidR="00E6208A" w:rsidRPr="001E4180" w:rsidRDefault="00E6208A" w:rsidP="00E6208A">
      <w:pPr>
        <w:pStyle w:val="ListParagraph"/>
        <w:shd w:val="clear" w:color="auto" w:fill="FFFFFF"/>
        <w:spacing w:before="100" w:beforeAutospacing="1" w:after="100" w:afterAutospacing="1"/>
        <w:rPr>
          <w:rFonts w:ascii="Arial" w:eastAsia="Arial" w:hAnsi="Arial" w:cs="Arial"/>
          <w:sz w:val="22"/>
          <w:szCs w:val="22"/>
        </w:rPr>
      </w:pPr>
    </w:p>
    <w:p w14:paraId="79349791" w14:textId="2278B91D" w:rsidR="00C317EC" w:rsidRDefault="00C317EC" w:rsidP="008C5DD7">
      <w:pPr>
        <w:pStyle w:val="ListParagraph"/>
        <w:numPr>
          <w:ilvl w:val="0"/>
          <w:numId w:val="12"/>
        </w:numPr>
        <w:shd w:val="clear" w:color="auto" w:fill="FFFFFF"/>
        <w:spacing w:before="100" w:beforeAutospacing="1" w:after="100" w:afterAutospacing="1"/>
        <w:rPr>
          <w:rFonts w:ascii="Arial" w:eastAsia="Arial" w:hAnsi="Arial" w:cs="Arial"/>
          <w:sz w:val="22"/>
          <w:szCs w:val="22"/>
        </w:rPr>
      </w:pPr>
      <w:r w:rsidRPr="001E4180">
        <w:rPr>
          <w:rFonts w:ascii="Arial" w:eastAsia="Arial" w:hAnsi="Arial" w:cs="Arial"/>
          <w:sz w:val="22"/>
          <w:szCs w:val="22"/>
        </w:rPr>
        <w:t>A team of ISU Business students won the 2024 International Collegiate Business Strategy Competition (ICBSC) in Anaheim, California.</w:t>
      </w:r>
    </w:p>
    <w:p w14:paraId="170B1147" w14:textId="77777777" w:rsidR="00E6208A" w:rsidRPr="00E6208A" w:rsidRDefault="00E6208A" w:rsidP="00E6208A">
      <w:pPr>
        <w:pStyle w:val="ListParagraph"/>
        <w:rPr>
          <w:rFonts w:ascii="Arial" w:eastAsia="Arial" w:hAnsi="Arial" w:cs="Arial"/>
          <w:sz w:val="22"/>
          <w:szCs w:val="22"/>
        </w:rPr>
      </w:pPr>
    </w:p>
    <w:p w14:paraId="71A78684" w14:textId="4B3C2F25" w:rsidR="00C317EC" w:rsidRDefault="00C317EC" w:rsidP="008C5DD7">
      <w:pPr>
        <w:pStyle w:val="ListParagraph"/>
        <w:numPr>
          <w:ilvl w:val="0"/>
          <w:numId w:val="12"/>
        </w:numPr>
        <w:shd w:val="clear" w:color="auto" w:fill="FFFFFF"/>
        <w:spacing w:before="100" w:beforeAutospacing="1" w:after="100" w:afterAutospacing="1"/>
        <w:rPr>
          <w:rFonts w:ascii="Arial" w:eastAsia="Arial" w:hAnsi="Arial" w:cs="Arial"/>
          <w:sz w:val="22"/>
          <w:szCs w:val="22"/>
        </w:rPr>
      </w:pPr>
      <w:r w:rsidRPr="001E4180">
        <w:rPr>
          <w:rFonts w:ascii="Arial" w:eastAsia="Arial" w:hAnsi="Arial" w:cs="Arial"/>
          <w:sz w:val="22"/>
          <w:szCs w:val="22"/>
        </w:rPr>
        <w:t>We organized and hosted the first ever statewide Sales Competition with students from ISU, Boise State, University of Idaho and BYU-I all competing at our Walter Brown Center for Sales Excellence</w:t>
      </w:r>
    </w:p>
    <w:p w14:paraId="768ED68A" w14:textId="77777777" w:rsidR="00E6208A" w:rsidRPr="00E6208A" w:rsidRDefault="00E6208A" w:rsidP="00E6208A">
      <w:pPr>
        <w:pStyle w:val="ListParagraph"/>
        <w:rPr>
          <w:rFonts w:ascii="Arial" w:eastAsia="Arial" w:hAnsi="Arial" w:cs="Arial"/>
          <w:sz w:val="22"/>
          <w:szCs w:val="22"/>
        </w:rPr>
      </w:pPr>
    </w:p>
    <w:p w14:paraId="42E06512" w14:textId="5F5A1A07" w:rsidR="00C317EC" w:rsidRDefault="00C317EC" w:rsidP="008C5DD7">
      <w:pPr>
        <w:pStyle w:val="ListParagraph"/>
        <w:numPr>
          <w:ilvl w:val="0"/>
          <w:numId w:val="12"/>
        </w:numPr>
        <w:shd w:val="clear" w:color="auto" w:fill="FFFFFF"/>
        <w:spacing w:before="100" w:beforeAutospacing="1" w:after="100" w:afterAutospacing="1"/>
        <w:rPr>
          <w:rFonts w:ascii="Arial" w:eastAsia="Arial" w:hAnsi="Arial" w:cs="Arial"/>
          <w:sz w:val="22"/>
          <w:szCs w:val="22"/>
        </w:rPr>
      </w:pPr>
      <w:r w:rsidRPr="00AA5431">
        <w:rPr>
          <w:rFonts w:ascii="Arial" w:eastAsia="Arial" w:hAnsi="Arial" w:cs="Arial"/>
          <w:sz w:val="22"/>
          <w:szCs w:val="22"/>
        </w:rPr>
        <w:lastRenderedPageBreak/>
        <w:t>We organized and hosted the inaugural Idaho Economic Outlook Symposium in January with great attendance from across the region</w:t>
      </w:r>
    </w:p>
    <w:p w14:paraId="18E637C2" w14:textId="77777777" w:rsidR="00E6208A" w:rsidRPr="00E6208A" w:rsidRDefault="00E6208A" w:rsidP="00E6208A">
      <w:pPr>
        <w:pStyle w:val="ListParagraph"/>
        <w:rPr>
          <w:rFonts w:ascii="Arial" w:eastAsia="Arial" w:hAnsi="Arial" w:cs="Arial"/>
          <w:sz w:val="22"/>
          <w:szCs w:val="22"/>
        </w:rPr>
      </w:pPr>
    </w:p>
    <w:p w14:paraId="35924BC4" w14:textId="77777777" w:rsidR="00C317EC" w:rsidRPr="00AA5431" w:rsidRDefault="00C317EC" w:rsidP="008C5DD7">
      <w:pPr>
        <w:pStyle w:val="ListParagraph"/>
        <w:numPr>
          <w:ilvl w:val="0"/>
          <w:numId w:val="12"/>
        </w:numPr>
        <w:shd w:val="clear" w:color="auto" w:fill="FFFFFF"/>
        <w:spacing w:before="100" w:beforeAutospacing="1" w:after="100" w:afterAutospacing="1"/>
        <w:rPr>
          <w:rFonts w:ascii="Arial" w:eastAsia="Arial" w:hAnsi="Arial" w:cs="Arial"/>
          <w:sz w:val="22"/>
          <w:szCs w:val="22"/>
        </w:rPr>
      </w:pPr>
      <w:r w:rsidRPr="00AA5431">
        <w:rPr>
          <w:rFonts w:ascii="Arial" w:eastAsia="Arial" w:hAnsi="Arial" w:cs="Arial"/>
          <w:sz w:val="22"/>
          <w:szCs w:val="22"/>
        </w:rPr>
        <w:t>We organized and hosted our 2nd annual ISU Financial Literacy Week which was completely funded by Wells Fargo and provided a host of community events and thousands of dollars to support our ISU students and Financial Literacy program.</w:t>
      </w:r>
    </w:p>
    <w:p w14:paraId="579F3B28" w14:textId="4BCB8FFF" w:rsidR="000A297E" w:rsidRDefault="000A297E" w:rsidP="00FD11ED">
      <w:pPr>
        <w:spacing w:after="240" w:line="331" w:lineRule="atLeast"/>
        <w:rPr>
          <w:rFonts w:ascii="Arial" w:hAnsi="Arial" w:cs="Arial"/>
          <w:b/>
          <w:i/>
        </w:rPr>
      </w:pPr>
      <w:r w:rsidRPr="00402C15">
        <w:rPr>
          <w:rFonts w:ascii="Arial" w:hAnsi="Arial" w:cs="Arial"/>
          <w:b/>
          <w:i/>
        </w:rPr>
        <w:t>College of Education</w:t>
      </w:r>
    </w:p>
    <w:p w14:paraId="30071A12" w14:textId="77777777" w:rsidR="009412D6" w:rsidRPr="00AA5431" w:rsidRDefault="009412D6" w:rsidP="008C5DD7">
      <w:pPr>
        <w:pStyle w:val="ListParagraph"/>
        <w:numPr>
          <w:ilvl w:val="0"/>
          <w:numId w:val="13"/>
        </w:numPr>
        <w:shd w:val="clear" w:color="auto" w:fill="FFFFFF"/>
        <w:rPr>
          <w:rFonts w:ascii="Arial" w:hAnsi="Arial" w:cs="Arial"/>
          <w:color w:val="222222"/>
          <w:sz w:val="22"/>
          <w:szCs w:val="22"/>
        </w:rPr>
      </w:pPr>
      <w:r w:rsidRPr="00AA5431">
        <w:rPr>
          <w:rFonts w:ascii="Arial" w:hAnsi="Arial" w:cs="Arial"/>
          <w:color w:val="000000"/>
          <w:sz w:val="22"/>
          <w:szCs w:val="22"/>
        </w:rPr>
        <w:t>In partnership with more than 10 school districts the College of Education is launching a third cohort of students in our Paraprofessional to Certified Teacher (</w:t>
      </w:r>
      <w:proofErr w:type="spellStart"/>
      <w:r w:rsidRPr="00AA5431">
        <w:rPr>
          <w:rFonts w:ascii="Arial" w:hAnsi="Arial" w:cs="Arial"/>
          <w:color w:val="000000"/>
          <w:sz w:val="22"/>
          <w:szCs w:val="22"/>
        </w:rPr>
        <w:t>PaCT</w:t>
      </w:r>
      <w:proofErr w:type="spellEnd"/>
      <w:r w:rsidRPr="00AA5431">
        <w:rPr>
          <w:rFonts w:ascii="Arial" w:hAnsi="Arial" w:cs="Arial"/>
          <w:color w:val="000000"/>
          <w:sz w:val="22"/>
          <w:szCs w:val="22"/>
        </w:rPr>
        <w:t>) program which provides an affordable, convenient pathway for paraprofessionals to earn a college degree and teacher certification. Beginning this fall there will be upwards of 75 students enrolled in this program--a program that has generated goodwill toward the College and University and enhanced relationships with school districts across regions 4, 5, and 6.  We firmly believe this program is transforming paraprofessionals’ lives while helping to address the ongoing teacher shortage in Idaho.</w:t>
      </w:r>
    </w:p>
    <w:p w14:paraId="1B7FF9CF" w14:textId="77777777" w:rsidR="009412D6" w:rsidRPr="001A71D0" w:rsidRDefault="009412D6" w:rsidP="009412D6">
      <w:pPr>
        <w:shd w:val="clear" w:color="auto" w:fill="FFFFFF"/>
        <w:rPr>
          <w:rFonts w:ascii="Arial" w:hAnsi="Arial" w:cs="Arial"/>
          <w:color w:val="222222"/>
          <w:sz w:val="22"/>
          <w:szCs w:val="22"/>
        </w:rPr>
      </w:pPr>
    </w:p>
    <w:p w14:paraId="179F48CD" w14:textId="77777777" w:rsidR="009412D6" w:rsidRPr="00AA5431" w:rsidRDefault="009412D6" w:rsidP="008C5DD7">
      <w:pPr>
        <w:pStyle w:val="ListParagraph"/>
        <w:numPr>
          <w:ilvl w:val="0"/>
          <w:numId w:val="13"/>
        </w:numPr>
        <w:shd w:val="clear" w:color="auto" w:fill="FFFFFF"/>
        <w:rPr>
          <w:rFonts w:ascii="Arial" w:hAnsi="Arial" w:cs="Arial"/>
          <w:color w:val="222222"/>
          <w:sz w:val="22"/>
          <w:szCs w:val="22"/>
        </w:rPr>
      </w:pPr>
      <w:r w:rsidRPr="00AA5431">
        <w:rPr>
          <w:rFonts w:ascii="Arial" w:hAnsi="Arial" w:cs="Arial"/>
          <w:color w:val="000000"/>
          <w:sz w:val="22"/>
          <w:szCs w:val="22"/>
        </w:rPr>
        <w:t>This past year the College of Education had our most successful year ever in securing external funding to support K-12 student success in Idaho. In total, we have received $3m in state/federal funds to develop and offer programs that address math learning gaps in elementary/middle school students as a result of COVID 19, to support students with disabilities (aged 14-21) who are interested in learning skills to find and manage a job, and to strengthen STEM education through informal education focused on engineering design. Each of these programs is having a positive and significant impact on students in the state. </w:t>
      </w:r>
    </w:p>
    <w:p w14:paraId="5958C1BD" w14:textId="77777777" w:rsidR="004D178D" w:rsidRPr="009504B6" w:rsidRDefault="004D178D" w:rsidP="00D41F35">
      <w:pPr>
        <w:spacing w:after="240" w:line="331" w:lineRule="atLeast"/>
        <w:rPr>
          <w:rFonts w:ascii="Arial" w:hAnsi="Arial" w:cs="Arial"/>
          <w:b/>
          <w:i/>
          <w:sz w:val="16"/>
          <w:szCs w:val="16"/>
        </w:rPr>
      </w:pPr>
    </w:p>
    <w:p w14:paraId="3732D230" w14:textId="1B103F4A" w:rsidR="00F11120" w:rsidRDefault="00F11120" w:rsidP="00D41F35">
      <w:pPr>
        <w:spacing w:after="240" w:line="331" w:lineRule="atLeast"/>
        <w:rPr>
          <w:rFonts w:ascii="Arial" w:hAnsi="Arial" w:cs="Arial"/>
          <w:b/>
          <w:i/>
        </w:rPr>
      </w:pPr>
      <w:r w:rsidRPr="00402C15">
        <w:rPr>
          <w:rFonts w:ascii="Arial" w:hAnsi="Arial" w:cs="Arial"/>
          <w:b/>
          <w:i/>
        </w:rPr>
        <w:t>College of Science &amp; Engineering</w:t>
      </w:r>
    </w:p>
    <w:p w14:paraId="32D6FD67" w14:textId="1305A078" w:rsidR="002B2FF1" w:rsidRDefault="00702B54" w:rsidP="008C5DD7">
      <w:pPr>
        <w:pStyle w:val="ListParagraph"/>
        <w:numPr>
          <w:ilvl w:val="0"/>
          <w:numId w:val="10"/>
        </w:numPr>
        <w:shd w:val="clear" w:color="auto" w:fill="FFFFFF"/>
        <w:rPr>
          <w:rFonts w:ascii="Arial" w:hAnsi="Arial" w:cs="Arial"/>
          <w:color w:val="000000"/>
          <w:sz w:val="22"/>
          <w:szCs w:val="22"/>
        </w:rPr>
      </w:pPr>
      <w:r w:rsidRPr="002B2FF1">
        <w:rPr>
          <w:rFonts w:ascii="Arial" w:hAnsi="Arial" w:cs="Arial"/>
          <w:color w:val="000000"/>
          <w:sz w:val="22"/>
          <w:szCs w:val="22"/>
        </w:rPr>
        <w:t xml:space="preserve">Several Departments in </w:t>
      </w:r>
      <w:proofErr w:type="spellStart"/>
      <w:r w:rsidRPr="002B2FF1">
        <w:rPr>
          <w:rFonts w:ascii="Arial" w:hAnsi="Arial" w:cs="Arial"/>
          <w:color w:val="000000"/>
          <w:sz w:val="22"/>
          <w:szCs w:val="22"/>
        </w:rPr>
        <w:t>CoSE</w:t>
      </w:r>
      <w:proofErr w:type="spellEnd"/>
      <w:r w:rsidRPr="002B2FF1">
        <w:rPr>
          <w:rFonts w:ascii="Arial" w:hAnsi="Arial" w:cs="Arial"/>
          <w:color w:val="000000"/>
          <w:sz w:val="22"/>
          <w:szCs w:val="22"/>
        </w:rPr>
        <w:t xml:space="preserve"> received/started new research awards.  A few notable ones include Comp. Sci. 3.5 M NSF Cybersecurity Grant with </w:t>
      </w:r>
      <w:proofErr w:type="spellStart"/>
      <w:r w:rsidRPr="002B2FF1">
        <w:rPr>
          <w:rFonts w:ascii="Arial" w:hAnsi="Arial" w:cs="Arial"/>
          <w:color w:val="000000"/>
          <w:sz w:val="22"/>
          <w:szCs w:val="22"/>
        </w:rPr>
        <w:t>CoT</w:t>
      </w:r>
      <w:proofErr w:type="spellEnd"/>
      <w:r w:rsidRPr="002B2FF1">
        <w:rPr>
          <w:rFonts w:ascii="Arial" w:hAnsi="Arial" w:cs="Arial"/>
          <w:color w:val="000000"/>
          <w:sz w:val="22"/>
          <w:szCs w:val="22"/>
        </w:rPr>
        <w:t xml:space="preserve"> (Dr, </w:t>
      </w:r>
      <w:proofErr w:type="spellStart"/>
      <w:r w:rsidRPr="002B2FF1">
        <w:rPr>
          <w:rFonts w:ascii="Arial" w:hAnsi="Arial" w:cs="Arial"/>
          <w:color w:val="000000"/>
          <w:sz w:val="22"/>
          <w:szCs w:val="22"/>
        </w:rPr>
        <w:t>Zibran</w:t>
      </w:r>
      <w:proofErr w:type="spellEnd"/>
      <w:r w:rsidRPr="002B2FF1">
        <w:rPr>
          <w:rFonts w:ascii="Arial" w:hAnsi="Arial" w:cs="Arial"/>
          <w:color w:val="000000"/>
          <w:sz w:val="22"/>
          <w:szCs w:val="22"/>
        </w:rPr>
        <w:t xml:space="preserve">); Physics DOE Grant for $656k (Dr. Dale), Chemistry, NSF Career Award (Jenkins), Mathematics and Statistics DOE Grant (Dr. </w:t>
      </w:r>
      <w:proofErr w:type="spellStart"/>
      <w:r w:rsidRPr="002B2FF1">
        <w:rPr>
          <w:rFonts w:ascii="Arial" w:hAnsi="Arial" w:cs="Arial"/>
          <w:color w:val="000000"/>
          <w:sz w:val="22"/>
          <w:szCs w:val="22"/>
        </w:rPr>
        <w:t>Gryazin</w:t>
      </w:r>
      <w:proofErr w:type="spellEnd"/>
      <w:proofErr w:type="gramStart"/>
      <w:r w:rsidRPr="002B2FF1">
        <w:rPr>
          <w:rFonts w:ascii="Arial" w:hAnsi="Arial" w:cs="Arial"/>
          <w:color w:val="000000"/>
          <w:sz w:val="22"/>
          <w:szCs w:val="22"/>
        </w:rPr>
        <w:t>),  Biological</w:t>
      </w:r>
      <w:proofErr w:type="gramEnd"/>
      <w:r w:rsidRPr="002B2FF1">
        <w:rPr>
          <w:rFonts w:ascii="Arial" w:hAnsi="Arial" w:cs="Arial"/>
          <w:color w:val="000000"/>
          <w:sz w:val="22"/>
          <w:szCs w:val="22"/>
        </w:rPr>
        <w:t xml:space="preserve"> Sci.  INBRE Pilot Grant, Dr. de la Cruz, </w:t>
      </w:r>
      <w:r w:rsidR="002B2FF1" w:rsidRPr="002B2FF1">
        <w:rPr>
          <w:rFonts w:ascii="Arial" w:hAnsi="Arial" w:cs="Arial"/>
          <w:color w:val="000000"/>
          <w:sz w:val="22"/>
          <w:szCs w:val="22"/>
        </w:rPr>
        <w:t>CEE and Geosciences NSF-EPSCOR Grant</w:t>
      </w:r>
    </w:p>
    <w:p w14:paraId="59E9C4BA" w14:textId="77777777" w:rsidR="00E6208A" w:rsidRPr="002B2FF1" w:rsidRDefault="00E6208A" w:rsidP="00E6208A">
      <w:pPr>
        <w:pStyle w:val="ListParagraph"/>
        <w:shd w:val="clear" w:color="auto" w:fill="FFFFFF"/>
        <w:rPr>
          <w:rFonts w:ascii="Arial" w:hAnsi="Arial" w:cs="Arial"/>
          <w:color w:val="000000"/>
          <w:sz w:val="22"/>
          <w:szCs w:val="22"/>
        </w:rPr>
      </w:pPr>
    </w:p>
    <w:p w14:paraId="7C1F740B" w14:textId="0DCED33E" w:rsidR="00702B54" w:rsidRDefault="00702B54" w:rsidP="008C5DD7">
      <w:pPr>
        <w:pStyle w:val="ListParagraph"/>
        <w:numPr>
          <w:ilvl w:val="0"/>
          <w:numId w:val="10"/>
        </w:numPr>
        <w:shd w:val="clear" w:color="auto" w:fill="FFFFFF"/>
        <w:rPr>
          <w:rFonts w:ascii="Arial" w:hAnsi="Arial" w:cs="Arial"/>
          <w:color w:val="000000"/>
          <w:sz w:val="22"/>
          <w:szCs w:val="22"/>
        </w:rPr>
      </w:pPr>
      <w:r w:rsidRPr="002B2FF1">
        <w:rPr>
          <w:rFonts w:ascii="Arial" w:hAnsi="Arial" w:cs="Arial"/>
          <w:color w:val="000000"/>
          <w:sz w:val="22"/>
          <w:szCs w:val="22"/>
        </w:rPr>
        <w:t>Mechanical Engr. Student Jaden Palmer and Chemistry Student Veronica Miller receive Goldwater Scholarships</w:t>
      </w:r>
    </w:p>
    <w:p w14:paraId="528AB542" w14:textId="77777777" w:rsidR="00E6208A" w:rsidRPr="002B2FF1" w:rsidRDefault="00E6208A" w:rsidP="00E6208A">
      <w:pPr>
        <w:pStyle w:val="ListParagraph"/>
        <w:shd w:val="clear" w:color="auto" w:fill="FFFFFF"/>
        <w:rPr>
          <w:rFonts w:ascii="Arial" w:hAnsi="Arial" w:cs="Arial"/>
          <w:color w:val="000000"/>
          <w:sz w:val="22"/>
          <w:szCs w:val="22"/>
        </w:rPr>
      </w:pPr>
    </w:p>
    <w:p w14:paraId="5DB3C09B" w14:textId="30567F61" w:rsidR="00702B54" w:rsidRDefault="00702B54" w:rsidP="008C5DD7">
      <w:pPr>
        <w:pStyle w:val="ListParagraph"/>
        <w:numPr>
          <w:ilvl w:val="0"/>
          <w:numId w:val="10"/>
        </w:numPr>
        <w:shd w:val="clear" w:color="auto" w:fill="FFFFFF"/>
        <w:rPr>
          <w:rFonts w:ascii="Arial" w:hAnsi="Arial" w:cs="Arial"/>
          <w:color w:val="000000"/>
          <w:sz w:val="22"/>
          <w:szCs w:val="22"/>
        </w:rPr>
      </w:pPr>
      <w:r w:rsidRPr="00702B54">
        <w:rPr>
          <w:rFonts w:ascii="Arial" w:hAnsi="Arial" w:cs="Arial"/>
          <w:color w:val="000000"/>
          <w:sz w:val="22"/>
          <w:szCs w:val="22"/>
        </w:rPr>
        <w:t>In collaboration with the INL the Nuclear Engineering Dept. helped develop the first digital twin for safeguards verification</w:t>
      </w:r>
    </w:p>
    <w:p w14:paraId="01617FA3" w14:textId="77777777" w:rsidR="00E6208A" w:rsidRPr="00702B54" w:rsidRDefault="00E6208A" w:rsidP="00E6208A">
      <w:pPr>
        <w:pStyle w:val="ListParagraph"/>
        <w:shd w:val="clear" w:color="auto" w:fill="FFFFFF"/>
        <w:rPr>
          <w:rFonts w:ascii="Arial" w:hAnsi="Arial" w:cs="Arial"/>
          <w:color w:val="000000"/>
          <w:sz w:val="22"/>
          <w:szCs w:val="22"/>
        </w:rPr>
      </w:pPr>
    </w:p>
    <w:p w14:paraId="53F0E8D4" w14:textId="4F1DB052" w:rsidR="00702B54" w:rsidRPr="00702B54" w:rsidRDefault="00702B54" w:rsidP="008C5DD7">
      <w:pPr>
        <w:pStyle w:val="ListParagraph"/>
        <w:numPr>
          <w:ilvl w:val="0"/>
          <w:numId w:val="10"/>
        </w:numPr>
        <w:shd w:val="clear" w:color="auto" w:fill="FFFFFF"/>
        <w:rPr>
          <w:rFonts w:ascii="Arial" w:hAnsi="Arial" w:cs="Arial"/>
          <w:color w:val="000000"/>
          <w:sz w:val="22"/>
          <w:szCs w:val="22"/>
        </w:rPr>
      </w:pPr>
      <w:r w:rsidRPr="00702B54">
        <w:rPr>
          <w:rFonts w:ascii="Arial" w:hAnsi="Arial" w:cs="Arial"/>
          <w:color w:val="000000"/>
          <w:sz w:val="22"/>
          <w:szCs w:val="22"/>
        </w:rPr>
        <w:t>Killer Tomato: Viruses Discovered by Idaho State Students May Yield New Treatments for Antibiotic-resistant Bacteria</w:t>
      </w:r>
    </w:p>
    <w:p w14:paraId="20E6FE16" w14:textId="64E6FBD0" w:rsidR="00E43D1F" w:rsidRPr="00442BF7" w:rsidRDefault="00E43D1F" w:rsidP="00815719">
      <w:pPr>
        <w:spacing w:after="200"/>
        <w:ind w:left="720"/>
        <w:textAlignment w:val="baseline"/>
        <w:rPr>
          <w:rFonts w:ascii="Arial" w:hAnsi="Arial" w:cs="Arial"/>
          <w:color w:val="000000"/>
          <w:sz w:val="22"/>
          <w:szCs w:val="22"/>
        </w:rPr>
      </w:pPr>
    </w:p>
    <w:p w14:paraId="7AA70896" w14:textId="0BB846FB" w:rsidR="000A297E" w:rsidRDefault="000A297E" w:rsidP="00826A88">
      <w:pPr>
        <w:shd w:val="clear" w:color="auto" w:fill="FFFFFF"/>
        <w:spacing w:after="240"/>
        <w:rPr>
          <w:rFonts w:ascii="Arial" w:hAnsi="Arial" w:cs="Arial"/>
          <w:b/>
          <w:i/>
        </w:rPr>
      </w:pPr>
      <w:r w:rsidRPr="00826A88">
        <w:rPr>
          <w:rFonts w:ascii="Arial" w:hAnsi="Arial" w:cs="Arial"/>
          <w:b/>
          <w:i/>
        </w:rPr>
        <w:t>College of Technology </w:t>
      </w:r>
    </w:p>
    <w:p w14:paraId="4BA66133" w14:textId="5041D383" w:rsidR="003F1F24" w:rsidRDefault="003F1F24" w:rsidP="008C5DD7">
      <w:pPr>
        <w:pStyle w:val="ListParagraph"/>
        <w:numPr>
          <w:ilvl w:val="0"/>
          <w:numId w:val="8"/>
        </w:numPr>
        <w:spacing w:after="160" w:line="259" w:lineRule="auto"/>
        <w:rPr>
          <w:rFonts w:ascii="Arial" w:hAnsi="Arial" w:cs="Arial"/>
          <w:color w:val="000000"/>
          <w:sz w:val="22"/>
          <w:szCs w:val="22"/>
        </w:rPr>
      </w:pPr>
      <w:r w:rsidRPr="003F1F24">
        <w:rPr>
          <w:rFonts w:ascii="Arial" w:hAnsi="Arial" w:cs="Arial"/>
          <w:color w:val="000000"/>
          <w:sz w:val="22"/>
          <w:szCs w:val="22"/>
        </w:rPr>
        <w:t xml:space="preserve">Our Diesel Technology Program has established strong relationships with local and regional vendors to include two John Deere dealerships, Modern Machinery, Titan Implement, a host of mining companies, and multiple heavy implement (CAT) dealerships. Modern Machinery started </w:t>
      </w:r>
      <w:r w:rsidRPr="003F1F24">
        <w:rPr>
          <w:rFonts w:ascii="Arial" w:hAnsi="Arial" w:cs="Arial"/>
          <w:color w:val="000000"/>
          <w:sz w:val="22"/>
          <w:szCs w:val="22"/>
        </w:rPr>
        <w:lastRenderedPageBreak/>
        <w:t xml:space="preserve">a scholarship fund with a gift of $20,000. C and B John Deere have loaned the program $5,000,000 in ag equipment (e.g., tractors, combines, and corn harvester) for a total of eight vehicles. </w:t>
      </w:r>
    </w:p>
    <w:p w14:paraId="085C18FE" w14:textId="77777777" w:rsidR="00E6208A" w:rsidRDefault="00E6208A" w:rsidP="00E6208A">
      <w:pPr>
        <w:pStyle w:val="ListParagraph"/>
        <w:spacing w:after="160" w:line="259" w:lineRule="auto"/>
        <w:rPr>
          <w:rFonts w:ascii="Arial" w:hAnsi="Arial" w:cs="Arial"/>
          <w:color w:val="000000"/>
          <w:sz w:val="22"/>
          <w:szCs w:val="22"/>
        </w:rPr>
      </w:pPr>
    </w:p>
    <w:p w14:paraId="48EBB66C" w14:textId="6C382F78" w:rsidR="003F1F24" w:rsidRDefault="003F1F24" w:rsidP="008C5DD7">
      <w:pPr>
        <w:pStyle w:val="ListParagraph"/>
        <w:numPr>
          <w:ilvl w:val="0"/>
          <w:numId w:val="8"/>
        </w:numPr>
        <w:shd w:val="clear" w:color="auto" w:fill="FFFFFF"/>
        <w:rPr>
          <w:rFonts w:ascii="Arial" w:hAnsi="Arial" w:cs="Arial"/>
          <w:color w:val="000000"/>
          <w:sz w:val="22"/>
          <w:szCs w:val="22"/>
        </w:rPr>
      </w:pPr>
      <w:r w:rsidRPr="003F1F24">
        <w:rPr>
          <w:rFonts w:ascii="Arial" w:hAnsi="Arial" w:cs="Arial"/>
          <w:color w:val="000000"/>
          <w:sz w:val="22"/>
          <w:szCs w:val="22"/>
        </w:rPr>
        <w:t xml:space="preserve">In collaboration with multiple units across campus, College of Technology’s Student Services has decided to revamp our admission procedures to offer direct admission to students while </w:t>
      </w:r>
      <w:proofErr w:type="gramStart"/>
      <w:r w:rsidRPr="003F1F24">
        <w:rPr>
          <w:rFonts w:ascii="Arial" w:hAnsi="Arial" w:cs="Arial"/>
          <w:color w:val="000000"/>
          <w:sz w:val="22"/>
          <w:szCs w:val="22"/>
        </w:rPr>
        <w:t>still keeping</w:t>
      </w:r>
      <w:proofErr w:type="gramEnd"/>
      <w:r w:rsidRPr="003F1F24">
        <w:rPr>
          <w:rFonts w:ascii="Arial" w:hAnsi="Arial" w:cs="Arial"/>
          <w:color w:val="000000"/>
          <w:sz w:val="22"/>
          <w:szCs w:val="22"/>
        </w:rPr>
        <w:t xml:space="preserve"> our entrance advising processes intact. With this change, students will be able to receive scholarship offers BEFORE enrolling in College of Technology programs. This decision will enhance our capability to attract top-performing students from all over the State.</w:t>
      </w:r>
    </w:p>
    <w:p w14:paraId="4281F552" w14:textId="77777777" w:rsidR="00E6208A" w:rsidRPr="00E6208A" w:rsidRDefault="00E6208A" w:rsidP="00E6208A">
      <w:pPr>
        <w:shd w:val="clear" w:color="auto" w:fill="FFFFFF"/>
        <w:rPr>
          <w:rFonts w:ascii="Arial" w:hAnsi="Arial" w:cs="Arial"/>
          <w:color w:val="000000"/>
          <w:sz w:val="22"/>
          <w:szCs w:val="22"/>
        </w:rPr>
      </w:pPr>
    </w:p>
    <w:p w14:paraId="15C21F5C" w14:textId="5713D419" w:rsidR="003F1F24" w:rsidRDefault="003F1F24" w:rsidP="008C5DD7">
      <w:pPr>
        <w:pStyle w:val="ListParagraph"/>
        <w:numPr>
          <w:ilvl w:val="0"/>
          <w:numId w:val="8"/>
        </w:numPr>
        <w:rPr>
          <w:rFonts w:ascii="Arial" w:hAnsi="Arial" w:cs="Arial"/>
          <w:color w:val="000000"/>
          <w:sz w:val="22"/>
          <w:szCs w:val="22"/>
        </w:rPr>
      </w:pPr>
      <w:r w:rsidRPr="003F1F24">
        <w:rPr>
          <w:rFonts w:ascii="Arial" w:hAnsi="Arial" w:cs="Arial"/>
          <w:color w:val="000000"/>
          <w:sz w:val="22"/>
          <w:szCs w:val="22"/>
        </w:rPr>
        <w:t>Our Aircraft Maintenance Technology Program received a DC-8 commercial jet from NASA. This jet is fully functional and airworthy but will be used as a ground trainer. This new plane will allow students in the program an opportunity to train on a larger aircraft with modern engines, flight control systems, and avionics.</w:t>
      </w:r>
    </w:p>
    <w:p w14:paraId="2EBCB460" w14:textId="77777777" w:rsidR="00E6208A" w:rsidRPr="00E6208A" w:rsidRDefault="00E6208A" w:rsidP="00E6208A">
      <w:pPr>
        <w:rPr>
          <w:rFonts w:ascii="Arial" w:hAnsi="Arial" w:cs="Arial"/>
          <w:color w:val="000000"/>
          <w:sz w:val="22"/>
          <w:szCs w:val="22"/>
        </w:rPr>
      </w:pPr>
    </w:p>
    <w:p w14:paraId="5339C2E5" w14:textId="388DB43C" w:rsidR="003F1F24" w:rsidRDefault="003F1F24" w:rsidP="008C5DD7">
      <w:pPr>
        <w:pStyle w:val="ListParagraph"/>
        <w:numPr>
          <w:ilvl w:val="0"/>
          <w:numId w:val="9"/>
        </w:numPr>
        <w:shd w:val="clear" w:color="auto" w:fill="FFFFFF"/>
        <w:rPr>
          <w:rFonts w:ascii="Arial" w:hAnsi="Arial" w:cs="Arial"/>
          <w:color w:val="000000"/>
          <w:sz w:val="22"/>
          <w:szCs w:val="22"/>
        </w:rPr>
      </w:pPr>
      <w:r w:rsidRPr="003F1F24">
        <w:rPr>
          <w:rFonts w:ascii="Arial" w:hAnsi="Arial" w:cs="Arial"/>
          <w:color w:val="000000"/>
          <w:sz w:val="22"/>
          <w:szCs w:val="22"/>
        </w:rPr>
        <w:t>Scholarships and endowments have been created by supporters of the College of Technology within this last school year. These gifts will benefit many students, in particular students participating in the Center for New Directions and in our Continuing Education &amp; Workforce Training Plumbing Apprenticeship.</w:t>
      </w:r>
    </w:p>
    <w:p w14:paraId="2F482A7B" w14:textId="77777777" w:rsidR="00E6208A" w:rsidRPr="003F1F24" w:rsidRDefault="00E6208A" w:rsidP="00E6208A">
      <w:pPr>
        <w:pStyle w:val="ListParagraph"/>
        <w:shd w:val="clear" w:color="auto" w:fill="FFFFFF"/>
        <w:rPr>
          <w:rFonts w:ascii="Arial" w:hAnsi="Arial" w:cs="Arial"/>
          <w:color w:val="000000"/>
          <w:sz w:val="22"/>
          <w:szCs w:val="22"/>
        </w:rPr>
      </w:pPr>
    </w:p>
    <w:p w14:paraId="75015A13" w14:textId="3D542C59" w:rsidR="000A297E" w:rsidRDefault="0077006C" w:rsidP="00FD11ED">
      <w:pPr>
        <w:spacing w:after="240"/>
        <w:rPr>
          <w:rFonts w:ascii="Arial" w:hAnsi="Arial" w:cs="Arial"/>
          <w:b/>
          <w:i/>
        </w:rPr>
      </w:pPr>
      <w:proofErr w:type="spellStart"/>
      <w:r w:rsidRPr="006C3990">
        <w:rPr>
          <w:rFonts w:ascii="Arial" w:hAnsi="Arial" w:cs="Arial"/>
          <w:b/>
          <w:i/>
        </w:rPr>
        <w:t>Kasiska</w:t>
      </w:r>
      <w:proofErr w:type="spellEnd"/>
      <w:r w:rsidRPr="006C3990">
        <w:rPr>
          <w:rFonts w:ascii="Arial" w:hAnsi="Arial" w:cs="Arial"/>
          <w:b/>
          <w:i/>
        </w:rPr>
        <w:t xml:space="preserve"> </w:t>
      </w:r>
      <w:r w:rsidR="000A297E" w:rsidRPr="006C3990">
        <w:rPr>
          <w:rFonts w:ascii="Arial" w:hAnsi="Arial" w:cs="Arial"/>
          <w:b/>
          <w:i/>
        </w:rPr>
        <w:t>Division of Health Sciences </w:t>
      </w:r>
    </w:p>
    <w:p w14:paraId="2D225688" w14:textId="6834CBB5" w:rsidR="008713D0" w:rsidRDefault="008713D0" w:rsidP="008C5DD7">
      <w:pPr>
        <w:pStyle w:val="ListParagraph"/>
        <w:numPr>
          <w:ilvl w:val="0"/>
          <w:numId w:val="9"/>
        </w:numPr>
        <w:shd w:val="clear" w:color="auto" w:fill="FFFFFF"/>
        <w:rPr>
          <w:sz w:val="22"/>
          <w:szCs w:val="22"/>
        </w:rPr>
      </w:pPr>
      <w:r w:rsidRPr="008713D0">
        <w:rPr>
          <w:rFonts w:ascii="Arial" w:hAnsi="Arial" w:cs="Arial"/>
          <w:color w:val="000000"/>
          <w:sz w:val="22"/>
          <w:szCs w:val="22"/>
        </w:rPr>
        <w:t xml:space="preserve">Celebrating </w:t>
      </w:r>
      <w:proofErr w:type="gramStart"/>
      <w:r w:rsidRPr="008713D0">
        <w:rPr>
          <w:rFonts w:ascii="Arial" w:hAnsi="Arial" w:cs="Arial"/>
          <w:color w:val="000000"/>
          <w:sz w:val="22"/>
          <w:szCs w:val="22"/>
        </w:rPr>
        <w:t>30</w:t>
      </w:r>
      <w:proofErr w:type="gramEnd"/>
      <w:r w:rsidRPr="008713D0">
        <w:rPr>
          <w:rFonts w:ascii="Arial" w:hAnsi="Arial" w:cs="Arial"/>
          <w:color w:val="000000"/>
          <w:sz w:val="22"/>
          <w:szCs w:val="22"/>
        </w:rPr>
        <w:t xml:space="preserve"> years of the Family Medicine Residency</w:t>
      </w:r>
      <w:r w:rsidRPr="008713D0">
        <w:rPr>
          <w:sz w:val="22"/>
          <w:szCs w:val="22"/>
        </w:rPr>
        <w:t>.</w:t>
      </w:r>
    </w:p>
    <w:p w14:paraId="4C77BF1C" w14:textId="77777777" w:rsidR="00AA5431" w:rsidRPr="00AA5431" w:rsidRDefault="00AA5431" w:rsidP="00AA5431">
      <w:pPr>
        <w:shd w:val="clear" w:color="auto" w:fill="FFFFFF"/>
        <w:rPr>
          <w:sz w:val="22"/>
          <w:szCs w:val="22"/>
        </w:rPr>
      </w:pPr>
    </w:p>
    <w:p w14:paraId="03B62D3C" w14:textId="219CFE90" w:rsidR="008713D0" w:rsidRPr="00AA5431" w:rsidRDefault="008713D0" w:rsidP="008C5DD7">
      <w:pPr>
        <w:pStyle w:val="ListParagraph"/>
        <w:numPr>
          <w:ilvl w:val="0"/>
          <w:numId w:val="9"/>
        </w:numPr>
        <w:shd w:val="clear" w:color="auto" w:fill="FFFFFF"/>
        <w:rPr>
          <w:rFonts w:ascii="Arial" w:hAnsi="Arial" w:cs="Arial"/>
          <w:color w:val="000000"/>
          <w:sz w:val="22"/>
          <w:szCs w:val="22"/>
        </w:rPr>
      </w:pPr>
      <w:r w:rsidRPr="008713D0">
        <w:rPr>
          <w:rFonts w:ascii="Arial" w:hAnsi="Arial" w:cs="Arial"/>
          <w:color w:val="000000"/>
          <w:sz w:val="22"/>
          <w:szCs w:val="22"/>
        </w:rPr>
        <w:t xml:space="preserve">Celebrating the first graduating class of </w:t>
      </w:r>
      <w:proofErr w:type="spellStart"/>
      <w:r w:rsidRPr="008713D0">
        <w:rPr>
          <w:rFonts w:ascii="Arial" w:hAnsi="Arial" w:cs="Arial"/>
          <w:color w:val="000000"/>
          <w:sz w:val="22"/>
          <w:szCs w:val="22"/>
        </w:rPr>
        <w:t>UofU</w:t>
      </w:r>
      <w:proofErr w:type="spellEnd"/>
      <w:r w:rsidRPr="008713D0">
        <w:rPr>
          <w:rFonts w:ascii="Arial" w:hAnsi="Arial" w:cs="Arial"/>
          <w:color w:val="000000"/>
          <w:sz w:val="22"/>
          <w:szCs w:val="22"/>
        </w:rPr>
        <w:t>/ISU Idaho Track Psychiatry Residency</w:t>
      </w:r>
      <w:r w:rsidRPr="008713D0">
        <w:rPr>
          <w:sz w:val="22"/>
          <w:szCs w:val="22"/>
        </w:rPr>
        <w:t>.</w:t>
      </w:r>
    </w:p>
    <w:p w14:paraId="1EDEA94A" w14:textId="546C8E15" w:rsidR="00AA5431" w:rsidRPr="00E6208A" w:rsidRDefault="00AA5431" w:rsidP="00E6208A">
      <w:pPr>
        <w:shd w:val="clear" w:color="auto" w:fill="FFFFFF"/>
        <w:rPr>
          <w:rFonts w:ascii="Arial" w:hAnsi="Arial" w:cs="Arial"/>
          <w:color w:val="000000"/>
          <w:sz w:val="22"/>
          <w:szCs w:val="22"/>
        </w:rPr>
      </w:pPr>
    </w:p>
    <w:p w14:paraId="170C00D2" w14:textId="1371C708" w:rsidR="008713D0" w:rsidRDefault="008713D0" w:rsidP="008C5DD7">
      <w:pPr>
        <w:pStyle w:val="ListParagraph"/>
        <w:numPr>
          <w:ilvl w:val="0"/>
          <w:numId w:val="9"/>
        </w:numPr>
        <w:shd w:val="clear" w:color="auto" w:fill="FFFFFF"/>
        <w:rPr>
          <w:rFonts w:ascii="Arial" w:hAnsi="Arial" w:cs="Arial"/>
          <w:color w:val="000000"/>
          <w:sz w:val="22"/>
          <w:szCs w:val="22"/>
        </w:rPr>
      </w:pPr>
      <w:r w:rsidRPr="008713D0">
        <w:rPr>
          <w:rFonts w:ascii="Arial" w:hAnsi="Arial" w:cs="Arial"/>
          <w:color w:val="000000"/>
          <w:sz w:val="22"/>
          <w:szCs w:val="22"/>
        </w:rPr>
        <w:t>Establishment of an interdisciplinary psychiatric and counseling clinic.</w:t>
      </w:r>
    </w:p>
    <w:p w14:paraId="0EED417F" w14:textId="77777777" w:rsidR="00AA5431" w:rsidRPr="00AA5431" w:rsidRDefault="00AA5431" w:rsidP="00AA5431">
      <w:pPr>
        <w:shd w:val="clear" w:color="auto" w:fill="FFFFFF"/>
        <w:rPr>
          <w:rFonts w:ascii="Arial" w:hAnsi="Arial" w:cs="Arial"/>
          <w:color w:val="000000"/>
          <w:sz w:val="22"/>
          <w:szCs w:val="22"/>
        </w:rPr>
      </w:pPr>
    </w:p>
    <w:p w14:paraId="28D6178F" w14:textId="69BE0C76" w:rsidR="008713D0" w:rsidRDefault="008713D0" w:rsidP="008C5DD7">
      <w:pPr>
        <w:pStyle w:val="ListParagraph"/>
        <w:numPr>
          <w:ilvl w:val="0"/>
          <w:numId w:val="9"/>
        </w:numPr>
        <w:shd w:val="clear" w:color="auto" w:fill="FFFFFF"/>
        <w:rPr>
          <w:rFonts w:ascii="Arial" w:hAnsi="Arial" w:cs="Arial"/>
          <w:color w:val="000000"/>
          <w:sz w:val="22"/>
          <w:szCs w:val="22"/>
        </w:rPr>
      </w:pPr>
      <w:r w:rsidRPr="008713D0">
        <w:rPr>
          <w:rFonts w:ascii="Arial" w:hAnsi="Arial" w:cs="Arial"/>
          <w:color w:val="000000"/>
          <w:sz w:val="22"/>
          <w:szCs w:val="22"/>
        </w:rPr>
        <w:t>Sports Medicine Physician Fellowship receives preliminary accreditation and will enroll first fellow in July 2025. </w:t>
      </w:r>
    </w:p>
    <w:p w14:paraId="4A4EC627" w14:textId="77777777" w:rsidR="00AA5431" w:rsidRPr="00AA5431" w:rsidRDefault="00AA5431" w:rsidP="00AA5431">
      <w:pPr>
        <w:pStyle w:val="ListParagraph"/>
        <w:rPr>
          <w:rFonts w:ascii="Arial" w:hAnsi="Arial" w:cs="Arial"/>
          <w:color w:val="000000"/>
          <w:sz w:val="22"/>
          <w:szCs w:val="22"/>
        </w:rPr>
      </w:pPr>
    </w:p>
    <w:p w14:paraId="249F8D7D" w14:textId="4677F806" w:rsidR="008713D0" w:rsidRDefault="008713D0" w:rsidP="008C5DD7">
      <w:pPr>
        <w:pStyle w:val="ListParagraph"/>
        <w:numPr>
          <w:ilvl w:val="0"/>
          <w:numId w:val="9"/>
        </w:numPr>
        <w:shd w:val="clear" w:color="auto" w:fill="FFFFFF"/>
        <w:rPr>
          <w:rFonts w:ascii="Arial" w:hAnsi="Arial" w:cs="Arial"/>
          <w:color w:val="000000"/>
          <w:sz w:val="22"/>
          <w:szCs w:val="22"/>
        </w:rPr>
      </w:pPr>
      <w:r w:rsidRPr="008713D0">
        <w:rPr>
          <w:rFonts w:ascii="Arial" w:hAnsi="Arial" w:cs="Arial"/>
          <w:color w:val="000000"/>
          <w:sz w:val="22"/>
          <w:szCs w:val="22"/>
        </w:rPr>
        <w:t>Establish multiple articulation and pathways agreements with sister institutions for studen</w:t>
      </w:r>
      <w:r w:rsidR="00AA5431">
        <w:rPr>
          <w:rFonts w:ascii="Arial" w:hAnsi="Arial" w:cs="Arial"/>
          <w:color w:val="000000"/>
          <w:sz w:val="22"/>
          <w:szCs w:val="22"/>
        </w:rPr>
        <w:t>ts to enter ISU health programs.</w:t>
      </w:r>
    </w:p>
    <w:p w14:paraId="5A6DBC69" w14:textId="77777777" w:rsidR="00AA5431" w:rsidRDefault="00AA5431" w:rsidP="00AA5431">
      <w:pPr>
        <w:pStyle w:val="ListParagraph"/>
        <w:shd w:val="clear" w:color="auto" w:fill="FFFFFF"/>
        <w:rPr>
          <w:rFonts w:ascii="Arial" w:hAnsi="Arial" w:cs="Arial"/>
          <w:color w:val="000000"/>
          <w:sz w:val="22"/>
          <w:szCs w:val="22"/>
        </w:rPr>
      </w:pPr>
    </w:p>
    <w:p w14:paraId="793CB743" w14:textId="5DAEA047" w:rsidR="008713D0" w:rsidRDefault="008713D0" w:rsidP="008C5DD7">
      <w:pPr>
        <w:pStyle w:val="ListParagraph"/>
        <w:numPr>
          <w:ilvl w:val="0"/>
          <w:numId w:val="9"/>
        </w:numPr>
        <w:shd w:val="clear" w:color="auto" w:fill="FFFFFF"/>
        <w:rPr>
          <w:rFonts w:ascii="Arial" w:hAnsi="Arial" w:cs="Arial"/>
          <w:color w:val="000000"/>
          <w:sz w:val="22"/>
          <w:szCs w:val="22"/>
        </w:rPr>
      </w:pPr>
      <w:r w:rsidRPr="008713D0">
        <w:rPr>
          <w:rFonts w:ascii="Arial" w:hAnsi="Arial" w:cs="Arial"/>
          <w:color w:val="000000"/>
          <w:sz w:val="22"/>
          <w:szCs w:val="22"/>
        </w:rPr>
        <w:t>Idaho State University is one of only seven universities in the United States where students can obtain a</w:t>
      </w:r>
      <w:r w:rsidR="00682DCC">
        <w:rPr>
          <w:rFonts w:ascii="Arial" w:hAnsi="Arial" w:cs="Arial"/>
          <w:color w:val="000000"/>
          <w:sz w:val="22"/>
          <w:szCs w:val="22"/>
        </w:rPr>
        <w:t xml:space="preserve"> technical certificate</w:t>
      </w:r>
      <w:r w:rsidRPr="008713D0">
        <w:rPr>
          <w:rFonts w:ascii="Arial" w:hAnsi="Arial" w:cs="Arial"/>
          <w:color w:val="000000"/>
          <w:sz w:val="22"/>
          <w:szCs w:val="22"/>
        </w:rPr>
        <w:t xml:space="preserve"> all the way to a PhD, including over 55 health professions programs that enhance and expand Idaho's health care workforce</w:t>
      </w:r>
    </w:p>
    <w:p w14:paraId="34527C9A" w14:textId="1982AD1F" w:rsidR="00AA5431" w:rsidRPr="00AA5431" w:rsidRDefault="00AA5431" w:rsidP="00AA5431">
      <w:pPr>
        <w:pStyle w:val="ListParagraph"/>
        <w:shd w:val="clear" w:color="auto" w:fill="FFFFFF"/>
        <w:rPr>
          <w:rFonts w:ascii="Arial" w:hAnsi="Arial" w:cs="Arial"/>
          <w:color w:val="000000"/>
          <w:sz w:val="22"/>
          <w:szCs w:val="22"/>
        </w:rPr>
      </w:pPr>
    </w:p>
    <w:p w14:paraId="6A4FFC6A" w14:textId="52FFA464" w:rsidR="008713D0" w:rsidRPr="008713D0" w:rsidRDefault="008713D0" w:rsidP="008C5DD7">
      <w:pPr>
        <w:pStyle w:val="ListParagraph"/>
        <w:numPr>
          <w:ilvl w:val="0"/>
          <w:numId w:val="9"/>
        </w:numPr>
        <w:shd w:val="clear" w:color="auto" w:fill="FFFFFF"/>
        <w:rPr>
          <w:rFonts w:ascii="Arial" w:hAnsi="Arial" w:cs="Arial"/>
          <w:color w:val="000000"/>
          <w:sz w:val="22"/>
          <w:szCs w:val="22"/>
        </w:rPr>
      </w:pPr>
      <w:r w:rsidRPr="008713D0">
        <w:rPr>
          <w:rFonts w:ascii="Arial" w:hAnsi="Arial" w:cs="Arial"/>
          <w:color w:val="000000"/>
          <w:sz w:val="22"/>
          <w:szCs w:val="22"/>
        </w:rPr>
        <w:t>Wilderness and Austere Medicine Fellowship for Family Medicine: The Wilderness and Austere Medicine Fellowship at ISU is a one-year post-graduate fellowship open to applicants who have successfully completed a residency in family medicine, are board certified in family medicine, and eligible for licensing in the state of Idaho.</w:t>
      </w:r>
    </w:p>
    <w:p w14:paraId="6952FEA6" w14:textId="77777777" w:rsidR="00CE0B4A" w:rsidRPr="00CE0B4A" w:rsidRDefault="00CE0B4A" w:rsidP="00CE0B4A">
      <w:pPr>
        <w:pStyle w:val="ListParagraph"/>
      </w:pPr>
    </w:p>
    <w:p w14:paraId="4CF4E348" w14:textId="4927439C" w:rsidR="009308AC" w:rsidRDefault="00826A88" w:rsidP="002A3F3C">
      <w:pPr>
        <w:spacing w:line="360" w:lineRule="auto"/>
        <w:rPr>
          <w:rFonts w:ascii="Arial" w:hAnsi="Arial" w:cs="Arial"/>
          <w:b/>
          <w:i/>
        </w:rPr>
      </w:pPr>
      <w:r>
        <w:rPr>
          <w:rFonts w:ascii="Arial" w:hAnsi="Arial" w:cs="Arial"/>
          <w:b/>
          <w:i/>
        </w:rPr>
        <w:t xml:space="preserve">College of Health </w:t>
      </w:r>
    </w:p>
    <w:p w14:paraId="5868FB3A" w14:textId="77777777" w:rsidR="00E36270" w:rsidRPr="00CC6910" w:rsidRDefault="00E36270" w:rsidP="00E36270">
      <w:pPr>
        <w:pStyle w:val="ListParagraph"/>
        <w:shd w:val="clear" w:color="auto" w:fill="FFFFFF"/>
        <w:rPr>
          <w:sz w:val="22"/>
          <w:szCs w:val="22"/>
        </w:rPr>
      </w:pPr>
    </w:p>
    <w:p w14:paraId="12F0A51F" w14:textId="77777777" w:rsidR="00AA59AC" w:rsidRPr="00AA59AC" w:rsidRDefault="00AA59AC" w:rsidP="00AA59AC">
      <w:pPr>
        <w:shd w:val="clear" w:color="auto" w:fill="FFFFFF"/>
        <w:spacing w:after="200"/>
        <w:rPr>
          <w:rFonts w:ascii="Arial" w:hAnsi="Arial" w:cs="Arial"/>
          <w:color w:val="000000"/>
          <w:sz w:val="22"/>
          <w:szCs w:val="22"/>
        </w:rPr>
      </w:pPr>
      <w:r w:rsidRPr="00AA59AC">
        <w:rPr>
          <w:rFonts w:ascii="Arial" w:hAnsi="Arial" w:cs="Arial"/>
          <w:color w:val="000000"/>
          <w:sz w:val="22"/>
          <w:szCs w:val="22"/>
        </w:rPr>
        <w:t>The focus of the College of Health is “serving the health care needs of Idahoans through education and clinical practice”.</w:t>
      </w:r>
    </w:p>
    <w:p w14:paraId="34FB5EDE" w14:textId="0B270FAB" w:rsidR="00AA59AC" w:rsidRPr="00AA5431" w:rsidRDefault="00AA59AC" w:rsidP="008C5DD7">
      <w:pPr>
        <w:pStyle w:val="ListParagraph"/>
        <w:numPr>
          <w:ilvl w:val="0"/>
          <w:numId w:val="14"/>
        </w:numPr>
        <w:shd w:val="clear" w:color="auto" w:fill="FFFFFF"/>
        <w:rPr>
          <w:rFonts w:ascii="Arial" w:hAnsi="Arial" w:cs="Arial"/>
          <w:color w:val="000000"/>
          <w:sz w:val="22"/>
          <w:szCs w:val="22"/>
        </w:rPr>
      </w:pPr>
      <w:r w:rsidRPr="00AA5431">
        <w:rPr>
          <w:rFonts w:ascii="Arial" w:hAnsi="Arial" w:cs="Arial"/>
          <w:color w:val="000000"/>
          <w:sz w:val="22"/>
          <w:szCs w:val="22"/>
        </w:rPr>
        <w:lastRenderedPageBreak/>
        <w:t>The COH received the Idaho Workforce Grant to fund a COH Simulation Center. This funded $751,003 in April 2024 and a $812,00 cash match from Portneuf Health Trust to refurbish 5,000 square feet of space. An additional $240,000 of funding came from Kootenai Health and St. Luke's to fund two 0.5 FTE. Grand total: $1.8 million.</w:t>
      </w:r>
    </w:p>
    <w:p w14:paraId="2A7344DD" w14:textId="77777777" w:rsidR="00AA59AC" w:rsidRPr="00AA59AC" w:rsidRDefault="00AA59AC" w:rsidP="00AA59AC">
      <w:pPr>
        <w:shd w:val="clear" w:color="auto" w:fill="FFFFFF"/>
        <w:ind w:left="720"/>
        <w:rPr>
          <w:rFonts w:ascii="Arial" w:hAnsi="Arial" w:cs="Arial"/>
          <w:color w:val="000000"/>
          <w:sz w:val="22"/>
          <w:szCs w:val="22"/>
        </w:rPr>
      </w:pPr>
      <w:r w:rsidRPr="00AA59AC">
        <w:rPr>
          <w:rFonts w:ascii="Arial" w:hAnsi="Arial" w:cs="Arial"/>
          <w:color w:val="000000"/>
          <w:sz w:val="22"/>
          <w:szCs w:val="22"/>
        </w:rPr>
        <w:t> </w:t>
      </w:r>
    </w:p>
    <w:p w14:paraId="2325A070" w14:textId="6D327369" w:rsidR="00AA59AC" w:rsidRPr="00AA5431" w:rsidRDefault="00AA59AC" w:rsidP="008C5DD7">
      <w:pPr>
        <w:pStyle w:val="ListParagraph"/>
        <w:numPr>
          <w:ilvl w:val="0"/>
          <w:numId w:val="14"/>
        </w:numPr>
        <w:shd w:val="clear" w:color="auto" w:fill="FFFFFF"/>
        <w:rPr>
          <w:rFonts w:ascii="Arial" w:hAnsi="Arial" w:cs="Arial"/>
          <w:color w:val="000000"/>
          <w:sz w:val="22"/>
          <w:szCs w:val="22"/>
        </w:rPr>
      </w:pPr>
      <w:r w:rsidRPr="00AA5431">
        <w:rPr>
          <w:rFonts w:ascii="Arial" w:hAnsi="Arial" w:cs="Arial"/>
          <w:color w:val="000000"/>
          <w:sz w:val="22"/>
          <w:szCs w:val="22"/>
        </w:rPr>
        <w:t xml:space="preserve">Faculty in the Department of Communication and Sciences were awarded two major grants from the US Department of Education Office of Special Education Programs in support of increasing the number of highly qualified early intervention providers to serve children who are Deaf/Hard-of-Hearing. Dr. </w:t>
      </w:r>
      <w:proofErr w:type="spellStart"/>
      <w:r w:rsidRPr="00AA5431">
        <w:rPr>
          <w:rFonts w:ascii="Arial" w:hAnsi="Arial" w:cs="Arial"/>
          <w:color w:val="000000"/>
          <w:sz w:val="22"/>
          <w:szCs w:val="22"/>
        </w:rPr>
        <w:t>Blaiser</w:t>
      </w:r>
      <w:proofErr w:type="spellEnd"/>
      <w:r w:rsidRPr="00AA5431">
        <w:rPr>
          <w:rFonts w:ascii="Arial" w:hAnsi="Arial" w:cs="Arial"/>
          <w:color w:val="000000"/>
          <w:sz w:val="22"/>
          <w:szCs w:val="22"/>
        </w:rPr>
        <w:t xml:space="preserve"> and other researchers were funded for a total of $2.2 million. These are two of the 18 Early Childhood competitive grants awarded in the nation and only one other entity received </w:t>
      </w:r>
      <w:proofErr w:type="gramStart"/>
      <w:r w:rsidRPr="00AA5431">
        <w:rPr>
          <w:rFonts w:ascii="Arial" w:hAnsi="Arial" w:cs="Arial"/>
          <w:color w:val="000000"/>
          <w:sz w:val="22"/>
          <w:szCs w:val="22"/>
        </w:rPr>
        <w:t>both of these</w:t>
      </w:r>
      <w:proofErr w:type="gramEnd"/>
      <w:r w:rsidRPr="00AA5431">
        <w:rPr>
          <w:rFonts w:ascii="Arial" w:hAnsi="Arial" w:cs="Arial"/>
          <w:color w:val="000000"/>
          <w:sz w:val="22"/>
          <w:szCs w:val="22"/>
        </w:rPr>
        <w:t xml:space="preserve"> grants simultaneously.</w:t>
      </w:r>
    </w:p>
    <w:p w14:paraId="7588AD78" w14:textId="77777777" w:rsidR="00AA59AC" w:rsidRPr="00AA59AC" w:rsidRDefault="00AA59AC" w:rsidP="00AA59AC">
      <w:pPr>
        <w:shd w:val="clear" w:color="auto" w:fill="FFFFFF"/>
        <w:ind w:left="720"/>
        <w:rPr>
          <w:rFonts w:ascii="Arial" w:hAnsi="Arial" w:cs="Arial"/>
          <w:color w:val="000000"/>
          <w:sz w:val="22"/>
          <w:szCs w:val="22"/>
        </w:rPr>
      </w:pPr>
    </w:p>
    <w:p w14:paraId="1773CB0F" w14:textId="303A84D2" w:rsidR="00AA59AC" w:rsidRPr="00AA5431" w:rsidRDefault="00AA59AC" w:rsidP="008C5DD7">
      <w:pPr>
        <w:pStyle w:val="ListParagraph"/>
        <w:numPr>
          <w:ilvl w:val="0"/>
          <w:numId w:val="14"/>
        </w:numPr>
        <w:shd w:val="clear" w:color="auto" w:fill="FFFFFF"/>
        <w:rPr>
          <w:rFonts w:ascii="Arial" w:hAnsi="Arial" w:cs="Arial"/>
          <w:color w:val="000000"/>
          <w:sz w:val="22"/>
          <w:szCs w:val="22"/>
        </w:rPr>
      </w:pPr>
      <w:r w:rsidRPr="00AA5431">
        <w:rPr>
          <w:rFonts w:ascii="Arial" w:hAnsi="Arial" w:cs="Arial"/>
          <w:color w:val="000000"/>
          <w:sz w:val="22"/>
          <w:szCs w:val="22"/>
        </w:rPr>
        <w:t>New or expanding programs that have been approved within the College of Health in 2023-2024 and will be starting in the near future include: 1) Certified Registered Nurse Anesthetist (CRNA) doctoral program; 2)  Dental Hygiene: Accelerated associate to BS Completion; 3)   Expansion of Nutrition &amp; Dietetics BS to Meridian campus; 4)   Expansion of Accelerated Nursing BS to Kootenai (north Idaho); 5)  PharmD/MPH Dual degree.</w:t>
      </w:r>
    </w:p>
    <w:p w14:paraId="0487EB2F" w14:textId="77777777" w:rsidR="00B002B4" w:rsidRPr="00CC6910" w:rsidRDefault="00B002B4" w:rsidP="00B002B4">
      <w:pPr>
        <w:spacing w:after="200"/>
        <w:ind w:left="720"/>
        <w:textAlignment w:val="baseline"/>
        <w:rPr>
          <w:rFonts w:ascii="Arial" w:hAnsi="Arial" w:cs="Arial"/>
          <w:b/>
          <w:i/>
          <w:sz w:val="22"/>
          <w:szCs w:val="22"/>
        </w:rPr>
      </w:pPr>
    </w:p>
    <w:p w14:paraId="08712A7A" w14:textId="2CE266A1" w:rsidR="00826A88" w:rsidRDefault="0077006C" w:rsidP="005A4EFA">
      <w:pPr>
        <w:spacing w:line="360" w:lineRule="auto"/>
        <w:rPr>
          <w:rFonts w:ascii="Arial" w:hAnsi="Arial" w:cs="Arial"/>
          <w:b/>
          <w:i/>
        </w:rPr>
      </w:pPr>
      <w:r w:rsidRPr="006C3990">
        <w:rPr>
          <w:rFonts w:ascii="Arial" w:hAnsi="Arial" w:cs="Arial"/>
          <w:b/>
          <w:i/>
        </w:rPr>
        <w:t>College of Pharmacy</w:t>
      </w:r>
    </w:p>
    <w:p w14:paraId="31D28616" w14:textId="77777777" w:rsidR="00E26C3D" w:rsidRPr="001E4180" w:rsidRDefault="00E26C3D" w:rsidP="008C5DD7">
      <w:pPr>
        <w:pStyle w:val="ListParagraph"/>
        <w:numPr>
          <w:ilvl w:val="0"/>
          <w:numId w:val="11"/>
        </w:numPr>
        <w:rPr>
          <w:rFonts w:ascii="Arial" w:hAnsi="Arial" w:cs="Arial"/>
          <w:sz w:val="22"/>
          <w:szCs w:val="22"/>
        </w:rPr>
      </w:pPr>
      <w:r w:rsidRPr="001E4180">
        <w:rPr>
          <w:rFonts w:ascii="Arial" w:hAnsi="Arial" w:cs="Arial"/>
          <w:sz w:val="22"/>
          <w:szCs w:val="22"/>
        </w:rPr>
        <w:t>Initiated ACPE Accreditation Self-Study to be complete December of 2024.  The Accreditation Council for Pharmacy Education (ACPE) accreditation self-study process is a comprehensive review conducted by the College of Pharmacy to assess its compliance with ACPE standards and guidelines for the Doctor of Pharmacy program. This process is an initial and critical step for continued accreditation and maintaining the quality and integrity of pharmacy education. The effort includes preparation &amp; planning, data collection and analysis, team writing of self-study, review and feedback, and final submission.</w:t>
      </w:r>
    </w:p>
    <w:p w14:paraId="746EC13F" w14:textId="77777777" w:rsidR="00E26C3D" w:rsidRPr="001A71D0" w:rsidRDefault="00E26C3D" w:rsidP="00E26C3D">
      <w:pPr>
        <w:pStyle w:val="ListParagraph"/>
        <w:rPr>
          <w:rFonts w:ascii="Arial" w:hAnsi="Arial" w:cs="Arial"/>
          <w:sz w:val="22"/>
          <w:szCs w:val="22"/>
        </w:rPr>
      </w:pPr>
    </w:p>
    <w:p w14:paraId="57F8841F" w14:textId="77777777" w:rsidR="00E26C3D" w:rsidRPr="001E4180" w:rsidRDefault="00E26C3D" w:rsidP="008C5DD7">
      <w:pPr>
        <w:pStyle w:val="ListParagraph"/>
        <w:numPr>
          <w:ilvl w:val="0"/>
          <w:numId w:val="11"/>
        </w:numPr>
        <w:rPr>
          <w:rFonts w:ascii="Arial" w:hAnsi="Arial" w:cs="Arial"/>
          <w:sz w:val="22"/>
          <w:szCs w:val="22"/>
        </w:rPr>
      </w:pPr>
      <w:r w:rsidRPr="001E4180">
        <w:rPr>
          <w:rFonts w:ascii="Arial" w:hAnsi="Arial" w:cs="Arial"/>
          <w:sz w:val="22"/>
          <w:szCs w:val="22"/>
        </w:rPr>
        <w:t>Two new Bengal Pharmacy locations are set to open in Chubbuck and McCammon. All licensing and contracts are set to be completed in June of 2024.</w:t>
      </w:r>
    </w:p>
    <w:p w14:paraId="73F18B60" w14:textId="77777777" w:rsidR="00E26C3D" w:rsidRPr="001A71D0" w:rsidRDefault="00E26C3D" w:rsidP="00E26C3D">
      <w:pPr>
        <w:pStyle w:val="ListParagraph"/>
        <w:rPr>
          <w:rFonts w:ascii="Arial" w:hAnsi="Arial" w:cs="Arial"/>
          <w:sz w:val="22"/>
          <w:szCs w:val="22"/>
        </w:rPr>
      </w:pPr>
    </w:p>
    <w:p w14:paraId="147CD438" w14:textId="77777777" w:rsidR="00E26C3D" w:rsidRPr="001E4180" w:rsidRDefault="00E26C3D" w:rsidP="008C5DD7">
      <w:pPr>
        <w:pStyle w:val="ListParagraph"/>
        <w:numPr>
          <w:ilvl w:val="0"/>
          <w:numId w:val="11"/>
        </w:numPr>
        <w:spacing w:after="160"/>
        <w:rPr>
          <w:rFonts w:ascii="Arial" w:hAnsi="Arial" w:cs="Arial"/>
          <w:sz w:val="22"/>
          <w:szCs w:val="22"/>
        </w:rPr>
      </w:pPr>
      <w:r w:rsidRPr="001E4180">
        <w:rPr>
          <w:rFonts w:ascii="Arial" w:hAnsi="Arial" w:cs="Arial"/>
          <w:sz w:val="22"/>
          <w:szCs w:val="22"/>
        </w:rPr>
        <w:t>Hiring of Center for Advancing Pharmacy Practice and Research Excellence (CAPPRE) Director and implementing the CAPPRE organizational structure.</w:t>
      </w:r>
    </w:p>
    <w:p w14:paraId="13E62304" w14:textId="77777777" w:rsidR="00E26C3D" w:rsidRPr="001A71D0" w:rsidRDefault="00E26C3D" w:rsidP="00E26C3D">
      <w:pPr>
        <w:pStyle w:val="ListParagraph"/>
        <w:rPr>
          <w:rFonts w:ascii="Arial" w:hAnsi="Arial" w:cs="Arial"/>
          <w:sz w:val="22"/>
          <w:szCs w:val="22"/>
        </w:rPr>
      </w:pPr>
    </w:p>
    <w:p w14:paraId="7EDA0C8B" w14:textId="185209E6" w:rsidR="00E26C3D" w:rsidRDefault="00E26C3D" w:rsidP="008C5DD7">
      <w:pPr>
        <w:pStyle w:val="ListParagraph"/>
        <w:numPr>
          <w:ilvl w:val="0"/>
          <w:numId w:val="11"/>
        </w:numPr>
        <w:spacing w:before="240" w:after="160"/>
        <w:rPr>
          <w:rFonts w:ascii="Arial" w:hAnsi="Arial" w:cs="Arial"/>
          <w:sz w:val="22"/>
          <w:szCs w:val="22"/>
        </w:rPr>
      </w:pPr>
      <w:r w:rsidRPr="001E4180">
        <w:rPr>
          <w:rFonts w:ascii="Arial" w:hAnsi="Arial" w:cs="Arial"/>
          <w:sz w:val="22"/>
          <w:szCs w:val="22"/>
        </w:rPr>
        <w:t>4 faculty promoted; 1 faculty earned tenure</w:t>
      </w:r>
    </w:p>
    <w:p w14:paraId="56EC82A9" w14:textId="77777777" w:rsidR="00AA5431" w:rsidRPr="00AA5431" w:rsidRDefault="00AA5431" w:rsidP="00AA5431">
      <w:pPr>
        <w:pStyle w:val="ListParagraph"/>
        <w:rPr>
          <w:rFonts w:ascii="Arial" w:hAnsi="Arial" w:cs="Arial"/>
          <w:sz w:val="22"/>
          <w:szCs w:val="22"/>
        </w:rPr>
      </w:pPr>
    </w:p>
    <w:p w14:paraId="021BEA3F" w14:textId="77777777" w:rsidR="00E26C3D" w:rsidRPr="001E4180" w:rsidRDefault="00E26C3D" w:rsidP="008C5DD7">
      <w:pPr>
        <w:pStyle w:val="ListParagraph"/>
        <w:numPr>
          <w:ilvl w:val="0"/>
          <w:numId w:val="11"/>
        </w:numPr>
        <w:spacing w:before="240" w:after="160"/>
        <w:rPr>
          <w:rFonts w:ascii="Arial" w:hAnsi="Arial" w:cs="Arial"/>
          <w:sz w:val="22"/>
          <w:szCs w:val="22"/>
        </w:rPr>
      </w:pPr>
      <w:r w:rsidRPr="001E4180">
        <w:rPr>
          <w:rFonts w:ascii="Arial" w:hAnsi="Arial" w:cs="Arial"/>
          <w:sz w:val="22"/>
          <w:szCs w:val="22"/>
        </w:rPr>
        <w:t>Implemented monthly professional development program for administration, faculty, and staff to improve the culture in the College and promote inclusivity.</w:t>
      </w:r>
    </w:p>
    <w:p w14:paraId="03F62671" w14:textId="77777777" w:rsidR="00E26C3D" w:rsidRPr="001A71D0" w:rsidRDefault="00E26C3D" w:rsidP="00E26C3D">
      <w:pPr>
        <w:pStyle w:val="ListParagraph"/>
        <w:rPr>
          <w:rFonts w:ascii="Arial" w:hAnsi="Arial" w:cs="Arial"/>
          <w:sz w:val="22"/>
          <w:szCs w:val="22"/>
        </w:rPr>
      </w:pPr>
    </w:p>
    <w:p w14:paraId="30F74E24" w14:textId="20CC59A7" w:rsidR="00E43D1F" w:rsidRDefault="00E43D1F" w:rsidP="00E43D1F">
      <w:pPr>
        <w:spacing w:after="200"/>
        <w:rPr>
          <w:rFonts w:ascii="Arial" w:hAnsi="Arial" w:cs="Arial"/>
          <w:b/>
          <w:bCs/>
          <w:color w:val="000000"/>
        </w:rPr>
      </w:pPr>
      <w:r w:rsidRPr="00E43D1F">
        <w:rPr>
          <w:rFonts w:ascii="Arial" w:hAnsi="Arial" w:cs="Arial"/>
          <w:b/>
          <w:bCs/>
          <w:color w:val="000000"/>
        </w:rPr>
        <w:t>Grad</w:t>
      </w:r>
      <w:r>
        <w:rPr>
          <w:rFonts w:ascii="Arial" w:hAnsi="Arial" w:cs="Arial"/>
          <w:b/>
          <w:bCs/>
          <w:color w:val="000000"/>
        </w:rPr>
        <w:t>uate</w:t>
      </w:r>
      <w:r w:rsidRPr="00E43D1F">
        <w:rPr>
          <w:rFonts w:ascii="Arial" w:hAnsi="Arial" w:cs="Arial"/>
          <w:b/>
          <w:bCs/>
          <w:color w:val="000000"/>
        </w:rPr>
        <w:t xml:space="preserve"> School: </w:t>
      </w:r>
    </w:p>
    <w:p w14:paraId="019BCB27" w14:textId="77777777" w:rsidR="009412D6" w:rsidRPr="001A71D0" w:rsidRDefault="009412D6" w:rsidP="008C5DD7">
      <w:pPr>
        <w:numPr>
          <w:ilvl w:val="0"/>
          <w:numId w:val="7"/>
        </w:numPr>
        <w:shd w:val="clear" w:color="auto" w:fill="FFFFFF"/>
        <w:spacing w:after="160"/>
        <w:ind w:left="945"/>
        <w:textAlignment w:val="baseline"/>
        <w:rPr>
          <w:rFonts w:ascii="Arial" w:hAnsi="Arial" w:cs="Arial"/>
          <w:color w:val="000000"/>
          <w:sz w:val="22"/>
          <w:szCs w:val="22"/>
        </w:rPr>
      </w:pPr>
      <w:r w:rsidRPr="001A71D0">
        <w:rPr>
          <w:rFonts w:ascii="Arial" w:hAnsi="Arial" w:cs="Arial"/>
          <w:color w:val="000000"/>
          <w:sz w:val="22"/>
          <w:szCs w:val="22"/>
        </w:rPr>
        <w:t>The Graduate School launched its strategic recruitment initiative, in FY23, which focused on high-growth potential graduate programs in the institution. In FY24 we completed the first action stage for 11 Strategic Recruitment Plans to market and recruit for programs with high growth capacity. </w:t>
      </w:r>
    </w:p>
    <w:p w14:paraId="50CD4420" w14:textId="77777777" w:rsidR="009412D6" w:rsidRPr="001A71D0" w:rsidRDefault="009412D6" w:rsidP="008C5DD7">
      <w:pPr>
        <w:numPr>
          <w:ilvl w:val="0"/>
          <w:numId w:val="7"/>
        </w:numPr>
        <w:shd w:val="clear" w:color="auto" w:fill="FFFFFF"/>
        <w:spacing w:after="160"/>
        <w:ind w:left="945"/>
        <w:textAlignment w:val="baseline"/>
        <w:rPr>
          <w:rFonts w:ascii="Arial" w:hAnsi="Arial" w:cs="Arial"/>
          <w:color w:val="222222"/>
          <w:sz w:val="22"/>
          <w:szCs w:val="22"/>
        </w:rPr>
      </w:pPr>
      <w:r w:rsidRPr="001A71D0">
        <w:rPr>
          <w:rFonts w:ascii="Arial" w:hAnsi="Arial" w:cs="Arial"/>
          <w:color w:val="000000"/>
          <w:sz w:val="22"/>
          <w:szCs w:val="22"/>
        </w:rPr>
        <w:t>The premiere Graduate School event, 3 Minute-Thesis competition has grown to a record number of presenters. This event allows graduates to showcase their scholarly work to a general audience, in person and online, about their work at ISU.</w:t>
      </w:r>
    </w:p>
    <w:p w14:paraId="6DBB58DD" w14:textId="77777777" w:rsidR="009412D6" w:rsidRPr="001A71D0" w:rsidRDefault="009412D6" w:rsidP="008C5DD7">
      <w:pPr>
        <w:numPr>
          <w:ilvl w:val="0"/>
          <w:numId w:val="7"/>
        </w:numPr>
        <w:shd w:val="clear" w:color="auto" w:fill="FFFFFF"/>
        <w:spacing w:after="160"/>
        <w:ind w:left="945"/>
        <w:textAlignment w:val="baseline"/>
        <w:rPr>
          <w:rFonts w:ascii="Arial" w:hAnsi="Arial" w:cs="Arial"/>
          <w:color w:val="222222"/>
          <w:sz w:val="22"/>
          <w:szCs w:val="22"/>
        </w:rPr>
      </w:pPr>
      <w:r w:rsidRPr="001A71D0">
        <w:rPr>
          <w:rFonts w:ascii="Arial" w:hAnsi="Arial" w:cs="Arial"/>
          <w:color w:val="222222"/>
          <w:sz w:val="22"/>
          <w:szCs w:val="22"/>
        </w:rPr>
        <w:lastRenderedPageBreak/>
        <w:t>The Graduate School took the lead on moving the 10</w:t>
      </w:r>
      <w:r w:rsidRPr="001A71D0">
        <w:rPr>
          <w:rFonts w:ascii="Arial" w:hAnsi="Arial" w:cs="Arial"/>
          <w:color w:val="222222"/>
          <w:sz w:val="22"/>
          <w:szCs w:val="22"/>
          <w:vertAlign w:val="superscript"/>
        </w:rPr>
        <w:t>th</w:t>
      </w:r>
      <w:r w:rsidRPr="001A71D0">
        <w:rPr>
          <w:rFonts w:ascii="Arial" w:hAnsi="Arial" w:cs="Arial"/>
          <w:color w:val="222222"/>
          <w:sz w:val="22"/>
          <w:szCs w:val="22"/>
        </w:rPr>
        <w:t xml:space="preserve"> Annual Graduate Research Symposium to a new level, collaborating with annual events by the Office of Research and the </w:t>
      </w:r>
      <w:proofErr w:type="spellStart"/>
      <w:r w:rsidRPr="001A71D0">
        <w:rPr>
          <w:rFonts w:ascii="Arial" w:hAnsi="Arial" w:cs="Arial"/>
          <w:color w:val="222222"/>
          <w:sz w:val="22"/>
          <w:szCs w:val="22"/>
        </w:rPr>
        <w:t>Kasiska</w:t>
      </w:r>
      <w:proofErr w:type="spellEnd"/>
      <w:r w:rsidRPr="001A71D0">
        <w:rPr>
          <w:rFonts w:ascii="Arial" w:hAnsi="Arial" w:cs="Arial"/>
          <w:color w:val="222222"/>
          <w:sz w:val="22"/>
          <w:szCs w:val="22"/>
        </w:rPr>
        <w:t xml:space="preserve"> Division of Health Sciences to develop a </w:t>
      </w:r>
      <w:proofErr w:type="gramStart"/>
      <w:r w:rsidRPr="001A71D0">
        <w:rPr>
          <w:rFonts w:ascii="Arial" w:hAnsi="Arial" w:cs="Arial"/>
          <w:color w:val="222222"/>
          <w:sz w:val="22"/>
          <w:szCs w:val="22"/>
        </w:rPr>
        <w:t>University</w:t>
      </w:r>
      <w:proofErr w:type="gramEnd"/>
      <w:r w:rsidRPr="001A71D0">
        <w:rPr>
          <w:rFonts w:ascii="Arial" w:hAnsi="Arial" w:cs="Arial"/>
          <w:color w:val="222222"/>
          <w:sz w:val="22"/>
          <w:szCs w:val="22"/>
        </w:rPr>
        <w:t>-wide Research Symposium. This first collaborative effort saw 246 students as authors on oral and poster presentations in Pocatello, Meridian, and Online.</w:t>
      </w:r>
    </w:p>
    <w:p w14:paraId="474D0867" w14:textId="77777777" w:rsidR="009412D6" w:rsidRPr="001A71D0" w:rsidRDefault="009412D6" w:rsidP="008C5DD7">
      <w:pPr>
        <w:numPr>
          <w:ilvl w:val="0"/>
          <w:numId w:val="7"/>
        </w:numPr>
        <w:shd w:val="clear" w:color="auto" w:fill="FFFFFF"/>
        <w:spacing w:after="160"/>
        <w:rPr>
          <w:color w:val="222222"/>
          <w:sz w:val="22"/>
          <w:szCs w:val="22"/>
        </w:rPr>
      </w:pPr>
      <w:r w:rsidRPr="001A71D0">
        <w:rPr>
          <w:rFonts w:ascii="Arial" w:hAnsi="Arial" w:cs="Arial"/>
          <w:color w:val="000000"/>
          <w:sz w:val="22"/>
          <w:szCs w:val="22"/>
        </w:rPr>
        <w:t>As an additional FYI, in FY 24, the Graduate School provided over 6 million dollars in scholarships and direct student support to advance graduate education, graduate research, and graduate student welfare at Idaho State University.</w:t>
      </w:r>
    </w:p>
    <w:p w14:paraId="35FD9CD0" w14:textId="1D10E51E" w:rsidR="00E43D1F" w:rsidRDefault="009412D6" w:rsidP="00E6208A">
      <w:pPr>
        <w:shd w:val="clear" w:color="auto" w:fill="FFFFFF"/>
        <w:rPr>
          <w:rFonts w:ascii="Arial" w:hAnsi="Arial" w:cs="Arial"/>
          <w:color w:val="000000"/>
          <w:sz w:val="22"/>
          <w:szCs w:val="22"/>
        </w:rPr>
      </w:pPr>
      <w:r>
        <w:rPr>
          <w:rFonts w:ascii="Georgia" w:hAnsi="Georgia" w:cs="Arial"/>
          <w:color w:val="222222"/>
        </w:rPr>
        <w:t> </w:t>
      </w:r>
    </w:p>
    <w:p w14:paraId="03499A74" w14:textId="0BBC9329" w:rsidR="00E43D1F" w:rsidRDefault="00E43D1F" w:rsidP="00E43D1F">
      <w:pPr>
        <w:spacing w:after="200"/>
        <w:rPr>
          <w:rFonts w:ascii="Arial" w:hAnsi="Arial" w:cs="Arial"/>
          <w:b/>
          <w:bCs/>
          <w:color w:val="000000"/>
        </w:rPr>
      </w:pPr>
      <w:r w:rsidRPr="00E43D1F">
        <w:rPr>
          <w:rFonts w:ascii="Arial" w:hAnsi="Arial" w:cs="Arial"/>
          <w:b/>
          <w:bCs/>
          <w:color w:val="000000"/>
        </w:rPr>
        <w:t>Library:</w:t>
      </w:r>
    </w:p>
    <w:p w14:paraId="2B92BD60" w14:textId="5B91D1EC" w:rsidR="00AA5431" w:rsidRDefault="00AA5431" w:rsidP="008C5DD7">
      <w:pPr>
        <w:pStyle w:val="ListParagraph"/>
        <w:numPr>
          <w:ilvl w:val="0"/>
          <w:numId w:val="15"/>
        </w:numPr>
        <w:rPr>
          <w:rFonts w:ascii="Arial" w:hAnsi="Arial" w:cs="Arial"/>
          <w:color w:val="000000"/>
          <w:sz w:val="22"/>
          <w:szCs w:val="22"/>
        </w:rPr>
      </w:pPr>
      <w:r w:rsidRPr="00AA5431">
        <w:rPr>
          <w:rFonts w:ascii="Arial" w:hAnsi="Arial" w:cs="Arial"/>
          <w:color w:val="000000"/>
          <w:sz w:val="22"/>
          <w:szCs w:val="22"/>
        </w:rPr>
        <w:t xml:space="preserve">In FY24, the Library continued to serve students in person at its locations in Meridian, Pocatello and Idaho Falls, providing digital service for all students.  Library faculty delivered five sections of LLIB 1115 each semester of the academic year, the Information Literacy element within ROAR 1101, and workshops specific to individual ISU courses.  </w:t>
      </w:r>
    </w:p>
    <w:p w14:paraId="042F4459" w14:textId="77777777" w:rsidR="00AA5431" w:rsidRPr="00AA5431" w:rsidRDefault="00AA5431" w:rsidP="00AA5431">
      <w:pPr>
        <w:rPr>
          <w:rFonts w:ascii="Arial" w:hAnsi="Arial" w:cs="Arial"/>
          <w:color w:val="000000"/>
          <w:sz w:val="22"/>
          <w:szCs w:val="22"/>
        </w:rPr>
      </w:pPr>
    </w:p>
    <w:p w14:paraId="3777C38C" w14:textId="69339345" w:rsidR="00AA5431" w:rsidRDefault="00AA5431" w:rsidP="008C5DD7">
      <w:pPr>
        <w:pStyle w:val="ListParagraph"/>
        <w:numPr>
          <w:ilvl w:val="0"/>
          <w:numId w:val="15"/>
        </w:numPr>
        <w:rPr>
          <w:rFonts w:ascii="Arial" w:hAnsi="Arial" w:cs="Arial"/>
          <w:color w:val="000000"/>
          <w:sz w:val="22"/>
          <w:szCs w:val="22"/>
        </w:rPr>
      </w:pPr>
      <w:r w:rsidRPr="00AA5431">
        <w:rPr>
          <w:rFonts w:ascii="Arial" w:hAnsi="Arial" w:cs="Arial"/>
          <w:color w:val="000000"/>
          <w:sz w:val="22"/>
          <w:szCs w:val="22"/>
        </w:rPr>
        <w:t xml:space="preserve">Use of the Library digital collection by the ISU community remains high, with over 1.3 million searches recorded for FY24.  The </w:t>
      </w:r>
      <w:proofErr w:type="gramStart"/>
      <w:r w:rsidRPr="00AA5431">
        <w:rPr>
          <w:rFonts w:ascii="Arial" w:hAnsi="Arial" w:cs="Arial"/>
          <w:color w:val="000000"/>
          <w:sz w:val="22"/>
          <w:szCs w:val="22"/>
        </w:rPr>
        <w:t>Library</w:t>
      </w:r>
      <w:proofErr w:type="gramEnd"/>
      <w:r w:rsidRPr="00AA5431">
        <w:rPr>
          <w:rFonts w:ascii="Arial" w:hAnsi="Arial" w:cs="Arial"/>
          <w:color w:val="000000"/>
          <w:sz w:val="22"/>
          <w:szCs w:val="22"/>
        </w:rPr>
        <w:t xml:space="preserve"> borrowed books and journal articles not owned and requested by ISU </w:t>
      </w:r>
      <w:proofErr w:type="gramStart"/>
      <w:r w:rsidRPr="00AA5431">
        <w:rPr>
          <w:rFonts w:ascii="Arial" w:hAnsi="Arial" w:cs="Arial"/>
          <w:color w:val="000000"/>
          <w:sz w:val="22"/>
          <w:szCs w:val="22"/>
        </w:rPr>
        <w:t>students, and</w:t>
      </w:r>
      <w:proofErr w:type="gramEnd"/>
      <w:r w:rsidRPr="00AA5431">
        <w:rPr>
          <w:rFonts w:ascii="Arial" w:hAnsi="Arial" w:cs="Arial"/>
          <w:color w:val="000000"/>
          <w:sz w:val="22"/>
          <w:szCs w:val="22"/>
        </w:rPr>
        <w:t xml:space="preserve"> reciprocated by lending books and journals to sister libraries across the country.  The </w:t>
      </w:r>
      <w:proofErr w:type="gramStart"/>
      <w:r w:rsidRPr="00AA5431">
        <w:rPr>
          <w:rFonts w:ascii="Arial" w:hAnsi="Arial" w:cs="Arial"/>
          <w:color w:val="000000"/>
          <w:sz w:val="22"/>
          <w:szCs w:val="22"/>
        </w:rPr>
        <w:t>Library</w:t>
      </w:r>
      <w:proofErr w:type="gramEnd"/>
      <w:r w:rsidRPr="00AA5431">
        <w:rPr>
          <w:rFonts w:ascii="Arial" w:hAnsi="Arial" w:cs="Arial"/>
          <w:color w:val="000000"/>
          <w:sz w:val="22"/>
          <w:szCs w:val="22"/>
        </w:rPr>
        <w:t xml:space="preserve"> experienced turnover in both the Idaho Falls and the Meridian locations in FY24 and in FY 24, these critical positions were both filled.</w:t>
      </w:r>
    </w:p>
    <w:p w14:paraId="7AA5AAC9" w14:textId="77777777" w:rsidR="00AA5431" w:rsidRPr="00AA5431" w:rsidRDefault="00AA5431" w:rsidP="00AA5431">
      <w:pPr>
        <w:rPr>
          <w:rFonts w:ascii="Arial" w:hAnsi="Arial" w:cs="Arial"/>
          <w:color w:val="000000"/>
          <w:sz w:val="22"/>
          <w:szCs w:val="22"/>
        </w:rPr>
      </w:pPr>
    </w:p>
    <w:p w14:paraId="0895AA21" w14:textId="77777777" w:rsidR="00AA5431" w:rsidRPr="00AA5431" w:rsidRDefault="00AA5431" w:rsidP="008C5DD7">
      <w:pPr>
        <w:pStyle w:val="NoSpacing"/>
        <w:numPr>
          <w:ilvl w:val="0"/>
          <w:numId w:val="15"/>
        </w:numPr>
        <w:rPr>
          <w:rFonts w:ascii="Arial" w:eastAsia="Times New Roman" w:hAnsi="Arial" w:cs="Arial"/>
          <w:color w:val="000000"/>
        </w:rPr>
      </w:pPr>
      <w:proofErr w:type="gramStart"/>
      <w:r w:rsidRPr="00AA5431">
        <w:rPr>
          <w:rFonts w:ascii="Arial" w:eastAsia="Times New Roman" w:hAnsi="Arial" w:cs="Arial"/>
          <w:color w:val="000000"/>
        </w:rPr>
        <w:t>During the course of</w:t>
      </w:r>
      <w:proofErr w:type="gramEnd"/>
      <w:r w:rsidRPr="00AA5431">
        <w:rPr>
          <w:rFonts w:ascii="Arial" w:eastAsia="Times New Roman" w:hAnsi="Arial" w:cs="Arial"/>
          <w:color w:val="000000"/>
        </w:rPr>
        <w:t xml:space="preserve"> FY24, work on the substantial first floor renovation in Pocatello continued and was completed.  An April “unveiling” of the area was hosted by President Wagner, and the success of its welcoming design was evident as students moved directly into the area even as construction stanchions were being removed.   </w:t>
      </w:r>
    </w:p>
    <w:p w14:paraId="70AC666A" w14:textId="77777777" w:rsidR="00AA5431" w:rsidRPr="00AA5431" w:rsidRDefault="00AA5431" w:rsidP="00AA5431">
      <w:pPr>
        <w:pStyle w:val="NoSpacing"/>
        <w:rPr>
          <w:rFonts w:ascii="Arial" w:eastAsia="Times New Roman" w:hAnsi="Arial" w:cs="Arial"/>
          <w:color w:val="000000"/>
        </w:rPr>
      </w:pPr>
    </w:p>
    <w:p w14:paraId="20E1D3B7" w14:textId="77777777" w:rsidR="00AA5431" w:rsidRPr="00AA5431" w:rsidRDefault="00AA5431" w:rsidP="008C5DD7">
      <w:pPr>
        <w:pStyle w:val="NoSpacing"/>
        <w:numPr>
          <w:ilvl w:val="0"/>
          <w:numId w:val="15"/>
        </w:numPr>
        <w:rPr>
          <w:rFonts w:ascii="Arial" w:eastAsia="Times New Roman" w:hAnsi="Arial" w:cs="Arial"/>
          <w:color w:val="000000"/>
        </w:rPr>
      </w:pPr>
      <w:r w:rsidRPr="00AA5431">
        <w:rPr>
          <w:rFonts w:ascii="Arial" w:eastAsia="Times New Roman" w:hAnsi="Arial" w:cs="Arial"/>
          <w:color w:val="000000"/>
        </w:rPr>
        <w:t xml:space="preserve">Staff continues to conduct qualitative analyses and review of collections housed on all four floors, and as of late spring 2024, have partially populated new basement condensed shelving by relocating designated items from the second and third floor collections.  This work will continue throughout the coming year; </w:t>
      </w:r>
      <w:proofErr w:type="gramStart"/>
      <w:r w:rsidRPr="00AA5431">
        <w:rPr>
          <w:rFonts w:ascii="Arial" w:eastAsia="Times New Roman" w:hAnsi="Arial" w:cs="Arial"/>
          <w:color w:val="000000"/>
        </w:rPr>
        <w:t>the end result</w:t>
      </w:r>
      <w:proofErr w:type="gramEnd"/>
      <w:r w:rsidRPr="00AA5431">
        <w:rPr>
          <w:rFonts w:ascii="Arial" w:eastAsia="Times New Roman" w:hAnsi="Arial" w:cs="Arial"/>
          <w:color w:val="000000"/>
        </w:rPr>
        <w:t xml:space="preserve"> will be a removal of duplicate content, efficient use of space, and increased study space for students.   </w:t>
      </w:r>
    </w:p>
    <w:p w14:paraId="1283D9D7" w14:textId="77777777" w:rsidR="00AA5431" w:rsidRDefault="00AA5431" w:rsidP="00AA5431"/>
    <w:p w14:paraId="5C6644B0" w14:textId="77777777" w:rsidR="00AA5431" w:rsidRPr="00E43D1F" w:rsidRDefault="00AA5431" w:rsidP="00E43D1F">
      <w:pPr>
        <w:spacing w:after="200"/>
      </w:pPr>
    </w:p>
    <w:p w14:paraId="563B56AB" w14:textId="206FAE1E" w:rsidR="00A15D50" w:rsidRDefault="00826A88" w:rsidP="007115F6">
      <w:pPr>
        <w:rPr>
          <w:rFonts w:ascii="Arial" w:hAnsi="Arial" w:cs="Arial"/>
          <w:b/>
          <w:i/>
          <w:color w:val="000080"/>
          <w:sz w:val="28"/>
          <w:szCs w:val="28"/>
        </w:rPr>
      </w:pPr>
      <w:r>
        <w:rPr>
          <w:rFonts w:ascii="Arial" w:hAnsi="Arial" w:cs="Arial"/>
          <w:b/>
          <w:i/>
        </w:rPr>
        <w:br w:type="page"/>
      </w:r>
      <w:bookmarkStart w:id="0" w:name="OLE_LINK5"/>
      <w:bookmarkStart w:id="1" w:name="OLE_LINK6"/>
      <w:r w:rsidR="00A15D50" w:rsidRPr="004B2482">
        <w:rPr>
          <w:rFonts w:ascii="Arial" w:hAnsi="Arial" w:cs="Arial"/>
          <w:b/>
          <w:i/>
          <w:color w:val="000080"/>
          <w:sz w:val="28"/>
          <w:szCs w:val="28"/>
        </w:rPr>
        <w:lastRenderedPageBreak/>
        <w:t>Part II – Performance Measures</w:t>
      </w:r>
    </w:p>
    <w:bookmarkEnd w:id="0"/>
    <w:bookmarkEnd w:id="1"/>
    <w:p w14:paraId="3D78CBE4" w14:textId="77777777" w:rsidR="00ED6652" w:rsidRPr="006B7969" w:rsidRDefault="00ED6652" w:rsidP="00ED6652">
      <w:pPr>
        <w:rPr>
          <w:rFonts w:ascii="Arial" w:hAnsi="Arial"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3925"/>
        <w:gridCol w:w="840"/>
        <w:gridCol w:w="929"/>
        <w:gridCol w:w="56"/>
        <w:gridCol w:w="904"/>
        <w:gridCol w:w="33"/>
        <w:gridCol w:w="1318"/>
        <w:gridCol w:w="1080"/>
        <w:gridCol w:w="985"/>
      </w:tblGrid>
      <w:tr w:rsidR="007104B7" w:rsidRPr="00301088" w14:paraId="732C4605" w14:textId="77777777" w:rsidTr="00B030F1">
        <w:trPr>
          <w:cantSplit/>
          <w:tblHeader/>
        </w:trPr>
        <w:tc>
          <w:tcPr>
            <w:tcW w:w="4765" w:type="dxa"/>
            <w:gridSpan w:val="2"/>
            <w:tcBorders>
              <w:top w:val="single" w:sz="4" w:space="0" w:color="auto"/>
              <w:left w:val="single" w:sz="4" w:space="0" w:color="auto"/>
              <w:bottom w:val="single" w:sz="4" w:space="0" w:color="auto"/>
              <w:right w:val="single" w:sz="4" w:space="0" w:color="auto"/>
            </w:tcBorders>
            <w:shd w:val="clear" w:color="auto" w:fill="000080"/>
            <w:vAlign w:val="bottom"/>
            <w:hideMark/>
          </w:tcPr>
          <w:p w14:paraId="5E32C7A3" w14:textId="77777777" w:rsidR="007104B7" w:rsidRPr="006D3D09" w:rsidRDefault="007104B7" w:rsidP="007104B7">
            <w:pPr>
              <w:jc w:val="center"/>
              <w:rPr>
                <w:rFonts w:ascii="Arial" w:hAnsi="Arial" w:cs="Arial"/>
                <w:b/>
                <w:bCs/>
                <w:color w:val="FFFFFF"/>
                <w:sz w:val="20"/>
                <w:szCs w:val="20"/>
              </w:rPr>
            </w:pPr>
            <w:r w:rsidRPr="006D3D09">
              <w:rPr>
                <w:rFonts w:ascii="Arial" w:hAnsi="Arial" w:cs="Arial"/>
                <w:b/>
                <w:bCs/>
                <w:color w:val="FFFFFF"/>
                <w:sz w:val="20"/>
                <w:szCs w:val="20"/>
              </w:rPr>
              <w:t>Performance Measure</w:t>
            </w:r>
          </w:p>
        </w:tc>
        <w:tc>
          <w:tcPr>
            <w:tcW w:w="929" w:type="dxa"/>
            <w:tcBorders>
              <w:top w:val="single" w:sz="4" w:space="0" w:color="auto"/>
              <w:left w:val="single" w:sz="4" w:space="0" w:color="auto"/>
              <w:bottom w:val="single" w:sz="4" w:space="0" w:color="auto"/>
              <w:right w:val="single" w:sz="4" w:space="0" w:color="auto"/>
            </w:tcBorders>
            <w:shd w:val="clear" w:color="auto" w:fill="000080"/>
            <w:vAlign w:val="bottom"/>
          </w:tcPr>
          <w:p w14:paraId="5D21A1F0" w14:textId="5472377A" w:rsidR="007104B7" w:rsidRPr="006D3D09" w:rsidRDefault="007104B7" w:rsidP="007104B7">
            <w:pPr>
              <w:jc w:val="center"/>
              <w:rPr>
                <w:rFonts w:ascii="Arial" w:hAnsi="Arial" w:cs="Arial"/>
                <w:b/>
                <w:bCs/>
                <w:color w:val="FFFFFF"/>
                <w:sz w:val="20"/>
                <w:szCs w:val="20"/>
              </w:rPr>
            </w:pPr>
            <w:r>
              <w:rPr>
                <w:rFonts w:ascii="Arial" w:hAnsi="Arial" w:cs="Arial"/>
                <w:b/>
                <w:bCs/>
                <w:color w:val="FFFFFF"/>
                <w:sz w:val="20"/>
                <w:szCs w:val="20"/>
              </w:rPr>
              <w:t>FY 2022</w:t>
            </w:r>
          </w:p>
        </w:tc>
        <w:tc>
          <w:tcPr>
            <w:tcW w:w="993" w:type="dxa"/>
            <w:gridSpan w:val="3"/>
            <w:tcBorders>
              <w:top w:val="single" w:sz="4" w:space="0" w:color="auto"/>
              <w:left w:val="single" w:sz="4" w:space="0" w:color="auto"/>
              <w:bottom w:val="single" w:sz="4" w:space="0" w:color="auto"/>
              <w:right w:val="single" w:sz="4" w:space="0" w:color="auto"/>
            </w:tcBorders>
            <w:shd w:val="clear" w:color="auto" w:fill="000080"/>
            <w:vAlign w:val="bottom"/>
          </w:tcPr>
          <w:p w14:paraId="6E4E5957" w14:textId="3C748E0D" w:rsidR="007104B7" w:rsidRPr="006D3D09" w:rsidRDefault="007104B7" w:rsidP="007104B7">
            <w:pPr>
              <w:jc w:val="center"/>
              <w:rPr>
                <w:rFonts w:ascii="Arial" w:hAnsi="Arial" w:cs="Arial"/>
                <w:b/>
                <w:bCs/>
                <w:color w:val="FFFFFF"/>
                <w:sz w:val="20"/>
                <w:szCs w:val="20"/>
              </w:rPr>
            </w:pPr>
            <w:r>
              <w:rPr>
                <w:rFonts w:ascii="Arial" w:hAnsi="Arial" w:cs="Arial"/>
                <w:b/>
                <w:bCs/>
                <w:color w:val="FFFFFF"/>
                <w:sz w:val="20"/>
                <w:szCs w:val="20"/>
              </w:rPr>
              <w:t>FY 2023</w:t>
            </w:r>
          </w:p>
        </w:tc>
        <w:tc>
          <w:tcPr>
            <w:tcW w:w="1318" w:type="dxa"/>
            <w:tcBorders>
              <w:top w:val="single" w:sz="4" w:space="0" w:color="auto"/>
              <w:left w:val="single" w:sz="4" w:space="0" w:color="auto"/>
              <w:bottom w:val="single" w:sz="4" w:space="0" w:color="auto"/>
              <w:right w:val="single" w:sz="4" w:space="0" w:color="auto"/>
            </w:tcBorders>
            <w:shd w:val="clear" w:color="auto" w:fill="000080"/>
            <w:vAlign w:val="bottom"/>
          </w:tcPr>
          <w:p w14:paraId="4EC640B0" w14:textId="1840BEB2" w:rsidR="007104B7" w:rsidRPr="006D3D09" w:rsidRDefault="007104B7" w:rsidP="007104B7">
            <w:pPr>
              <w:jc w:val="center"/>
              <w:rPr>
                <w:rFonts w:ascii="Arial" w:hAnsi="Arial" w:cs="Arial"/>
                <w:b/>
                <w:bCs/>
                <w:color w:val="FFFFFF"/>
                <w:sz w:val="20"/>
                <w:szCs w:val="20"/>
              </w:rPr>
            </w:pPr>
            <w:r>
              <w:rPr>
                <w:rFonts w:ascii="Arial" w:hAnsi="Arial" w:cs="Arial"/>
                <w:b/>
                <w:bCs/>
                <w:color w:val="FFFFFF"/>
                <w:sz w:val="20"/>
                <w:szCs w:val="20"/>
              </w:rPr>
              <w:t>FY 2024</w:t>
            </w:r>
          </w:p>
        </w:tc>
        <w:tc>
          <w:tcPr>
            <w:tcW w:w="1080" w:type="dxa"/>
            <w:tcBorders>
              <w:top w:val="single" w:sz="4" w:space="0" w:color="auto"/>
              <w:left w:val="single" w:sz="4" w:space="0" w:color="auto"/>
              <w:bottom w:val="single" w:sz="4" w:space="0" w:color="auto"/>
              <w:right w:val="single" w:sz="4" w:space="0" w:color="auto"/>
            </w:tcBorders>
            <w:shd w:val="clear" w:color="auto" w:fill="000080"/>
            <w:vAlign w:val="bottom"/>
          </w:tcPr>
          <w:p w14:paraId="26AC70F0" w14:textId="693CCA70" w:rsidR="007104B7" w:rsidRPr="006D3D09" w:rsidRDefault="007104B7" w:rsidP="007104B7">
            <w:pPr>
              <w:jc w:val="center"/>
              <w:rPr>
                <w:rFonts w:ascii="Arial" w:hAnsi="Arial" w:cs="Arial"/>
                <w:b/>
                <w:bCs/>
                <w:color w:val="FFFFFF"/>
                <w:sz w:val="20"/>
                <w:szCs w:val="20"/>
              </w:rPr>
            </w:pPr>
            <w:r>
              <w:rPr>
                <w:rFonts w:ascii="Arial" w:hAnsi="Arial" w:cs="Arial"/>
                <w:b/>
                <w:bCs/>
                <w:color w:val="FFFFFF"/>
                <w:sz w:val="20"/>
                <w:szCs w:val="20"/>
              </w:rPr>
              <w:t>FY 2025</w:t>
            </w:r>
          </w:p>
        </w:tc>
        <w:tc>
          <w:tcPr>
            <w:tcW w:w="985" w:type="dxa"/>
            <w:tcBorders>
              <w:top w:val="single" w:sz="4" w:space="0" w:color="auto"/>
              <w:left w:val="single" w:sz="4" w:space="0" w:color="auto"/>
              <w:bottom w:val="single" w:sz="4" w:space="0" w:color="auto"/>
              <w:right w:val="single" w:sz="4" w:space="0" w:color="auto"/>
            </w:tcBorders>
            <w:shd w:val="clear" w:color="auto" w:fill="000080"/>
            <w:vAlign w:val="bottom"/>
          </w:tcPr>
          <w:p w14:paraId="4075683A" w14:textId="16E99162" w:rsidR="007104B7" w:rsidRPr="006D3D09" w:rsidRDefault="007104B7" w:rsidP="007104B7">
            <w:pPr>
              <w:jc w:val="center"/>
              <w:rPr>
                <w:rFonts w:ascii="Arial" w:hAnsi="Arial" w:cs="Arial"/>
                <w:b/>
                <w:bCs/>
                <w:color w:val="FFFFFF"/>
                <w:sz w:val="20"/>
                <w:szCs w:val="20"/>
              </w:rPr>
            </w:pPr>
            <w:r>
              <w:rPr>
                <w:rFonts w:ascii="Arial" w:hAnsi="Arial" w:cs="Arial"/>
                <w:b/>
                <w:bCs/>
                <w:color w:val="FFFFFF"/>
                <w:sz w:val="20"/>
                <w:szCs w:val="20"/>
              </w:rPr>
              <w:t>FY 2026</w:t>
            </w:r>
          </w:p>
        </w:tc>
      </w:tr>
      <w:tr w:rsidR="0089607E" w:rsidRPr="00301088" w14:paraId="0EFBDE3D" w14:textId="77777777" w:rsidTr="00550FA9">
        <w:trPr>
          <w:cantSplit/>
          <w:trHeight w:val="737"/>
        </w:trPr>
        <w:tc>
          <w:tcPr>
            <w:tcW w:w="10070"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4871C90" w14:textId="184DD5AA" w:rsidR="00350FD2" w:rsidRDefault="003656B9" w:rsidP="003656B9">
            <w:pPr>
              <w:tabs>
                <w:tab w:val="left" w:pos="360"/>
                <w:tab w:val="left" w:pos="720"/>
                <w:tab w:val="left" w:pos="1080"/>
                <w:tab w:val="left" w:pos="1440"/>
                <w:tab w:val="left" w:pos="1800"/>
                <w:tab w:val="left" w:pos="2160"/>
              </w:tabs>
              <w:contextualSpacing/>
              <w:jc w:val="center"/>
              <w:rPr>
                <w:rFonts w:ascii="Arial" w:eastAsiaTheme="minorEastAsia" w:hAnsi="Arial" w:cs="Arial"/>
                <w:b/>
                <w:color w:val="000000" w:themeColor="text1"/>
                <w:sz w:val="20"/>
                <w:szCs w:val="20"/>
              </w:rPr>
            </w:pPr>
            <w:r>
              <w:rPr>
                <w:rFonts w:ascii="Arial" w:eastAsiaTheme="minorEastAsia" w:hAnsi="Arial" w:cs="Arial"/>
                <w:b/>
                <w:color w:val="000000" w:themeColor="text1"/>
                <w:sz w:val="20"/>
                <w:szCs w:val="20"/>
              </w:rPr>
              <w:t xml:space="preserve">Goal 1: </w:t>
            </w:r>
            <w:r w:rsidR="00232121" w:rsidRPr="00232121">
              <w:rPr>
                <w:rFonts w:ascii="Arial" w:eastAsiaTheme="minorEastAsia" w:hAnsi="Arial" w:cs="Arial"/>
                <w:b/>
                <w:color w:val="000000" w:themeColor="text1"/>
                <w:sz w:val="20"/>
                <w:szCs w:val="20"/>
              </w:rPr>
              <w:t>Increase student access, opportunity, retention, and success</w:t>
            </w:r>
          </w:p>
          <w:p w14:paraId="4E5F85C5" w14:textId="2E8E4F6E" w:rsidR="00232121" w:rsidRPr="00232121" w:rsidRDefault="003656B9" w:rsidP="00232121">
            <w:pPr>
              <w:tabs>
                <w:tab w:val="left" w:pos="360"/>
                <w:tab w:val="left" w:pos="720"/>
                <w:tab w:val="left" w:pos="1080"/>
                <w:tab w:val="left" w:pos="1440"/>
                <w:tab w:val="left" w:pos="1800"/>
                <w:tab w:val="left" w:pos="2160"/>
              </w:tabs>
              <w:ind w:left="360"/>
              <w:contextualSpacing/>
              <w:rPr>
                <w:rFonts w:ascii="Arial" w:eastAsiaTheme="minorEastAsia" w:hAnsi="Arial" w:cs="Arial"/>
                <w:color w:val="000000" w:themeColor="text1"/>
                <w:sz w:val="20"/>
                <w:szCs w:val="20"/>
              </w:rPr>
            </w:pPr>
            <w:r w:rsidRPr="003656B9">
              <w:rPr>
                <w:rFonts w:ascii="Arial" w:eastAsiaTheme="minorEastAsia" w:hAnsi="Arial" w:cs="Arial"/>
                <w:color w:val="000000" w:themeColor="text1"/>
                <w:sz w:val="20"/>
                <w:szCs w:val="20"/>
              </w:rPr>
              <w:t xml:space="preserve">Objective: </w:t>
            </w:r>
            <w:r w:rsidR="00232121" w:rsidRPr="00232121">
              <w:rPr>
                <w:rFonts w:ascii="Arial" w:eastAsiaTheme="minorEastAsia" w:hAnsi="Arial" w:cs="Arial"/>
                <w:color w:val="000000" w:themeColor="text1"/>
                <w:sz w:val="20"/>
                <w:szCs w:val="20"/>
              </w:rPr>
              <w:t xml:space="preserve">Increase access and enrollment using targeted recruitment </w:t>
            </w:r>
          </w:p>
          <w:p w14:paraId="419BBF04" w14:textId="325EBEFC" w:rsidR="0089607E" w:rsidRPr="003656B9" w:rsidRDefault="0089607E" w:rsidP="003656B9">
            <w:pPr>
              <w:tabs>
                <w:tab w:val="left" w:pos="360"/>
                <w:tab w:val="left" w:pos="720"/>
                <w:tab w:val="left" w:pos="1080"/>
                <w:tab w:val="left" w:pos="1440"/>
                <w:tab w:val="left" w:pos="1800"/>
                <w:tab w:val="left" w:pos="2160"/>
              </w:tabs>
              <w:contextualSpacing/>
              <w:jc w:val="center"/>
              <w:rPr>
                <w:rFonts w:ascii="Arial" w:eastAsiaTheme="minorEastAsia" w:hAnsi="Arial" w:cs="Arial"/>
                <w:sz w:val="18"/>
                <w:szCs w:val="18"/>
              </w:rPr>
            </w:pPr>
          </w:p>
        </w:tc>
      </w:tr>
      <w:tr w:rsidR="007104B7" w:rsidRPr="00301088" w14:paraId="67EE93F9" w14:textId="77777777" w:rsidTr="00B030F1">
        <w:trPr>
          <w:cantSplit/>
          <w:trHeight w:val="251"/>
        </w:trPr>
        <w:tc>
          <w:tcPr>
            <w:tcW w:w="3925" w:type="dxa"/>
            <w:vMerge w:val="restart"/>
            <w:tcBorders>
              <w:top w:val="single" w:sz="4" w:space="0" w:color="auto"/>
              <w:left w:val="single" w:sz="4" w:space="0" w:color="auto"/>
              <w:right w:val="single" w:sz="4" w:space="0" w:color="auto"/>
            </w:tcBorders>
          </w:tcPr>
          <w:p w14:paraId="15A59868" w14:textId="6C5E3AE7" w:rsidR="007104B7" w:rsidRPr="00FF76BC" w:rsidRDefault="007104B7" w:rsidP="007104B7">
            <w:pPr>
              <w:rPr>
                <w:rFonts w:ascii="Arial" w:eastAsiaTheme="minorEastAsia" w:hAnsi="Arial" w:cs="Arial"/>
                <w:color w:val="000000" w:themeColor="text1"/>
                <w:sz w:val="20"/>
                <w:szCs w:val="20"/>
              </w:rPr>
            </w:pPr>
            <w:r>
              <w:rPr>
                <w:rFonts w:ascii="Arial" w:eastAsiaTheme="minorEastAsia" w:hAnsi="Arial" w:cs="Arial"/>
                <w:b/>
                <w:color w:val="000000" w:themeColor="text1"/>
                <w:sz w:val="20"/>
                <w:szCs w:val="20"/>
              </w:rPr>
              <w:t>1</w:t>
            </w:r>
            <w:r w:rsidRPr="00FF76BC">
              <w:rPr>
                <w:rFonts w:ascii="Arial" w:eastAsiaTheme="minorEastAsia" w:hAnsi="Arial" w:cs="Arial"/>
                <w:color w:val="000000" w:themeColor="text1"/>
                <w:sz w:val="20"/>
                <w:szCs w:val="20"/>
              </w:rPr>
              <w:t>.</w:t>
            </w:r>
            <w:r>
              <w:rPr>
                <w:rFonts w:ascii="Arial" w:eastAsiaTheme="minorEastAsia" w:hAnsi="Arial" w:cs="Arial"/>
                <w:color w:val="000000" w:themeColor="text1"/>
                <w:sz w:val="20"/>
                <w:szCs w:val="20"/>
              </w:rPr>
              <w:t xml:space="preserve"> </w:t>
            </w:r>
            <w:r w:rsidRPr="00FF76BC">
              <w:rPr>
                <w:rFonts w:ascii="Arial" w:eastAsiaTheme="minorEastAsia" w:hAnsi="Arial" w:cs="Arial"/>
                <w:color w:val="000000" w:themeColor="text1"/>
                <w:sz w:val="20"/>
                <w:szCs w:val="20"/>
              </w:rPr>
              <w:t xml:space="preserve">Fall-to-fall, full-time, first-time </w:t>
            </w:r>
            <w:proofErr w:type="gramStart"/>
            <w:r w:rsidRPr="00FF76BC">
              <w:rPr>
                <w:rFonts w:ascii="Arial" w:eastAsiaTheme="minorEastAsia" w:hAnsi="Arial" w:cs="Arial"/>
                <w:color w:val="000000" w:themeColor="text1"/>
                <w:sz w:val="20"/>
                <w:szCs w:val="20"/>
              </w:rPr>
              <w:t>bachelor</w:t>
            </w:r>
            <w:proofErr w:type="gramEnd"/>
            <w:r w:rsidRPr="00FF76BC">
              <w:rPr>
                <w:rFonts w:ascii="Arial" w:eastAsiaTheme="minorEastAsia" w:hAnsi="Arial" w:cs="Arial"/>
                <w:color w:val="000000" w:themeColor="text1"/>
                <w:sz w:val="20"/>
                <w:szCs w:val="20"/>
              </w:rPr>
              <w:t xml:space="preserve"> degree</w:t>
            </w:r>
            <w:r>
              <w:rPr>
                <w:rFonts w:ascii="Arial" w:eastAsiaTheme="minorEastAsia" w:hAnsi="Arial" w:cs="Arial"/>
                <w:color w:val="000000" w:themeColor="text1"/>
                <w:sz w:val="20"/>
                <w:szCs w:val="20"/>
              </w:rPr>
              <w:t>-</w:t>
            </w:r>
            <w:r w:rsidRPr="00FF76BC">
              <w:rPr>
                <w:rFonts w:ascii="Arial" w:eastAsiaTheme="minorEastAsia" w:hAnsi="Arial" w:cs="Arial"/>
                <w:color w:val="000000" w:themeColor="text1"/>
                <w:sz w:val="20"/>
                <w:szCs w:val="20"/>
              </w:rPr>
              <w:t xml:space="preserve">seeking student retention </w:t>
            </w:r>
            <w:proofErr w:type="gramStart"/>
            <w:r w:rsidRPr="00FF76BC">
              <w:rPr>
                <w:rFonts w:ascii="Arial" w:eastAsiaTheme="minorEastAsia" w:hAnsi="Arial" w:cs="Arial"/>
                <w:color w:val="000000" w:themeColor="text1"/>
                <w:sz w:val="20"/>
                <w:szCs w:val="20"/>
              </w:rPr>
              <w:t xml:space="preserve">rate </w:t>
            </w:r>
            <w:r>
              <w:rPr>
                <w:rFonts w:ascii="Arial" w:eastAsiaTheme="minorEastAsia" w:hAnsi="Arial" w:cs="Arial"/>
                <w:color w:val="000000" w:themeColor="text1"/>
                <w:sz w:val="20"/>
                <w:szCs w:val="20"/>
              </w:rPr>
              <w:t>.</w:t>
            </w:r>
            <w:proofErr w:type="gramEnd"/>
          </w:p>
          <w:p w14:paraId="0CD48216" w14:textId="56F2F2E3" w:rsidR="007104B7" w:rsidRPr="0076286C" w:rsidRDefault="007104B7" w:rsidP="007104B7">
            <w:pPr>
              <w:rPr>
                <w:b/>
                <w:sz w:val="18"/>
                <w:szCs w:val="18"/>
              </w:rPr>
            </w:pPr>
            <w:r w:rsidRPr="00DC7710">
              <w:rPr>
                <w:rFonts w:ascii="Arial" w:eastAsiaTheme="minorEastAsia" w:hAnsi="Arial" w:cs="Arial"/>
                <w:b/>
                <w:color w:val="000000" w:themeColor="text1"/>
                <w:sz w:val="18"/>
                <w:szCs w:val="18"/>
              </w:rPr>
              <w:t>Benchmark Definition:</w:t>
            </w:r>
            <w:r>
              <w:rPr>
                <w:rFonts w:ascii="Arial" w:eastAsiaTheme="minorEastAsia" w:hAnsi="Arial" w:cs="Arial"/>
                <w:color w:val="000000" w:themeColor="text1"/>
                <w:sz w:val="18"/>
                <w:szCs w:val="18"/>
              </w:rPr>
              <w:t xml:space="preserve"> A 10</w:t>
            </w:r>
            <w:r w:rsidRPr="0076286C">
              <w:rPr>
                <w:rFonts w:ascii="Arial" w:eastAsiaTheme="minorEastAsia" w:hAnsi="Arial" w:cs="Arial"/>
                <w:color w:val="000000" w:themeColor="text1"/>
                <w:sz w:val="18"/>
                <w:szCs w:val="18"/>
              </w:rPr>
              <w:t>%</w:t>
            </w:r>
            <w:r>
              <w:rPr>
                <w:rFonts w:ascii="Arial" w:eastAsiaTheme="minorEastAsia" w:hAnsi="Arial" w:cs="Arial"/>
                <w:color w:val="000000" w:themeColor="text1"/>
                <w:sz w:val="18"/>
                <w:szCs w:val="18"/>
              </w:rPr>
              <w:t xml:space="preserve"> </w:t>
            </w:r>
            <w:r w:rsidRPr="0076286C">
              <w:rPr>
                <w:rFonts w:ascii="Arial" w:eastAsiaTheme="minorEastAsia" w:hAnsi="Arial" w:cs="Arial"/>
                <w:color w:val="000000" w:themeColor="text1"/>
                <w:sz w:val="18"/>
                <w:szCs w:val="18"/>
              </w:rPr>
              <w:t>increase in fall-to-fall</w:t>
            </w:r>
            <w:r>
              <w:rPr>
                <w:rFonts w:ascii="Arial" w:eastAsiaTheme="minorEastAsia" w:hAnsi="Arial" w:cs="Arial"/>
                <w:color w:val="000000" w:themeColor="text1"/>
                <w:sz w:val="18"/>
                <w:szCs w:val="18"/>
              </w:rPr>
              <w:t>,</w:t>
            </w:r>
            <w:r w:rsidRPr="0076286C">
              <w:rPr>
                <w:rFonts w:ascii="Arial" w:eastAsiaTheme="minorEastAsia" w:hAnsi="Arial" w:cs="Arial"/>
                <w:color w:val="000000" w:themeColor="text1"/>
                <w:sz w:val="18"/>
                <w:szCs w:val="18"/>
              </w:rPr>
              <w:t xml:space="preserve"> full-time, first-time </w:t>
            </w:r>
            <w:proofErr w:type="gramStart"/>
            <w:r w:rsidRPr="0076286C">
              <w:rPr>
                <w:rFonts w:ascii="Arial" w:eastAsiaTheme="minorEastAsia" w:hAnsi="Arial" w:cs="Arial"/>
                <w:color w:val="000000" w:themeColor="text1"/>
                <w:sz w:val="18"/>
                <w:szCs w:val="18"/>
              </w:rPr>
              <w:t>bachelor</w:t>
            </w:r>
            <w:proofErr w:type="gramEnd"/>
            <w:r w:rsidRPr="0076286C">
              <w:rPr>
                <w:rFonts w:ascii="Arial" w:eastAsiaTheme="minorEastAsia" w:hAnsi="Arial" w:cs="Arial"/>
                <w:color w:val="000000" w:themeColor="text1"/>
                <w:sz w:val="18"/>
                <w:szCs w:val="18"/>
              </w:rPr>
              <w:t xml:space="preserve"> degree-seeking student retention rate </w:t>
            </w:r>
            <w:r>
              <w:rPr>
                <w:rFonts w:ascii="Arial" w:eastAsiaTheme="minorEastAsia" w:hAnsi="Arial" w:cs="Arial"/>
                <w:color w:val="000000" w:themeColor="text1"/>
                <w:sz w:val="18"/>
                <w:szCs w:val="18"/>
              </w:rPr>
              <w:t>to 75%.</w:t>
            </w:r>
            <w:r w:rsidRPr="0076286C">
              <w:rPr>
                <w:rFonts w:ascii="Arial" w:eastAsiaTheme="minorEastAsia" w:hAnsi="Arial" w:cs="Arial"/>
                <w:color w:val="000000" w:themeColor="text1"/>
                <w:sz w:val="18"/>
                <w:szCs w:val="18"/>
              </w:rPr>
              <w:t xml:space="preserve">  SBOE benchmark </w:t>
            </w:r>
            <w:r>
              <w:rPr>
                <w:rFonts w:ascii="Arial" w:eastAsiaTheme="minorEastAsia" w:hAnsi="Arial" w:cs="Arial"/>
                <w:color w:val="000000" w:themeColor="text1"/>
                <w:sz w:val="18"/>
                <w:szCs w:val="18"/>
              </w:rPr>
              <w:t>= 85</w:t>
            </w:r>
            <w:r w:rsidRPr="0076286C">
              <w:rPr>
                <w:rFonts w:ascii="Arial" w:eastAsiaTheme="minorEastAsia" w:hAnsi="Arial" w:cs="Arial"/>
                <w:color w:val="000000" w:themeColor="text1"/>
                <w:sz w:val="18"/>
                <w:szCs w:val="18"/>
              </w:rPr>
              <w:t>%)</w:t>
            </w:r>
            <w:proofErr w:type="gramStart"/>
            <w:r>
              <w:rPr>
                <w:rFonts w:ascii="Arial" w:hAnsi="Arial" w:cs="Arial"/>
                <w:sz w:val="20"/>
                <w:szCs w:val="20"/>
                <w:vertAlign w:val="superscript"/>
              </w:rPr>
              <w:t>1</w:t>
            </w:r>
            <w:r>
              <w:rPr>
                <w:rFonts w:ascii="Arial" w:eastAsiaTheme="minorEastAsia" w:hAnsi="Arial" w:cs="Arial"/>
                <w:color w:val="000000" w:themeColor="text1"/>
                <w:sz w:val="18"/>
                <w:szCs w:val="18"/>
              </w:rPr>
              <w:t xml:space="preserve">  </w:t>
            </w:r>
            <w:r w:rsidRPr="001E43DF">
              <w:rPr>
                <w:rFonts w:ascii="Arial" w:hAnsi="Arial" w:cs="Arial"/>
                <w:sz w:val="22"/>
                <w:szCs w:val="22"/>
                <w:vertAlign w:val="superscript"/>
              </w:rPr>
              <w:t>(</w:t>
            </w:r>
            <w:proofErr w:type="gramEnd"/>
            <w:r w:rsidRPr="001E43DF">
              <w:rPr>
                <w:rFonts w:ascii="Arial" w:hAnsi="Arial" w:cs="Arial"/>
                <w:sz w:val="22"/>
                <w:szCs w:val="22"/>
                <w:vertAlign w:val="superscript"/>
              </w:rPr>
              <w:t>SBOE system-wide Strategic Plan Measure)</w:t>
            </w:r>
            <w:r w:rsidRPr="0076286C">
              <w:rPr>
                <w:rFonts w:ascii="Arial" w:eastAsiaTheme="minorEastAsia" w:hAnsi="Arial" w:cs="Arial"/>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8F313A" w14:textId="77777777" w:rsidR="007104B7" w:rsidRPr="00301088" w:rsidRDefault="007104B7" w:rsidP="007104B7">
            <w:pPr>
              <w:jc w:val="center"/>
              <w:rPr>
                <w:rFonts w:ascii="Arial" w:hAnsi="Arial" w:cs="Arial"/>
                <w:sz w:val="20"/>
              </w:rPr>
            </w:pPr>
            <w:r>
              <w:rPr>
                <w:rFonts w:ascii="Arial" w:hAnsi="Arial" w:cs="Arial"/>
                <w:sz w:val="20"/>
                <w:szCs w:val="20"/>
              </w:rPr>
              <w:t>actual</w:t>
            </w:r>
          </w:p>
        </w:tc>
        <w:tc>
          <w:tcPr>
            <w:tcW w:w="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82DEDA" w14:textId="77777777" w:rsidR="007104B7" w:rsidRDefault="007104B7" w:rsidP="007104B7">
            <w:pPr>
              <w:jc w:val="center"/>
              <w:rPr>
                <w:rFonts w:ascii="Arial" w:hAnsi="Arial" w:cs="Arial"/>
                <w:sz w:val="20"/>
              </w:rPr>
            </w:pPr>
            <w:r>
              <w:rPr>
                <w:rFonts w:ascii="Arial" w:hAnsi="Arial" w:cs="Arial"/>
                <w:sz w:val="20"/>
              </w:rPr>
              <w:t>67%</w:t>
            </w:r>
          </w:p>
          <w:p w14:paraId="4360507E" w14:textId="36AC026D" w:rsidR="007104B7" w:rsidRPr="00170B77" w:rsidRDefault="007104B7" w:rsidP="007104B7">
            <w:pPr>
              <w:jc w:val="center"/>
              <w:rPr>
                <w:rFonts w:ascii="Arial" w:hAnsi="Arial" w:cs="Arial"/>
                <w:sz w:val="16"/>
                <w:szCs w:val="16"/>
              </w:rPr>
            </w:pPr>
            <w:r w:rsidRPr="00170B77">
              <w:rPr>
                <w:rFonts w:ascii="Arial" w:hAnsi="Arial" w:cs="Arial"/>
                <w:sz w:val="16"/>
                <w:szCs w:val="16"/>
              </w:rPr>
              <w:t>(Fall 2020 cohort)</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E5D008" w14:textId="77777777" w:rsidR="007104B7" w:rsidRDefault="007104B7" w:rsidP="007104B7">
            <w:pPr>
              <w:jc w:val="center"/>
              <w:rPr>
                <w:rFonts w:ascii="Arial" w:hAnsi="Arial" w:cs="Arial"/>
                <w:sz w:val="20"/>
              </w:rPr>
            </w:pPr>
            <w:r>
              <w:rPr>
                <w:rFonts w:ascii="Arial" w:hAnsi="Arial" w:cs="Arial"/>
                <w:sz w:val="20"/>
              </w:rPr>
              <w:t>71%</w:t>
            </w:r>
          </w:p>
          <w:p w14:paraId="60FCC41E" w14:textId="2E6ACB34" w:rsidR="007104B7" w:rsidRPr="00170B77" w:rsidRDefault="007104B7" w:rsidP="007104B7">
            <w:pPr>
              <w:jc w:val="center"/>
              <w:rPr>
                <w:rFonts w:ascii="Arial" w:hAnsi="Arial" w:cs="Arial"/>
                <w:sz w:val="16"/>
                <w:szCs w:val="16"/>
              </w:rPr>
            </w:pPr>
            <w:r w:rsidRPr="00170B77">
              <w:rPr>
                <w:rFonts w:ascii="Arial" w:hAnsi="Arial" w:cs="Arial"/>
                <w:sz w:val="16"/>
                <w:szCs w:val="16"/>
              </w:rPr>
              <w:t>(Fall 2021 cohort)</w:t>
            </w:r>
          </w:p>
        </w:tc>
        <w:tc>
          <w:tcPr>
            <w:tcW w:w="13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024CF3" w14:textId="77777777" w:rsidR="007104B7" w:rsidRDefault="007104B7" w:rsidP="007104B7">
            <w:pPr>
              <w:jc w:val="center"/>
              <w:rPr>
                <w:rFonts w:ascii="Arial" w:hAnsi="Arial" w:cs="Arial"/>
                <w:sz w:val="20"/>
              </w:rPr>
            </w:pPr>
            <w:r>
              <w:rPr>
                <w:rFonts w:ascii="Arial" w:hAnsi="Arial" w:cs="Arial"/>
                <w:sz w:val="20"/>
              </w:rPr>
              <w:t>74%</w:t>
            </w:r>
          </w:p>
          <w:p w14:paraId="5BFCA4A3" w14:textId="3D4EF5EC" w:rsidR="007104B7" w:rsidRPr="00170B77" w:rsidRDefault="007104B7" w:rsidP="007104B7">
            <w:pPr>
              <w:jc w:val="center"/>
              <w:rPr>
                <w:rFonts w:ascii="Arial" w:hAnsi="Arial" w:cs="Arial"/>
                <w:sz w:val="16"/>
                <w:szCs w:val="16"/>
              </w:rPr>
            </w:pPr>
            <w:r>
              <w:rPr>
                <w:rFonts w:ascii="Arial" w:hAnsi="Arial" w:cs="Arial"/>
                <w:sz w:val="16"/>
                <w:szCs w:val="16"/>
              </w:rPr>
              <w:t>(Fall 2022</w:t>
            </w:r>
            <w:r w:rsidRPr="00170B77">
              <w:rPr>
                <w:rFonts w:ascii="Arial" w:hAnsi="Arial" w:cs="Arial"/>
                <w:sz w:val="16"/>
                <w:szCs w:val="16"/>
              </w:rPr>
              <w:t xml:space="preserve"> cohort)</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44F715" w14:textId="193D2AF0" w:rsidR="007104B7" w:rsidRPr="00170B77" w:rsidRDefault="007104B7" w:rsidP="007104B7">
            <w:pPr>
              <w:jc w:val="center"/>
              <w:rPr>
                <w:rFonts w:ascii="Arial" w:hAnsi="Arial" w:cs="Arial"/>
                <w:sz w:val="16"/>
                <w:szCs w:val="16"/>
              </w:rPr>
            </w:pPr>
            <w:r>
              <w:rPr>
                <w:rFonts w:ascii="Arial" w:hAnsi="Arial" w:cs="Arial"/>
                <w:sz w:val="16"/>
                <w:szCs w:val="16"/>
              </w:rPr>
              <w:t>---------</w:t>
            </w: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C78964" w14:textId="2939AA41" w:rsidR="007104B7" w:rsidRPr="00170B77" w:rsidRDefault="007104B7" w:rsidP="007104B7">
            <w:pPr>
              <w:jc w:val="center"/>
              <w:rPr>
                <w:rFonts w:ascii="Arial" w:hAnsi="Arial" w:cs="Arial"/>
                <w:sz w:val="16"/>
                <w:szCs w:val="16"/>
              </w:rPr>
            </w:pPr>
          </w:p>
        </w:tc>
      </w:tr>
      <w:tr w:rsidR="007104B7" w:rsidRPr="00C60EA2" w14:paraId="2095088E" w14:textId="77777777" w:rsidTr="004B5F5F">
        <w:trPr>
          <w:cantSplit/>
          <w:trHeight w:val="251"/>
        </w:trPr>
        <w:tc>
          <w:tcPr>
            <w:tcW w:w="3925" w:type="dxa"/>
            <w:vMerge/>
            <w:tcBorders>
              <w:left w:val="single" w:sz="4" w:space="0" w:color="auto"/>
              <w:bottom w:val="single" w:sz="4" w:space="0" w:color="auto"/>
              <w:right w:val="single" w:sz="4" w:space="0" w:color="auto"/>
            </w:tcBorders>
          </w:tcPr>
          <w:p w14:paraId="7355ECEB" w14:textId="77777777" w:rsidR="007104B7" w:rsidRPr="00A15D50" w:rsidRDefault="007104B7" w:rsidP="007104B7">
            <w:pPr>
              <w:pStyle w:val="ListParagraph"/>
              <w:ind w:left="342"/>
              <w:rPr>
                <w:rFonts w:ascii="Arial" w:hAnsi="Arial" w:cs="Arial"/>
                <w:b/>
                <w:sz w:val="20"/>
                <w:szCs w:val="20"/>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6EF6F2" w14:textId="77777777" w:rsidR="007104B7" w:rsidRPr="00301088" w:rsidRDefault="007104B7" w:rsidP="007104B7">
            <w:pPr>
              <w:jc w:val="center"/>
              <w:rPr>
                <w:rFonts w:ascii="Arial" w:hAnsi="Arial" w:cs="Arial"/>
                <w:sz w:val="20"/>
              </w:rPr>
            </w:pPr>
            <w:r>
              <w:rPr>
                <w:rFonts w:ascii="Arial" w:hAnsi="Arial" w:cs="Arial"/>
                <w:i/>
                <w:sz w:val="16"/>
                <w:szCs w:val="16"/>
              </w:rPr>
              <w:t>target</w:t>
            </w:r>
          </w:p>
        </w:tc>
        <w:tc>
          <w:tcPr>
            <w:tcW w:w="9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47A41" w14:textId="08483732" w:rsidR="007104B7" w:rsidRPr="00301088" w:rsidRDefault="007104B7" w:rsidP="007104B7">
            <w:pPr>
              <w:jc w:val="center"/>
              <w:rPr>
                <w:rFonts w:ascii="Arial" w:hAnsi="Arial" w:cs="Arial"/>
                <w:sz w:val="20"/>
                <w:szCs w:val="20"/>
              </w:rPr>
            </w:pPr>
            <w:r w:rsidRPr="00E34506">
              <w:rPr>
                <w:rFonts w:ascii="Arial" w:hAnsi="Arial" w:cs="Arial"/>
                <w:i/>
                <w:sz w:val="16"/>
                <w:szCs w:val="16"/>
              </w:rPr>
              <w:t>72%</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D2EF5F" w14:textId="557A2991" w:rsidR="007104B7" w:rsidRDefault="007104B7" w:rsidP="007104B7">
            <w:pPr>
              <w:jc w:val="center"/>
              <w:rPr>
                <w:rFonts w:ascii="Arial" w:hAnsi="Arial" w:cs="Arial"/>
                <w:sz w:val="20"/>
              </w:rPr>
            </w:pPr>
            <w:r>
              <w:rPr>
                <w:rFonts w:ascii="Arial" w:hAnsi="Arial" w:cs="Arial"/>
                <w:i/>
                <w:sz w:val="16"/>
                <w:szCs w:val="16"/>
              </w:rPr>
              <w:t>72</w:t>
            </w:r>
            <w:r w:rsidRPr="003666B4">
              <w:rPr>
                <w:rFonts w:ascii="Arial" w:hAnsi="Arial" w:cs="Arial"/>
                <w:i/>
                <w:sz w:val="16"/>
                <w:szCs w:val="16"/>
              </w:rPr>
              <w:t>%</w:t>
            </w:r>
          </w:p>
        </w:tc>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5EE99" w14:textId="4A99868D" w:rsidR="007104B7" w:rsidRPr="00301088" w:rsidRDefault="007104B7" w:rsidP="007104B7">
            <w:pPr>
              <w:jc w:val="center"/>
              <w:rPr>
                <w:rFonts w:ascii="Arial" w:hAnsi="Arial" w:cs="Arial"/>
                <w:sz w:val="20"/>
              </w:rPr>
            </w:pPr>
            <w:r>
              <w:rPr>
                <w:rFonts w:ascii="Arial" w:hAnsi="Arial" w:cs="Arial"/>
                <w:i/>
                <w:sz w:val="16"/>
                <w:szCs w:val="16"/>
              </w:rPr>
              <w:t>72</w:t>
            </w:r>
            <w:r w:rsidRPr="003666B4">
              <w:rPr>
                <w:rFonts w:ascii="Arial" w:hAnsi="Arial" w:cs="Arial"/>
                <w:i/>
                <w:sz w:val="16"/>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0F2A51" w14:textId="7ECBB81E" w:rsidR="007104B7" w:rsidRPr="00301088" w:rsidRDefault="007104B7" w:rsidP="007104B7">
            <w:pPr>
              <w:jc w:val="center"/>
              <w:rPr>
                <w:rFonts w:ascii="Arial" w:hAnsi="Arial" w:cs="Arial"/>
                <w:sz w:val="20"/>
              </w:rPr>
            </w:pPr>
            <w:r>
              <w:rPr>
                <w:rFonts w:ascii="Arial" w:hAnsi="Arial" w:cs="Arial"/>
                <w:i/>
                <w:sz w:val="16"/>
                <w:szCs w:val="16"/>
              </w:rPr>
              <w:t>73</w:t>
            </w:r>
            <w:r w:rsidRPr="00C60EA2">
              <w:rPr>
                <w:rFonts w:ascii="Arial" w:hAnsi="Arial" w:cs="Arial"/>
                <w:i/>
                <w:sz w:val="16"/>
                <w:szCs w:val="16"/>
              </w:rPr>
              <w:t>%</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72AE2" w14:textId="3244213F" w:rsidR="007104B7" w:rsidRPr="00C60EA2" w:rsidRDefault="007104B7" w:rsidP="007104B7">
            <w:pPr>
              <w:jc w:val="center"/>
              <w:rPr>
                <w:rFonts w:ascii="Arial" w:hAnsi="Arial" w:cs="Arial"/>
                <w:i/>
                <w:sz w:val="16"/>
                <w:szCs w:val="16"/>
              </w:rPr>
            </w:pPr>
          </w:p>
        </w:tc>
      </w:tr>
      <w:tr w:rsidR="007104B7" w:rsidRPr="00301088" w14:paraId="2BDD1212" w14:textId="77777777" w:rsidTr="0098679A">
        <w:trPr>
          <w:cantSplit/>
          <w:trHeight w:val="144"/>
        </w:trPr>
        <w:tc>
          <w:tcPr>
            <w:tcW w:w="10070" w:type="dxa"/>
            <w:gridSpan w:val="9"/>
            <w:tcBorders>
              <w:top w:val="single" w:sz="4" w:space="0" w:color="auto"/>
              <w:left w:val="single" w:sz="4" w:space="0" w:color="auto"/>
              <w:right w:val="single" w:sz="4" w:space="0" w:color="auto"/>
            </w:tcBorders>
            <w:shd w:val="clear" w:color="auto" w:fill="DBE5F1" w:themeFill="accent1" w:themeFillTint="33"/>
          </w:tcPr>
          <w:p w14:paraId="0148F9E7" w14:textId="63803429" w:rsidR="007104B7" w:rsidRPr="00301088" w:rsidRDefault="007104B7" w:rsidP="007104B7">
            <w:pPr>
              <w:tabs>
                <w:tab w:val="left" w:pos="360"/>
                <w:tab w:val="left" w:pos="720"/>
                <w:tab w:val="left" w:pos="1080"/>
                <w:tab w:val="left" w:pos="1440"/>
                <w:tab w:val="left" w:pos="1800"/>
                <w:tab w:val="left" w:pos="2160"/>
              </w:tabs>
              <w:contextualSpacing/>
              <w:jc w:val="center"/>
              <w:rPr>
                <w:rFonts w:ascii="Arial" w:hAnsi="Arial" w:cs="Arial"/>
                <w:sz w:val="20"/>
              </w:rPr>
            </w:pPr>
            <w:r>
              <w:br w:type="page"/>
            </w:r>
            <w:r>
              <w:rPr>
                <w:rFonts w:ascii="Arial" w:eastAsiaTheme="minorEastAsia" w:hAnsi="Arial" w:cs="Arial"/>
                <w:b/>
                <w:color w:val="000000" w:themeColor="text1"/>
                <w:sz w:val="20"/>
                <w:szCs w:val="20"/>
              </w:rPr>
              <w:t xml:space="preserve">Idaho State Board </w:t>
            </w:r>
            <w:proofErr w:type="gramStart"/>
            <w:r>
              <w:rPr>
                <w:rFonts w:ascii="Arial" w:eastAsiaTheme="minorEastAsia" w:hAnsi="Arial" w:cs="Arial"/>
                <w:b/>
                <w:color w:val="000000" w:themeColor="text1"/>
                <w:sz w:val="20"/>
                <w:szCs w:val="20"/>
              </w:rPr>
              <w:t>Of</w:t>
            </w:r>
            <w:proofErr w:type="gramEnd"/>
            <w:r>
              <w:rPr>
                <w:rFonts w:ascii="Arial" w:eastAsiaTheme="minorEastAsia" w:hAnsi="Arial" w:cs="Arial"/>
                <w:b/>
                <w:color w:val="000000" w:themeColor="text1"/>
                <w:sz w:val="20"/>
                <w:szCs w:val="20"/>
              </w:rPr>
              <w:t xml:space="preserve"> Education System-Wide Strategic Plan Measures</w:t>
            </w:r>
          </w:p>
          <w:p w14:paraId="67A7CFD5" w14:textId="77777777" w:rsidR="007104B7" w:rsidRPr="00301088" w:rsidRDefault="007104B7" w:rsidP="007104B7">
            <w:pPr>
              <w:jc w:val="center"/>
              <w:rPr>
                <w:rFonts w:ascii="Arial" w:hAnsi="Arial" w:cs="Arial"/>
                <w:sz w:val="20"/>
              </w:rPr>
            </w:pPr>
          </w:p>
        </w:tc>
      </w:tr>
      <w:tr w:rsidR="007104B7" w:rsidRPr="00301088" w14:paraId="56D2CDBB" w14:textId="77777777" w:rsidTr="006D3BA9">
        <w:trPr>
          <w:cantSplit/>
          <w:trHeight w:val="440"/>
        </w:trPr>
        <w:tc>
          <w:tcPr>
            <w:tcW w:w="3925" w:type="dxa"/>
            <w:vMerge w:val="restart"/>
            <w:tcBorders>
              <w:top w:val="single" w:sz="4" w:space="0" w:color="auto"/>
              <w:left w:val="single" w:sz="4" w:space="0" w:color="auto"/>
              <w:right w:val="single" w:sz="4" w:space="0" w:color="auto"/>
            </w:tcBorders>
          </w:tcPr>
          <w:p w14:paraId="5B0B0CDC" w14:textId="60599926" w:rsidR="007104B7" w:rsidRPr="006D3BA9" w:rsidRDefault="007104B7" w:rsidP="007104B7">
            <w:pPr>
              <w:rPr>
                <w:rFonts w:ascii="Arial" w:hAnsi="Arial" w:cs="Arial"/>
                <w:sz w:val="22"/>
                <w:szCs w:val="22"/>
                <w:vertAlign w:val="superscript"/>
              </w:rPr>
            </w:pPr>
            <w:r>
              <w:rPr>
                <w:rFonts w:ascii="Arial" w:hAnsi="Arial" w:cs="Arial"/>
                <w:b/>
                <w:color w:val="000000"/>
                <w:sz w:val="20"/>
                <w:szCs w:val="20"/>
              </w:rPr>
              <w:t>2</w:t>
            </w:r>
            <w:r w:rsidRPr="001E43DF">
              <w:rPr>
                <w:rFonts w:ascii="Arial" w:hAnsi="Arial" w:cs="Arial"/>
                <w:b/>
                <w:color w:val="000000"/>
                <w:sz w:val="20"/>
                <w:szCs w:val="20"/>
              </w:rPr>
              <w:t>.</w:t>
            </w:r>
            <w:r w:rsidRPr="001E43DF">
              <w:rPr>
                <w:rFonts w:ascii="Arial" w:hAnsi="Arial" w:cs="Arial"/>
                <w:color w:val="000000"/>
                <w:sz w:val="20"/>
                <w:szCs w:val="20"/>
              </w:rPr>
              <w:t xml:space="preserve"> Math Pathways VI</w:t>
            </w:r>
            <w:r w:rsidRPr="001E43DF">
              <w:rPr>
                <w:rFonts w:ascii="Arial" w:hAnsi="Arial" w:cs="Arial"/>
                <w:sz w:val="20"/>
                <w:szCs w:val="20"/>
                <w:vertAlign w:val="superscript"/>
              </w:rPr>
              <w:t xml:space="preserve"> - </w:t>
            </w:r>
            <w:r w:rsidRPr="001E43DF">
              <w:rPr>
                <w:rFonts w:ascii="Arial" w:hAnsi="Arial" w:cs="Arial"/>
                <w:color w:val="000000"/>
                <w:sz w:val="20"/>
                <w:szCs w:val="20"/>
              </w:rPr>
              <w:t>Percent of new degree-seeking freshmen completing a gateway math course within two years.</w:t>
            </w:r>
            <w:r>
              <w:rPr>
                <w:rFonts w:ascii="Helvetica" w:hAnsi="Helvetica" w:cs="Helvetica"/>
                <w:color w:val="000000"/>
                <w:sz w:val="20"/>
                <w:szCs w:val="20"/>
              </w:rPr>
              <w:t xml:space="preserve"> (FY 2027 = 60% or more)</w:t>
            </w:r>
            <w:r>
              <w:rPr>
                <w:rFonts w:ascii="Arial" w:hAnsi="Arial" w:cs="Arial"/>
                <w:sz w:val="20"/>
                <w:szCs w:val="20"/>
                <w:vertAlign w:val="superscript"/>
              </w:rPr>
              <w:t>2</w:t>
            </w:r>
            <w:proofErr w:type="gramStart"/>
            <w:r w:rsidRPr="00B42DEC">
              <w:rPr>
                <w:rFonts w:ascii="Arial" w:hAnsi="Arial" w:cs="Arial"/>
                <w:sz w:val="22"/>
                <w:szCs w:val="22"/>
                <w:vertAlign w:val="superscript"/>
              </w:rPr>
              <w:t xml:space="preserve"> </w:t>
            </w:r>
            <w:r>
              <w:rPr>
                <w:rFonts w:ascii="Arial" w:hAnsi="Arial" w:cs="Arial"/>
                <w:sz w:val="20"/>
                <w:szCs w:val="20"/>
                <w:vertAlign w:val="superscript"/>
              </w:rPr>
              <w:t xml:space="preserve"> </w:t>
            </w:r>
            <w:r w:rsidRPr="00E36E05">
              <w:rPr>
                <w:rFonts w:ascii="Arial" w:hAnsi="Arial" w:cs="Arial"/>
                <w:sz w:val="20"/>
                <w:szCs w:val="20"/>
                <w:vertAlign w:val="superscript"/>
              </w:rPr>
              <w:t xml:space="preserve"> </w:t>
            </w:r>
            <w:r w:rsidRPr="001E43DF">
              <w:rPr>
                <w:rFonts w:ascii="Arial" w:hAnsi="Arial" w:cs="Arial"/>
                <w:sz w:val="22"/>
                <w:szCs w:val="22"/>
                <w:vertAlign w:val="superscript"/>
              </w:rPr>
              <w:t>(</w:t>
            </w:r>
            <w:proofErr w:type="gramEnd"/>
            <w:r w:rsidRPr="001E43DF">
              <w:rPr>
                <w:rFonts w:ascii="Arial" w:hAnsi="Arial" w:cs="Arial"/>
                <w:sz w:val="22"/>
                <w:szCs w:val="22"/>
                <w:vertAlign w:val="superscript"/>
              </w:rPr>
              <w:t>SBOE system-wide Strategic Plan Measure)</w:t>
            </w:r>
          </w:p>
          <w:p w14:paraId="51F94955" w14:textId="77777777" w:rsidR="007104B7" w:rsidRDefault="007104B7" w:rsidP="007104B7">
            <w:pPr>
              <w:rPr>
                <w:rFonts w:ascii="Arial" w:hAnsi="Arial" w:cs="Arial"/>
                <w:b/>
                <w:sz w:val="20"/>
                <w:szCs w:val="20"/>
              </w:rPr>
            </w:pPr>
          </w:p>
          <w:p w14:paraId="637F33EB" w14:textId="77777777" w:rsidR="007104B7" w:rsidRDefault="007104B7" w:rsidP="007104B7">
            <w:pPr>
              <w:rPr>
                <w:rFonts w:ascii="Arial" w:hAnsi="Arial" w:cs="Arial"/>
                <w:b/>
                <w:sz w:val="20"/>
                <w:szCs w:val="20"/>
              </w:rPr>
            </w:pPr>
          </w:p>
          <w:p w14:paraId="21F7A9BF" w14:textId="77777777" w:rsidR="007104B7" w:rsidRPr="00347E86" w:rsidRDefault="007104B7" w:rsidP="007104B7">
            <w:pPr>
              <w:rPr>
                <w:rFonts w:ascii="Arial" w:hAnsi="Arial" w:cs="Arial"/>
                <w:b/>
                <w:sz w:val="20"/>
                <w:szCs w:val="20"/>
              </w:rPr>
            </w:pP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37C307" w14:textId="77777777" w:rsidR="007104B7" w:rsidRPr="006D3D09" w:rsidRDefault="007104B7" w:rsidP="007104B7">
            <w:pPr>
              <w:jc w:val="center"/>
              <w:rPr>
                <w:rFonts w:ascii="Arial" w:hAnsi="Arial" w:cs="Arial"/>
                <w:sz w:val="20"/>
                <w:szCs w:val="20"/>
              </w:rPr>
            </w:pPr>
            <w:r w:rsidRPr="006D3D09">
              <w:rPr>
                <w:rFonts w:ascii="Arial" w:hAnsi="Arial" w:cs="Arial"/>
                <w:sz w:val="20"/>
                <w:szCs w:val="20"/>
              </w:rPr>
              <w:t>actual</w:t>
            </w:r>
          </w:p>
        </w:tc>
        <w:tc>
          <w:tcPr>
            <w:tcW w:w="9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41B7B0" w14:textId="5E0CF8C8" w:rsidR="007104B7" w:rsidRPr="006D3D09" w:rsidRDefault="007104B7" w:rsidP="007104B7">
            <w:pPr>
              <w:jc w:val="center"/>
              <w:rPr>
                <w:rFonts w:ascii="Arial" w:hAnsi="Arial" w:cs="Arial"/>
                <w:sz w:val="20"/>
                <w:szCs w:val="20"/>
              </w:rPr>
            </w:pPr>
            <w:r>
              <w:rPr>
                <w:rFonts w:ascii="Arial" w:hAnsi="Arial" w:cs="Arial"/>
                <w:sz w:val="20"/>
                <w:szCs w:val="20"/>
              </w:rPr>
              <w:t>73%</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30B41A" w14:textId="32B0EEEB" w:rsidR="007104B7" w:rsidRPr="006D3D09" w:rsidRDefault="007104B7" w:rsidP="007104B7">
            <w:pPr>
              <w:jc w:val="center"/>
              <w:rPr>
                <w:rFonts w:ascii="Arial" w:hAnsi="Arial" w:cs="Arial"/>
                <w:sz w:val="20"/>
                <w:szCs w:val="20"/>
              </w:rPr>
            </w:pPr>
            <w:r>
              <w:rPr>
                <w:rFonts w:ascii="Arial" w:hAnsi="Arial" w:cs="Arial"/>
                <w:sz w:val="20"/>
                <w:szCs w:val="20"/>
              </w:rPr>
              <w:t>76%</w:t>
            </w:r>
          </w:p>
        </w:tc>
        <w:tc>
          <w:tcPr>
            <w:tcW w:w="13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7A2921" w14:textId="48CA742E" w:rsidR="007104B7" w:rsidRPr="006D3D09" w:rsidRDefault="007104B7" w:rsidP="007104B7">
            <w:pPr>
              <w:jc w:val="center"/>
              <w:rPr>
                <w:rFonts w:ascii="Arial" w:hAnsi="Arial" w:cs="Arial"/>
                <w:sz w:val="20"/>
                <w:szCs w:val="20"/>
              </w:rPr>
            </w:pPr>
            <w:r>
              <w:rPr>
                <w:rFonts w:ascii="Arial" w:hAnsi="Arial" w:cs="Arial"/>
                <w:sz w:val="20"/>
                <w:szCs w:val="20"/>
              </w:rPr>
              <w:t>82%</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88AF2D" w14:textId="19D7D524" w:rsidR="007104B7" w:rsidRPr="006D3D09" w:rsidRDefault="007104B7" w:rsidP="007104B7">
            <w:pPr>
              <w:jc w:val="center"/>
              <w:rPr>
                <w:rFonts w:ascii="Arial" w:hAnsi="Arial" w:cs="Arial"/>
                <w:sz w:val="20"/>
                <w:szCs w:val="20"/>
              </w:rPr>
            </w:pPr>
            <w:r>
              <w:rPr>
                <w:rFonts w:ascii="Arial" w:hAnsi="Arial" w:cs="Arial"/>
                <w:sz w:val="16"/>
                <w:szCs w:val="16"/>
              </w:rPr>
              <w:t>---------</w:t>
            </w: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B54988" w14:textId="567894E9" w:rsidR="007104B7" w:rsidRPr="006D3D09" w:rsidRDefault="007104B7" w:rsidP="007104B7">
            <w:pPr>
              <w:jc w:val="center"/>
              <w:rPr>
                <w:rFonts w:ascii="Arial" w:hAnsi="Arial" w:cs="Arial"/>
                <w:sz w:val="20"/>
                <w:szCs w:val="20"/>
              </w:rPr>
            </w:pPr>
          </w:p>
        </w:tc>
      </w:tr>
      <w:tr w:rsidR="007104B7" w:rsidRPr="00301088" w14:paraId="1D9FE0D0" w14:textId="77777777" w:rsidTr="00B030F1">
        <w:trPr>
          <w:cantSplit/>
          <w:trHeight w:val="251"/>
        </w:trPr>
        <w:tc>
          <w:tcPr>
            <w:tcW w:w="3925" w:type="dxa"/>
            <w:vMerge/>
            <w:tcBorders>
              <w:left w:val="single" w:sz="4" w:space="0" w:color="auto"/>
              <w:bottom w:val="single" w:sz="4" w:space="0" w:color="auto"/>
              <w:right w:val="single" w:sz="4" w:space="0" w:color="auto"/>
            </w:tcBorders>
          </w:tcPr>
          <w:p w14:paraId="0FF5CFEC" w14:textId="77777777" w:rsidR="007104B7" w:rsidRPr="00A15D50" w:rsidRDefault="007104B7" w:rsidP="007104B7">
            <w:pPr>
              <w:pStyle w:val="ListParagraph"/>
              <w:ind w:left="342"/>
              <w:rPr>
                <w:rFonts w:ascii="Arial" w:hAnsi="Arial" w:cs="Arial"/>
                <w:b/>
                <w:sz w:val="20"/>
                <w:szCs w:val="20"/>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64BA0" w14:textId="77777777" w:rsidR="007104B7" w:rsidRPr="00301088" w:rsidRDefault="007104B7" w:rsidP="007104B7">
            <w:pPr>
              <w:jc w:val="center"/>
              <w:rPr>
                <w:rFonts w:ascii="Arial" w:hAnsi="Arial" w:cs="Arial"/>
                <w:sz w:val="20"/>
              </w:rPr>
            </w:pPr>
            <w:r>
              <w:rPr>
                <w:rFonts w:ascii="Arial" w:hAnsi="Arial" w:cs="Arial"/>
                <w:i/>
                <w:sz w:val="16"/>
                <w:szCs w:val="16"/>
              </w:rPr>
              <w:t>target</w:t>
            </w:r>
          </w:p>
        </w:tc>
        <w:tc>
          <w:tcPr>
            <w:tcW w:w="9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0307D" w14:textId="2F8E7C27" w:rsidR="007104B7" w:rsidRPr="00301088" w:rsidRDefault="007104B7" w:rsidP="007104B7">
            <w:pPr>
              <w:jc w:val="center"/>
              <w:rPr>
                <w:rFonts w:ascii="Arial" w:hAnsi="Arial" w:cs="Arial"/>
                <w:i/>
                <w:sz w:val="16"/>
                <w:szCs w:val="16"/>
              </w:rPr>
            </w:pPr>
            <w:r>
              <w:rPr>
                <w:rFonts w:ascii="Arial" w:hAnsi="Arial" w:cs="Arial"/>
                <w:i/>
                <w:sz w:val="16"/>
                <w:szCs w:val="16"/>
              </w:rPr>
              <w:t>75%</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0EC73" w14:textId="083DBC10" w:rsidR="007104B7" w:rsidRPr="00301088" w:rsidRDefault="007104B7" w:rsidP="007104B7">
            <w:pPr>
              <w:jc w:val="center"/>
              <w:rPr>
                <w:rFonts w:ascii="Arial" w:hAnsi="Arial" w:cs="Arial"/>
                <w:i/>
                <w:sz w:val="16"/>
                <w:szCs w:val="16"/>
              </w:rPr>
            </w:pPr>
            <w:r>
              <w:rPr>
                <w:rFonts w:ascii="Arial" w:hAnsi="Arial" w:cs="Arial"/>
                <w:sz w:val="16"/>
                <w:szCs w:val="16"/>
              </w:rPr>
              <w:t>75%</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BC4BB" w14:textId="436467C3" w:rsidR="007104B7" w:rsidRPr="00301088" w:rsidRDefault="007104B7" w:rsidP="007104B7">
            <w:pPr>
              <w:jc w:val="center"/>
              <w:rPr>
                <w:rFonts w:ascii="Arial" w:hAnsi="Arial" w:cs="Arial"/>
                <w:i/>
                <w:sz w:val="16"/>
                <w:szCs w:val="16"/>
              </w:rPr>
            </w:pPr>
            <w:r>
              <w:rPr>
                <w:rFonts w:ascii="Arial" w:hAnsi="Arial" w:cs="Arial"/>
                <w:sz w:val="16"/>
                <w:szCs w:val="16"/>
              </w:rPr>
              <w:t>75%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70251" w14:textId="7DED7549" w:rsidR="007104B7" w:rsidRPr="00301088" w:rsidRDefault="007104B7" w:rsidP="007104B7">
            <w:pPr>
              <w:jc w:val="center"/>
              <w:rPr>
                <w:rFonts w:ascii="Arial" w:hAnsi="Arial" w:cs="Arial"/>
                <w:i/>
                <w:sz w:val="16"/>
                <w:szCs w:val="16"/>
              </w:rPr>
            </w:pPr>
            <w:r>
              <w:rPr>
                <w:rFonts w:ascii="Arial" w:hAnsi="Arial" w:cs="Arial"/>
                <w:sz w:val="16"/>
                <w:szCs w:val="16"/>
              </w:rPr>
              <w:t>75%</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0A2BD" w14:textId="0D7D1484" w:rsidR="007104B7" w:rsidRPr="00BA1B97" w:rsidRDefault="007104B7" w:rsidP="007104B7">
            <w:pPr>
              <w:jc w:val="center"/>
              <w:rPr>
                <w:rFonts w:ascii="Arial" w:hAnsi="Arial" w:cs="Arial"/>
                <w:sz w:val="16"/>
                <w:szCs w:val="16"/>
              </w:rPr>
            </w:pPr>
          </w:p>
        </w:tc>
      </w:tr>
      <w:tr w:rsidR="007104B7" w:rsidRPr="00301088" w14:paraId="384B91FA" w14:textId="77777777" w:rsidTr="00477578">
        <w:trPr>
          <w:cantSplit/>
          <w:trHeight w:val="296"/>
        </w:trPr>
        <w:tc>
          <w:tcPr>
            <w:tcW w:w="3925" w:type="dxa"/>
            <w:vMerge w:val="restart"/>
            <w:tcBorders>
              <w:top w:val="single" w:sz="4" w:space="0" w:color="auto"/>
              <w:left w:val="single" w:sz="4" w:space="0" w:color="auto"/>
              <w:bottom w:val="single" w:sz="4" w:space="0" w:color="auto"/>
              <w:right w:val="single" w:sz="4" w:space="0" w:color="auto"/>
            </w:tcBorders>
            <w:hideMark/>
          </w:tcPr>
          <w:p w14:paraId="19804F3A" w14:textId="3DA087BB" w:rsidR="007104B7" w:rsidRDefault="007104B7" w:rsidP="007104B7">
            <w:pPr>
              <w:rPr>
                <w:rFonts w:ascii="Arial" w:hAnsi="Arial" w:cs="Arial"/>
                <w:sz w:val="22"/>
                <w:szCs w:val="22"/>
                <w:vertAlign w:val="superscript"/>
              </w:rPr>
            </w:pPr>
            <w:r>
              <w:rPr>
                <w:rFonts w:ascii="Arial" w:hAnsi="Arial" w:cs="Arial"/>
                <w:b/>
                <w:sz w:val="20"/>
                <w:szCs w:val="20"/>
              </w:rPr>
              <w:t>3</w:t>
            </w:r>
            <w:r w:rsidRPr="006E0185">
              <w:rPr>
                <w:rFonts w:ascii="Arial" w:hAnsi="Arial" w:cs="Arial"/>
                <w:b/>
                <w:sz w:val="20"/>
                <w:szCs w:val="20"/>
              </w:rPr>
              <w:t>.</w:t>
            </w:r>
            <w:r>
              <w:rPr>
                <w:rFonts w:ascii="Arial" w:hAnsi="Arial" w:cs="Arial"/>
                <w:sz w:val="20"/>
                <w:szCs w:val="20"/>
              </w:rPr>
              <w:t xml:space="preserve"> </w:t>
            </w:r>
            <w:r w:rsidRPr="00E36E05">
              <w:rPr>
                <w:rFonts w:ascii="Arial" w:hAnsi="Arial" w:cs="Arial"/>
                <w:color w:val="000000"/>
                <w:sz w:val="20"/>
                <w:szCs w:val="20"/>
              </w:rPr>
              <w:t>Remediation</w:t>
            </w:r>
            <w:r>
              <w:rPr>
                <w:rFonts w:ascii="Arial" w:hAnsi="Arial" w:cs="Arial"/>
                <w:color w:val="000000"/>
                <w:sz w:val="20"/>
                <w:szCs w:val="20"/>
              </w:rPr>
              <w:t xml:space="preserve"> Reform</w:t>
            </w:r>
            <w:r w:rsidRPr="00E36E05">
              <w:rPr>
                <w:rFonts w:ascii="Arial" w:hAnsi="Arial" w:cs="Arial"/>
                <w:color w:val="000000"/>
                <w:sz w:val="20"/>
                <w:szCs w:val="20"/>
              </w:rPr>
              <w:t xml:space="preserve"> V</w:t>
            </w:r>
            <w:r w:rsidRPr="00E36E05">
              <w:rPr>
                <w:rFonts w:ascii="Arial" w:hAnsi="Arial" w:cs="Arial"/>
                <w:sz w:val="20"/>
                <w:szCs w:val="20"/>
                <w:vertAlign w:val="superscript"/>
              </w:rPr>
              <w:t xml:space="preserve"> - </w:t>
            </w:r>
            <w:r w:rsidRPr="00E36E05">
              <w:rPr>
                <w:rFonts w:ascii="Arial" w:hAnsi="Arial" w:cs="Arial"/>
                <w:color w:val="000000"/>
                <w:sz w:val="20"/>
                <w:szCs w:val="20"/>
              </w:rPr>
              <w:t>Percent of undergraduate, degree-seeking students who took a remedial course and completed a subsequent credit bearing course (in the area identified as needing remediation) within a year with a “C</w:t>
            </w:r>
            <w:r>
              <w:rPr>
                <w:rFonts w:ascii="Arial" w:hAnsi="Arial" w:cs="Arial"/>
                <w:color w:val="000000"/>
                <w:sz w:val="20"/>
                <w:szCs w:val="20"/>
              </w:rPr>
              <w:t>-</w:t>
            </w:r>
            <w:r w:rsidRPr="00E36E05">
              <w:rPr>
                <w:rFonts w:ascii="Arial" w:hAnsi="Arial" w:cs="Arial"/>
                <w:color w:val="000000"/>
                <w:sz w:val="20"/>
                <w:szCs w:val="20"/>
              </w:rPr>
              <w:t>” or higher.</w:t>
            </w:r>
            <w:r>
              <w:rPr>
                <w:rFonts w:ascii="Helvetica" w:hAnsi="Helvetica" w:cs="Helvetica"/>
                <w:color w:val="000000"/>
                <w:sz w:val="20"/>
                <w:szCs w:val="20"/>
              </w:rPr>
              <w:t xml:space="preserve"> (FY 2027 = Math 45%, English 72%)</w:t>
            </w:r>
            <w:r>
              <w:rPr>
                <w:rFonts w:ascii="Arial" w:hAnsi="Arial" w:cs="Arial"/>
                <w:sz w:val="20"/>
                <w:szCs w:val="20"/>
                <w:vertAlign w:val="superscript"/>
              </w:rPr>
              <w:t xml:space="preserve"> 3</w:t>
            </w:r>
            <w:proofErr w:type="gramStart"/>
            <w:r w:rsidRPr="00B42DEC">
              <w:rPr>
                <w:rFonts w:ascii="Arial" w:hAnsi="Arial" w:cs="Arial"/>
                <w:sz w:val="22"/>
                <w:szCs w:val="22"/>
                <w:vertAlign w:val="superscript"/>
              </w:rPr>
              <w:t xml:space="preserve"> </w:t>
            </w:r>
            <w:r>
              <w:rPr>
                <w:rFonts w:ascii="Arial" w:hAnsi="Arial" w:cs="Arial"/>
                <w:sz w:val="20"/>
                <w:szCs w:val="20"/>
                <w:vertAlign w:val="superscript"/>
              </w:rPr>
              <w:t xml:space="preserve"> </w:t>
            </w:r>
            <w:r w:rsidRPr="00E36E05">
              <w:rPr>
                <w:rFonts w:ascii="Arial" w:hAnsi="Arial" w:cs="Arial"/>
                <w:sz w:val="20"/>
                <w:szCs w:val="20"/>
                <w:vertAlign w:val="superscript"/>
              </w:rPr>
              <w:t xml:space="preserve"> </w:t>
            </w:r>
            <w:r w:rsidRPr="000C31FE">
              <w:rPr>
                <w:rFonts w:ascii="Arial" w:hAnsi="Arial" w:cs="Arial"/>
                <w:sz w:val="22"/>
                <w:szCs w:val="22"/>
                <w:vertAlign w:val="superscript"/>
              </w:rPr>
              <w:t>(</w:t>
            </w:r>
            <w:proofErr w:type="gramEnd"/>
            <w:r w:rsidRPr="000C31FE">
              <w:rPr>
                <w:rFonts w:ascii="Arial" w:hAnsi="Arial" w:cs="Arial"/>
                <w:sz w:val="22"/>
                <w:szCs w:val="22"/>
                <w:vertAlign w:val="superscript"/>
              </w:rPr>
              <w:t>SBOE system-wide Strategic Plan Measure)</w:t>
            </w:r>
          </w:p>
          <w:p w14:paraId="6A6C185E" w14:textId="77777777" w:rsidR="007104B7" w:rsidRPr="000C31FE" w:rsidRDefault="007104B7" w:rsidP="007104B7">
            <w:pPr>
              <w:rPr>
                <w:rFonts w:ascii="Arial" w:hAnsi="Arial" w:cs="Arial"/>
                <w:bCs/>
                <w:sz w:val="20"/>
                <w:szCs w:val="20"/>
              </w:rPr>
            </w:pP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EFC61C" w14:textId="77777777" w:rsidR="007104B7" w:rsidRPr="00301088" w:rsidRDefault="007104B7" w:rsidP="007104B7">
            <w:pPr>
              <w:jc w:val="center"/>
              <w:rPr>
                <w:rFonts w:ascii="Arial" w:hAnsi="Arial" w:cs="Arial"/>
                <w:sz w:val="20"/>
              </w:rPr>
            </w:pPr>
            <w:r>
              <w:rPr>
                <w:rFonts w:ascii="Arial" w:hAnsi="Arial" w:cs="Arial"/>
                <w:sz w:val="20"/>
              </w:rPr>
              <w:t>Math -</w:t>
            </w:r>
            <w:r w:rsidRPr="00301088">
              <w:rPr>
                <w:rFonts w:ascii="Arial" w:hAnsi="Arial" w:cs="Arial"/>
                <w:sz w:val="20"/>
              </w:rPr>
              <w:t>actual</w:t>
            </w:r>
          </w:p>
        </w:tc>
        <w:tc>
          <w:tcPr>
            <w:tcW w:w="9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8FF298" w14:textId="77195CE2" w:rsidR="007104B7" w:rsidRPr="00301088" w:rsidRDefault="007104B7" w:rsidP="007104B7">
            <w:pPr>
              <w:jc w:val="center"/>
              <w:rPr>
                <w:rFonts w:ascii="Arial" w:hAnsi="Arial" w:cs="Arial"/>
                <w:sz w:val="20"/>
                <w:szCs w:val="20"/>
              </w:rPr>
            </w:pPr>
            <w:r>
              <w:rPr>
                <w:rFonts w:ascii="Arial" w:hAnsi="Arial" w:cs="Arial"/>
                <w:sz w:val="20"/>
              </w:rPr>
              <w:t>38%</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A8390" w14:textId="230D4908" w:rsidR="007104B7" w:rsidRDefault="007104B7" w:rsidP="007104B7">
            <w:pPr>
              <w:jc w:val="center"/>
              <w:rPr>
                <w:rFonts w:ascii="Arial" w:hAnsi="Arial" w:cs="Arial"/>
                <w:sz w:val="20"/>
              </w:rPr>
            </w:pPr>
            <w:r>
              <w:rPr>
                <w:rFonts w:ascii="Arial" w:hAnsi="Arial" w:cs="Arial"/>
                <w:sz w:val="20"/>
              </w:rPr>
              <w:t>47%</w:t>
            </w:r>
          </w:p>
        </w:tc>
        <w:tc>
          <w:tcPr>
            <w:tcW w:w="13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761D0E" w14:textId="4FB7865B" w:rsidR="007104B7" w:rsidRPr="00301088" w:rsidRDefault="007104B7" w:rsidP="007104B7">
            <w:pPr>
              <w:jc w:val="center"/>
              <w:rPr>
                <w:rFonts w:ascii="Arial" w:hAnsi="Arial" w:cs="Arial"/>
                <w:sz w:val="20"/>
              </w:rPr>
            </w:pPr>
            <w:r>
              <w:rPr>
                <w:rFonts w:ascii="Arial" w:hAnsi="Arial" w:cs="Arial"/>
                <w:sz w:val="20"/>
              </w:rPr>
              <w:t>54%</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4571BB" w14:textId="4EAA31B7" w:rsidR="007104B7" w:rsidRPr="00301088" w:rsidRDefault="007104B7" w:rsidP="007104B7">
            <w:pPr>
              <w:jc w:val="center"/>
              <w:rPr>
                <w:rFonts w:ascii="Arial" w:hAnsi="Arial" w:cs="Arial"/>
                <w:sz w:val="20"/>
              </w:rPr>
            </w:pPr>
            <w:r>
              <w:rPr>
                <w:rFonts w:ascii="Arial" w:hAnsi="Arial" w:cs="Arial"/>
                <w:sz w:val="16"/>
                <w:szCs w:val="16"/>
              </w:rPr>
              <w:t>---------</w:t>
            </w: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29165B" w14:textId="5DAE6720" w:rsidR="007104B7" w:rsidRPr="00301088" w:rsidRDefault="007104B7" w:rsidP="007104B7">
            <w:pPr>
              <w:jc w:val="center"/>
              <w:rPr>
                <w:rFonts w:ascii="Arial" w:hAnsi="Arial" w:cs="Arial"/>
                <w:sz w:val="20"/>
              </w:rPr>
            </w:pPr>
          </w:p>
        </w:tc>
      </w:tr>
      <w:tr w:rsidR="007104B7" w:rsidRPr="00301088" w14:paraId="32EE042C" w14:textId="77777777" w:rsidTr="00477578">
        <w:trPr>
          <w:cantSplit/>
          <w:trHeight w:val="296"/>
        </w:trPr>
        <w:tc>
          <w:tcPr>
            <w:tcW w:w="3925" w:type="dxa"/>
            <w:vMerge/>
            <w:tcBorders>
              <w:top w:val="single" w:sz="4" w:space="0" w:color="auto"/>
              <w:left w:val="single" w:sz="4" w:space="0" w:color="auto"/>
              <w:bottom w:val="single" w:sz="4" w:space="0" w:color="auto"/>
              <w:right w:val="single" w:sz="4" w:space="0" w:color="auto"/>
            </w:tcBorders>
          </w:tcPr>
          <w:p w14:paraId="08D9AC3C" w14:textId="77777777" w:rsidR="007104B7" w:rsidRPr="006E0185" w:rsidRDefault="007104B7" w:rsidP="007104B7">
            <w:pPr>
              <w:rPr>
                <w:rFonts w:ascii="Arial" w:hAnsi="Arial" w:cs="Arial"/>
                <w:b/>
                <w:sz w:val="20"/>
                <w:szCs w:val="20"/>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21B1258F" w14:textId="6EF7BBF1" w:rsidR="007104B7" w:rsidRPr="00B030F1" w:rsidRDefault="007104B7" w:rsidP="007104B7">
            <w:pPr>
              <w:jc w:val="center"/>
              <w:rPr>
                <w:rFonts w:ascii="Arial" w:hAnsi="Arial" w:cs="Arial"/>
                <w:sz w:val="14"/>
                <w:szCs w:val="14"/>
              </w:rPr>
            </w:pPr>
            <w:r>
              <w:rPr>
                <w:rFonts w:ascii="Arial" w:hAnsi="Arial" w:cs="Arial"/>
                <w:i/>
                <w:sz w:val="16"/>
                <w:szCs w:val="16"/>
              </w:rPr>
              <w:t>target</w:t>
            </w:r>
          </w:p>
        </w:tc>
        <w:tc>
          <w:tcPr>
            <w:tcW w:w="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FA956D" w14:textId="6DBDAD82" w:rsidR="007104B7" w:rsidRDefault="007104B7" w:rsidP="007104B7">
            <w:pPr>
              <w:jc w:val="center"/>
              <w:rPr>
                <w:rFonts w:ascii="Arial" w:hAnsi="Arial" w:cs="Arial"/>
                <w:sz w:val="20"/>
                <w:szCs w:val="20"/>
              </w:rPr>
            </w:pPr>
            <w:r>
              <w:rPr>
                <w:rFonts w:ascii="Arial" w:hAnsi="Arial" w:cs="Arial"/>
                <w:i/>
                <w:sz w:val="16"/>
                <w:szCs w:val="16"/>
              </w:rPr>
              <w:t>40%</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5F432C18" w14:textId="20B6448C" w:rsidR="007104B7" w:rsidRDefault="007104B7" w:rsidP="007104B7">
            <w:pPr>
              <w:jc w:val="center"/>
              <w:rPr>
                <w:rFonts w:ascii="Arial" w:hAnsi="Arial" w:cs="Arial"/>
                <w:sz w:val="20"/>
              </w:rPr>
            </w:pPr>
            <w:r>
              <w:rPr>
                <w:rFonts w:ascii="Arial" w:hAnsi="Arial" w:cs="Arial"/>
                <w:i/>
                <w:sz w:val="16"/>
                <w:szCs w:val="16"/>
              </w:rPr>
              <w:t>43%</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FF8915" w14:textId="0B706D21" w:rsidR="007104B7" w:rsidRDefault="007104B7" w:rsidP="007104B7">
            <w:pPr>
              <w:jc w:val="center"/>
              <w:rPr>
                <w:rFonts w:ascii="Arial" w:hAnsi="Arial" w:cs="Arial"/>
                <w:sz w:val="20"/>
              </w:rPr>
            </w:pPr>
            <w:r>
              <w:rPr>
                <w:rFonts w:ascii="Arial" w:hAnsi="Arial" w:cs="Arial"/>
                <w:i/>
                <w:sz w:val="16"/>
                <w:szCs w:val="16"/>
              </w:rPr>
              <w:t>43%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C3AC7D8" w14:textId="73173C4A" w:rsidR="007104B7" w:rsidRDefault="007104B7" w:rsidP="007104B7">
            <w:pPr>
              <w:jc w:val="center"/>
              <w:rPr>
                <w:rFonts w:ascii="Arial" w:hAnsi="Arial" w:cs="Arial"/>
                <w:sz w:val="20"/>
              </w:rPr>
            </w:pPr>
            <w:r w:rsidRPr="00C60EA2">
              <w:rPr>
                <w:rFonts w:ascii="Arial" w:hAnsi="Arial" w:cs="Arial"/>
                <w:i/>
                <w:sz w:val="16"/>
                <w:szCs w:val="16"/>
              </w:rPr>
              <w:t>44</w:t>
            </w:r>
            <w:r>
              <w:rPr>
                <w:rFonts w:ascii="Arial" w:hAnsi="Arial" w:cs="Arial"/>
                <w:i/>
                <w:sz w:val="16"/>
                <w:szCs w:val="16"/>
              </w:rPr>
              <w: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16115B73" w14:textId="0EBD6C0C" w:rsidR="007104B7" w:rsidRDefault="007104B7" w:rsidP="007104B7">
            <w:pPr>
              <w:jc w:val="center"/>
              <w:rPr>
                <w:rFonts w:ascii="Arial" w:hAnsi="Arial" w:cs="Arial"/>
                <w:sz w:val="20"/>
              </w:rPr>
            </w:pPr>
          </w:p>
        </w:tc>
      </w:tr>
      <w:tr w:rsidR="007104B7" w:rsidRPr="00301088" w14:paraId="0E17015A" w14:textId="77777777" w:rsidTr="00477578">
        <w:trPr>
          <w:cantSplit/>
          <w:trHeight w:val="296"/>
        </w:trPr>
        <w:tc>
          <w:tcPr>
            <w:tcW w:w="3925" w:type="dxa"/>
            <w:vMerge/>
            <w:tcBorders>
              <w:top w:val="single" w:sz="4" w:space="0" w:color="auto"/>
              <w:left w:val="single" w:sz="4" w:space="0" w:color="auto"/>
              <w:bottom w:val="single" w:sz="4" w:space="0" w:color="auto"/>
              <w:right w:val="single" w:sz="4" w:space="0" w:color="auto"/>
            </w:tcBorders>
          </w:tcPr>
          <w:p w14:paraId="32DE02C4" w14:textId="77777777" w:rsidR="007104B7" w:rsidRPr="006E0185" w:rsidRDefault="007104B7" w:rsidP="007104B7">
            <w:pPr>
              <w:rPr>
                <w:rFonts w:ascii="Arial" w:hAnsi="Arial" w:cs="Arial"/>
                <w:b/>
                <w:sz w:val="20"/>
                <w:szCs w:val="20"/>
              </w:rPr>
            </w:pP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1CDA52" w14:textId="77777777" w:rsidR="007104B7" w:rsidRPr="009E13A5" w:rsidRDefault="007104B7" w:rsidP="007104B7">
            <w:pPr>
              <w:jc w:val="center"/>
              <w:rPr>
                <w:rFonts w:ascii="Arial" w:hAnsi="Arial" w:cs="Arial"/>
                <w:sz w:val="20"/>
              </w:rPr>
            </w:pPr>
            <w:r>
              <w:rPr>
                <w:rFonts w:ascii="Arial" w:hAnsi="Arial" w:cs="Arial"/>
                <w:sz w:val="20"/>
              </w:rPr>
              <w:t>English</w:t>
            </w:r>
            <w:r w:rsidRPr="009E13A5">
              <w:rPr>
                <w:rFonts w:ascii="Arial" w:hAnsi="Arial" w:cs="Arial"/>
                <w:sz w:val="20"/>
              </w:rPr>
              <w:t xml:space="preserve"> -actual</w:t>
            </w:r>
          </w:p>
        </w:tc>
        <w:tc>
          <w:tcPr>
            <w:tcW w:w="9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F02959" w14:textId="4C01748D" w:rsidR="007104B7" w:rsidRPr="009E13A5" w:rsidRDefault="007104B7" w:rsidP="007104B7">
            <w:pPr>
              <w:jc w:val="center"/>
              <w:rPr>
                <w:rFonts w:ascii="Arial" w:hAnsi="Arial" w:cs="Arial"/>
                <w:sz w:val="20"/>
              </w:rPr>
            </w:pPr>
            <w:r>
              <w:rPr>
                <w:rFonts w:ascii="Arial" w:hAnsi="Arial" w:cs="Arial"/>
                <w:sz w:val="20"/>
              </w:rPr>
              <w:t>64%</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6EFF98" w14:textId="6EE135EA" w:rsidR="007104B7" w:rsidRPr="009E13A5" w:rsidRDefault="007104B7" w:rsidP="007104B7">
            <w:pPr>
              <w:jc w:val="center"/>
              <w:rPr>
                <w:rFonts w:ascii="Arial" w:hAnsi="Arial" w:cs="Arial"/>
                <w:sz w:val="20"/>
              </w:rPr>
            </w:pPr>
            <w:r>
              <w:rPr>
                <w:rFonts w:ascii="Arial" w:hAnsi="Arial" w:cs="Arial"/>
                <w:sz w:val="20"/>
              </w:rPr>
              <w:t>68%</w:t>
            </w:r>
          </w:p>
        </w:tc>
        <w:tc>
          <w:tcPr>
            <w:tcW w:w="13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502FE7" w14:textId="50DE330A" w:rsidR="007104B7" w:rsidRPr="009E13A5" w:rsidRDefault="007104B7" w:rsidP="007104B7">
            <w:pPr>
              <w:jc w:val="center"/>
              <w:rPr>
                <w:rFonts w:ascii="Arial" w:hAnsi="Arial" w:cs="Arial"/>
                <w:sz w:val="20"/>
              </w:rPr>
            </w:pPr>
            <w:r>
              <w:rPr>
                <w:rFonts w:ascii="Arial" w:hAnsi="Arial" w:cs="Arial"/>
                <w:sz w:val="20"/>
              </w:rPr>
              <w:t>76%</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4A87E8" w14:textId="7758E929" w:rsidR="007104B7" w:rsidRPr="009E13A5" w:rsidRDefault="007104B7" w:rsidP="007104B7">
            <w:pPr>
              <w:jc w:val="center"/>
              <w:rPr>
                <w:rFonts w:ascii="Arial" w:hAnsi="Arial" w:cs="Arial"/>
                <w:sz w:val="20"/>
              </w:rPr>
            </w:pPr>
            <w:r>
              <w:rPr>
                <w:rFonts w:ascii="Arial" w:hAnsi="Arial" w:cs="Arial"/>
                <w:sz w:val="16"/>
                <w:szCs w:val="16"/>
              </w:rPr>
              <w:t>---------</w:t>
            </w: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4CCB11" w14:textId="4F0C3DB6" w:rsidR="007104B7" w:rsidRPr="009E13A5" w:rsidRDefault="007104B7" w:rsidP="007104B7">
            <w:pPr>
              <w:jc w:val="center"/>
              <w:rPr>
                <w:rFonts w:ascii="Arial" w:hAnsi="Arial" w:cs="Arial"/>
                <w:sz w:val="20"/>
              </w:rPr>
            </w:pPr>
          </w:p>
        </w:tc>
      </w:tr>
      <w:tr w:rsidR="007104B7" w:rsidRPr="00301088" w14:paraId="0BD37267" w14:textId="77777777" w:rsidTr="00477578">
        <w:trPr>
          <w:cantSplit/>
          <w:trHeight w:val="288"/>
        </w:trPr>
        <w:tc>
          <w:tcPr>
            <w:tcW w:w="3925" w:type="dxa"/>
            <w:vMerge/>
            <w:tcBorders>
              <w:top w:val="single" w:sz="4" w:space="0" w:color="auto"/>
              <w:left w:val="single" w:sz="4" w:space="0" w:color="auto"/>
              <w:bottom w:val="single" w:sz="4" w:space="0" w:color="auto"/>
              <w:right w:val="single" w:sz="4" w:space="0" w:color="auto"/>
            </w:tcBorders>
            <w:vAlign w:val="center"/>
            <w:hideMark/>
          </w:tcPr>
          <w:p w14:paraId="68CB932A" w14:textId="77777777" w:rsidR="007104B7" w:rsidRPr="00A15D50" w:rsidRDefault="007104B7" w:rsidP="007104B7">
            <w:pPr>
              <w:pStyle w:val="ListParagraph"/>
              <w:numPr>
                <w:ilvl w:val="0"/>
                <w:numId w:val="4"/>
              </w:numPr>
              <w:rPr>
                <w:rFonts w:ascii="Arial" w:hAnsi="Arial" w:cs="Arial"/>
                <w:bCs/>
                <w:sz w:val="20"/>
                <w:szCs w:val="20"/>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D9A14D" w14:textId="77777777" w:rsidR="007104B7" w:rsidRPr="00301088" w:rsidRDefault="007104B7" w:rsidP="007104B7">
            <w:pPr>
              <w:jc w:val="center"/>
              <w:rPr>
                <w:rFonts w:ascii="Arial" w:hAnsi="Arial" w:cs="Arial"/>
                <w:sz w:val="20"/>
              </w:rPr>
            </w:pPr>
            <w:r>
              <w:rPr>
                <w:rFonts w:ascii="Arial" w:hAnsi="Arial" w:cs="Arial"/>
                <w:i/>
                <w:sz w:val="16"/>
                <w:szCs w:val="16"/>
              </w:rPr>
              <w:t>target</w:t>
            </w:r>
          </w:p>
        </w:tc>
        <w:tc>
          <w:tcPr>
            <w:tcW w:w="9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E828" w14:textId="77851C57" w:rsidR="007104B7" w:rsidRPr="00301088" w:rsidRDefault="007104B7" w:rsidP="007104B7">
            <w:pPr>
              <w:jc w:val="center"/>
              <w:rPr>
                <w:rFonts w:ascii="Arial" w:hAnsi="Arial" w:cs="Arial"/>
                <w:i/>
                <w:sz w:val="16"/>
                <w:szCs w:val="16"/>
              </w:rPr>
            </w:pPr>
            <w:r>
              <w:rPr>
                <w:rFonts w:ascii="Arial" w:hAnsi="Arial" w:cs="Arial"/>
                <w:i/>
                <w:sz w:val="16"/>
                <w:szCs w:val="16"/>
              </w:rPr>
              <w:t>70%</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01090" w14:textId="489D3D3A" w:rsidR="007104B7" w:rsidRPr="00301088" w:rsidRDefault="007104B7" w:rsidP="007104B7">
            <w:pPr>
              <w:jc w:val="center"/>
              <w:rPr>
                <w:rFonts w:ascii="Arial" w:hAnsi="Arial" w:cs="Arial"/>
                <w:i/>
                <w:sz w:val="16"/>
                <w:szCs w:val="16"/>
              </w:rPr>
            </w:pPr>
            <w:r>
              <w:rPr>
                <w:rFonts w:ascii="Arial" w:hAnsi="Arial" w:cs="Arial"/>
                <w:i/>
                <w:sz w:val="16"/>
                <w:szCs w:val="16"/>
              </w:rPr>
              <w:t>71%</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8297A" w14:textId="5342AB38" w:rsidR="007104B7" w:rsidRPr="00301088" w:rsidRDefault="007104B7" w:rsidP="007104B7">
            <w:pPr>
              <w:jc w:val="center"/>
              <w:rPr>
                <w:rFonts w:ascii="Arial" w:hAnsi="Arial" w:cs="Arial"/>
                <w:i/>
                <w:sz w:val="16"/>
                <w:szCs w:val="16"/>
              </w:rPr>
            </w:pPr>
            <w:r>
              <w:rPr>
                <w:rFonts w:ascii="Arial" w:hAnsi="Arial" w:cs="Arial"/>
                <w:i/>
                <w:sz w:val="16"/>
                <w:szCs w:val="16"/>
              </w:rPr>
              <w:t>71%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BD389" w14:textId="3FAF5252" w:rsidR="007104B7" w:rsidRPr="00301088" w:rsidRDefault="007104B7" w:rsidP="007104B7">
            <w:pPr>
              <w:jc w:val="center"/>
              <w:rPr>
                <w:rFonts w:ascii="Arial" w:hAnsi="Arial" w:cs="Arial"/>
                <w:i/>
                <w:sz w:val="16"/>
                <w:szCs w:val="16"/>
              </w:rPr>
            </w:pPr>
            <w:r>
              <w:rPr>
                <w:rFonts w:ascii="Arial" w:hAnsi="Arial" w:cs="Arial"/>
                <w:i/>
                <w:sz w:val="16"/>
                <w:szCs w:val="16"/>
              </w:rPr>
              <w:t>72%</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EFAAD" w14:textId="2C965133" w:rsidR="007104B7" w:rsidRPr="00301088" w:rsidRDefault="007104B7" w:rsidP="007104B7">
            <w:pPr>
              <w:jc w:val="center"/>
              <w:rPr>
                <w:rFonts w:ascii="Arial" w:hAnsi="Arial" w:cs="Arial"/>
                <w:i/>
                <w:sz w:val="16"/>
                <w:szCs w:val="16"/>
              </w:rPr>
            </w:pPr>
          </w:p>
        </w:tc>
      </w:tr>
      <w:tr w:rsidR="007104B7" w:rsidRPr="00301088" w14:paraId="2AB3986C" w14:textId="77777777" w:rsidTr="00477578">
        <w:trPr>
          <w:cantSplit/>
          <w:trHeight w:val="341"/>
        </w:trPr>
        <w:tc>
          <w:tcPr>
            <w:tcW w:w="3925" w:type="dxa"/>
            <w:vMerge w:val="restart"/>
            <w:tcBorders>
              <w:top w:val="single" w:sz="4" w:space="0" w:color="auto"/>
              <w:left w:val="single" w:sz="4" w:space="0" w:color="auto"/>
              <w:bottom w:val="single" w:sz="4" w:space="0" w:color="auto"/>
              <w:right w:val="single" w:sz="4" w:space="0" w:color="auto"/>
            </w:tcBorders>
            <w:hideMark/>
          </w:tcPr>
          <w:p w14:paraId="49D88BB2" w14:textId="0B67067D" w:rsidR="007104B7" w:rsidRPr="002B2820" w:rsidRDefault="007104B7" w:rsidP="007104B7">
            <w:r>
              <w:br w:type="page"/>
            </w:r>
            <w:r>
              <w:rPr>
                <w:rFonts w:ascii="Arial" w:hAnsi="Arial" w:cs="Arial"/>
                <w:b/>
                <w:sz w:val="20"/>
                <w:szCs w:val="20"/>
              </w:rPr>
              <w:t>4</w:t>
            </w:r>
            <w:r>
              <w:rPr>
                <w:rFonts w:ascii="Arial" w:hAnsi="Arial" w:cs="Arial"/>
                <w:sz w:val="20"/>
                <w:szCs w:val="20"/>
              </w:rPr>
              <w:t xml:space="preserve">. </w:t>
            </w:r>
            <w:r w:rsidRPr="00347E86">
              <w:rPr>
                <w:rFonts w:ascii="Arial" w:hAnsi="Arial" w:cs="Arial"/>
                <w:color w:val="000000"/>
                <w:sz w:val="20"/>
                <w:szCs w:val="20"/>
              </w:rPr>
              <w:t>Timely Degree I</w:t>
            </w:r>
            <w:r w:rsidRPr="00347E86">
              <w:rPr>
                <w:rFonts w:ascii="Arial" w:hAnsi="Arial" w:cs="Arial"/>
                <w:sz w:val="20"/>
                <w:szCs w:val="20"/>
                <w:vertAlign w:val="superscript"/>
              </w:rPr>
              <w:t xml:space="preserve"> - </w:t>
            </w:r>
            <w:r w:rsidRPr="00347E86">
              <w:rPr>
                <w:rFonts w:ascii="Arial" w:hAnsi="Arial" w:cs="Arial"/>
                <w:color w:val="000000"/>
                <w:sz w:val="20"/>
                <w:szCs w:val="20"/>
              </w:rPr>
              <w:t>Percent of undergraduate, degree-seeking students completing 30 or more credits per academic year at the institution reporting.</w:t>
            </w:r>
            <w:r>
              <w:rPr>
                <w:rFonts w:ascii="Helvetica" w:hAnsi="Helvetica" w:cs="Helvetica"/>
                <w:color w:val="000000"/>
                <w:sz w:val="20"/>
                <w:szCs w:val="20"/>
              </w:rPr>
              <w:t xml:space="preserve"> (FY 2027 = 40</w:t>
            </w:r>
            <w:proofErr w:type="gramStart"/>
            <w:r>
              <w:rPr>
                <w:rFonts w:ascii="Helvetica" w:hAnsi="Helvetica" w:cs="Helvetica"/>
                <w:color w:val="000000"/>
                <w:sz w:val="20"/>
                <w:szCs w:val="20"/>
              </w:rPr>
              <w:t>%)</w:t>
            </w:r>
            <w:r w:rsidRPr="00B42DEC">
              <w:rPr>
                <w:rFonts w:ascii="Arial" w:hAnsi="Arial" w:cs="Arial"/>
                <w:sz w:val="22"/>
                <w:szCs w:val="22"/>
                <w:vertAlign w:val="superscript"/>
              </w:rPr>
              <w:t xml:space="preserve"> </w:t>
            </w:r>
            <w:r>
              <w:rPr>
                <w:rFonts w:ascii="Arial" w:hAnsi="Arial" w:cs="Arial"/>
                <w:sz w:val="20"/>
                <w:szCs w:val="20"/>
                <w:vertAlign w:val="superscript"/>
              </w:rPr>
              <w:t xml:space="preserve">  </w:t>
            </w:r>
            <w:proofErr w:type="gramEnd"/>
            <w:r>
              <w:rPr>
                <w:rFonts w:ascii="Arial" w:hAnsi="Arial" w:cs="Arial"/>
                <w:sz w:val="20"/>
                <w:szCs w:val="20"/>
                <w:vertAlign w:val="superscript"/>
              </w:rPr>
              <w:t>4</w:t>
            </w:r>
            <w:r w:rsidRPr="00347E86">
              <w:rPr>
                <w:rFonts w:ascii="Arial" w:hAnsi="Arial" w:cs="Arial"/>
                <w:sz w:val="20"/>
                <w:szCs w:val="20"/>
                <w:vertAlign w:val="superscript"/>
              </w:rPr>
              <w:t xml:space="preserve"> </w:t>
            </w:r>
            <w:r w:rsidRPr="006E0185">
              <w:rPr>
                <w:rFonts w:ascii="Arial" w:hAnsi="Arial" w:cs="Arial"/>
                <w:sz w:val="22"/>
                <w:szCs w:val="22"/>
                <w:vertAlign w:val="superscript"/>
              </w:rPr>
              <w:t>(SBOE system-wide Strategic Plan Measure)</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7400EF" w14:textId="77777777" w:rsidR="007104B7" w:rsidRPr="00301088" w:rsidRDefault="007104B7" w:rsidP="007104B7">
            <w:pPr>
              <w:jc w:val="center"/>
              <w:rPr>
                <w:rFonts w:ascii="Arial" w:hAnsi="Arial" w:cs="Arial"/>
                <w:sz w:val="20"/>
              </w:rPr>
            </w:pPr>
            <w:r w:rsidRPr="00301088">
              <w:rPr>
                <w:rFonts w:ascii="Arial" w:hAnsi="Arial" w:cs="Arial"/>
                <w:sz w:val="20"/>
              </w:rPr>
              <w:t>actual</w:t>
            </w:r>
          </w:p>
        </w:tc>
        <w:tc>
          <w:tcPr>
            <w:tcW w:w="9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549F6C" w14:textId="497F6FA1" w:rsidR="007104B7" w:rsidRPr="00301088" w:rsidRDefault="007104B7" w:rsidP="007104B7">
            <w:pPr>
              <w:jc w:val="center"/>
              <w:rPr>
                <w:rFonts w:ascii="Arial" w:hAnsi="Arial" w:cs="Arial"/>
                <w:sz w:val="20"/>
                <w:szCs w:val="20"/>
              </w:rPr>
            </w:pPr>
            <w:r>
              <w:rPr>
                <w:rFonts w:ascii="Arial" w:hAnsi="Arial" w:cs="Arial"/>
                <w:sz w:val="20"/>
              </w:rPr>
              <w:t>24%</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74E0D5" w14:textId="38EA581E" w:rsidR="007104B7" w:rsidRPr="00301088" w:rsidRDefault="007104B7" w:rsidP="007104B7">
            <w:pPr>
              <w:jc w:val="center"/>
              <w:rPr>
                <w:rFonts w:ascii="Arial" w:hAnsi="Arial" w:cs="Arial"/>
                <w:sz w:val="20"/>
              </w:rPr>
            </w:pPr>
            <w:r>
              <w:rPr>
                <w:rFonts w:ascii="Arial" w:hAnsi="Arial" w:cs="Arial"/>
                <w:sz w:val="20"/>
              </w:rPr>
              <w:t>24%</w:t>
            </w:r>
          </w:p>
        </w:tc>
        <w:tc>
          <w:tcPr>
            <w:tcW w:w="13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E202C1" w14:textId="11434E91" w:rsidR="007104B7" w:rsidRPr="00301088" w:rsidRDefault="007104B7" w:rsidP="007104B7">
            <w:pPr>
              <w:jc w:val="center"/>
              <w:rPr>
                <w:rFonts w:ascii="Arial" w:hAnsi="Arial" w:cs="Arial"/>
                <w:sz w:val="20"/>
              </w:rPr>
            </w:pPr>
            <w:r>
              <w:rPr>
                <w:rFonts w:ascii="Arial" w:hAnsi="Arial" w:cs="Arial"/>
                <w:sz w:val="20"/>
              </w:rPr>
              <w:t>24%</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906282" w14:textId="5E29D815" w:rsidR="007104B7" w:rsidRPr="00301088" w:rsidRDefault="007104B7" w:rsidP="007104B7">
            <w:pPr>
              <w:jc w:val="center"/>
              <w:rPr>
                <w:rFonts w:ascii="Arial" w:hAnsi="Arial" w:cs="Arial"/>
                <w:sz w:val="20"/>
              </w:rPr>
            </w:pPr>
            <w:r>
              <w:rPr>
                <w:rFonts w:ascii="Arial" w:hAnsi="Arial" w:cs="Arial"/>
                <w:sz w:val="16"/>
                <w:szCs w:val="16"/>
              </w:rPr>
              <w:t>---------</w:t>
            </w: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1FD823" w14:textId="19007833" w:rsidR="007104B7" w:rsidRPr="00301088" w:rsidRDefault="007104B7" w:rsidP="007104B7">
            <w:pPr>
              <w:jc w:val="center"/>
              <w:rPr>
                <w:rFonts w:ascii="Arial" w:hAnsi="Arial" w:cs="Arial"/>
                <w:sz w:val="20"/>
              </w:rPr>
            </w:pPr>
          </w:p>
        </w:tc>
      </w:tr>
      <w:tr w:rsidR="007104B7" w:rsidRPr="00301088" w14:paraId="30393CF2" w14:textId="77777777" w:rsidTr="00477578">
        <w:trPr>
          <w:cantSplit/>
          <w:trHeight w:val="288"/>
        </w:trPr>
        <w:tc>
          <w:tcPr>
            <w:tcW w:w="3925" w:type="dxa"/>
            <w:vMerge/>
            <w:tcBorders>
              <w:top w:val="single" w:sz="4" w:space="0" w:color="auto"/>
              <w:left w:val="single" w:sz="4" w:space="0" w:color="auto"/>
              <w:bottom w:val="single" w:sz="4" w:space="0" w:color="auto"/>
              <w:right w:val="single" w:sz="4" w:space="0" w:color="auto"/>
            </w:tcBorders>
            <w:vAlign w:val="center"/>
            <w:hideMark/>
          </w:tcPr>
          <w:p w14:paraId="0F5554B8" w14:textId="77777777" w:rsidR="007104B7" w:rsidRPr="00A15D50" w:rsidRDefault="007104B7" w:rsidP="007104B7">
            <w:pPr>
              <w:pStyle w:val="ListParagraph"/>
              <w:numPr>
                <w:ilvl w:val="0"/>
                <w:numId w:val="4"/>
              </w:numPr>
              <w:rPr>
                <w:rFonts w:ascii="Arial" w:hAnsi="Arial" w:cs="Arial"/>
                <w:bCs/>
                <w:sz w:val="20"/>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9FD362" w14:textId="77777777" w:rsidR="007104B7" w:rsidRPr="00301088" w:rsidRDefault="007104B7" w:rsidP="007104B7">
            <w:pPr>
              <w:jc w:val="center"/>
              <w:rPr>
                <w:rFonts w:ascii="Arial" w:hAnsi="Arial" w:cs="Arial"/>
                <w:sz w:val="20"/>
              </w:rPr>
            </w:pPr>
            <w:r>
              <w:rPr>
                <w:rFonts w:ascii="Arial" w:hAnsi="Arial" w:cs="Arial"/>
                <w:i/>
                <w:sz w:val="16"/>
                <w:szCs w:val="16"/>
              </w:rPr>
              <w:t>target</w:t>
            </w:r>
          </w:p>
        </w:tc>
        <w:tc>
          <w:tcPr>
            <w:tcW w:w="9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D4DD0" w14:textId="4BB36169" w:rsidR="007104B7" w:rsidRPr="00301088" w:rsidRDefault="007104B7" w:rsidP="007104B7">
            <w:pPr>
              <w:jc w:val="center"/>
              <w:rPr>
                <w:rFonts w:ascii="Arial" w:hAnsi="Arial" w:cs="Arial"/>
                <w:i/>
                <w:sz w:val="16"/>
                <w:szCs w:val="16"/>
              </w:rPr>
            </w:pPr>
            <w:r>
              <w:rPr>
                <w:rFonts w:ascii="Arial" w:hAnsi="Arial" w:cs="Arial"/>
                <w:i/>
                <w:sz w:val="16"/>
                <w:szCs w:val="16"/>
              </w:rPr>
              <w:t>29%</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EFE07" w14:textId="3BACDE4C" w:rsidR="007104B7" w:rsidRPr="00301088" w:rsidRDefault="007104B7" w:rsidP="007104B7">
            <w:pPr>
              <w:jc w:val="center"/>
              <w:rPr>
                <w:rFonts w:ascii="Arial" w:hAnsi="Arial" w:cs="Arial"/>
                <w:i/>
                <w:sz w:val="16"/>
                <w:szCs w:val="16"/>
              </w:rPr>
            </w:pPr>
            <w:r>
              <w:rPr>
                <w:rFonts w:ascii="Arial" w:hAnsi="Arial" w:cs="Arial"/>
                <w:i/>
                <w:sz w:val="16"/>
                <w:szCs w:val="16"/>
              </w:rPr>
              <w:t>33%</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0427BD" w14:textId="71D8EBB0" w:rsidR="007104B7" w:rsidRPr="00301088" w:rsidRDefault="007104B7" w:rsidP="007104B7">
            <w:pPr>
              <w:jc w:val="center"/>
              <w:rPr>
                <w:rFonts w:ascii="Arial" w:hAnsi="Arial" w:cs="Arial"/>
                <w:i/>
                <w:sz w:val="16"/>
                <w:szCs w:val="16"/>
              </w:rPr>
            </w:pPr>
            <w:r>
              <w:rPr>
                <w:rFonts w:ascii="Arial" w:hAnsi="Arial" w:cs="Arial"/>
                <w:i/>
                <w:sz w:val="16"/>
                <w:szCs w:val="16"/>
              </w:rPr>
              <w:t>33%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5454B" w14:textId="29D6B63A" w:rsidR="007104B7" w:rsidRPr="00301088" w:rsidRDefault="007104B7" w:rsidP="007104B7">
            <w:pPr>
              <w:jc w:val="center"/>
              <w:rPr>
                <w:rFonts w:ascii="Arial" w:hAnsi="Arial" w:cs="Arial"/>
                <w:i/>
                <w:sz w:val="16"/>
                <w:szCs w:val="16"/>
              </w:rPr>
            </w:pPr>
            <w:r>
              <w:rPr>
                <w:rFonts w:ascii="Arial" w:hAnsi="Arial" w:cs="Arial"/>
                <w:i/>
                <w:sz w:val="16"/>
                <w:szCs w:val="16"/>
              </w:rPr>
              <w:t>36%</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01A99" w14:textId="6B78831A" w:rsidR="007104B7" w:rsidRPr="00301088" w:rsidRDefault="007104B7" w:rsidP="007104B7">
            <w:pPr>
              <w:jc w:val="center"/>
              <w:rPr>
                <w:rFonts w:ascii="Arial" w:hAnsi="Arial" w:cs="Arial"/>
                <w:i/>
                <w:sz w:val="16"/>
                <w:szCs w:val="16"/>
              </w:rPr>
            </w:pPr>
          </w:p>
        </w:tc>
      </w:tr>
    </w:tbl>
    <w:p w14:paraId="7CD16DC9" w14:textId="21712991" w:rsidR="002B2820" w:rsidRDefault="002B282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3925"/>
        <w:gridCol w:w="840"/>
        <w:gridCol w:w="929"/>
        <w:gridCol w:w="56"/>
        <w:gridCol w:w="904"/>
        <w:gridCol w:w="33"/>
        <w:gridCol w:w="1318"/>
        <w:gridCol w:w="1080"/>
        <w:gridCol w:w="985"/>
      </w:tblGrid>
      <w:tr w:rsidR="007104B7" w:rsidRPr="006D3D09" w14:paraId="4B4F7876" w14:textId="4BC550DA" w:rsidTr="0096682B">
        <w:trPr>
          <w:cantSplit/>
          <w:tblHeader/>
        </w:trPr>
        <w:tc>
          <w:tcPr>
            <w:tcW w:w="4765" w:type="dxa"/>
            <w:gridSpan w:val="2"/>
            <w:tcBorders>
              <w:top w:val="single" w:sz="4" w:space="0" w:color="auto"/>
              <w:left w:val="single" w:sz="4" w:space="0" w:color="auto"/>
              <w:bottom w:val="single" w:sz="4" w:space="0" w:color="auto"/>
              <w:right w:val="single" w:sz="4" w:space="0" w:color="auto"/>
            </w:tcBorders>
            <w:shd w:val="clear" w:color="auto" w:fill="000080"/>
            <w:vAlign w:val="bottom"/>
            <w:hideMark/>
          </w:tcPr>
          <w:p w14:paraId="19F5BB61" w14:textId="77777777" w:rsidR="007104B7" w:rsidRPr="006D3D09" w:rsidRDefault="007104B7" w:rsidP="007104B7">
            <w:pPr>
              <w:jc w:val="center"/>
              <w:rPr>
                <w:rFonts w:ascii="Arial" w:hAnsi="Arial" w:cs="Arial"/>
                <w:b/>
                <w:bCs/>
                <w:color w:val="FFFFFF"/>
                <w:sz w:val="20"/>
                <w:szCs w:val="20"/>
              </w:rPr>
            </w:pPr>
            <w:r>
              <w:lastRenderedPageBreak/>
              <w:br w:type="page"/>
            </w:r>
            <w:r>
              <w:br w:type="page"/>
            </w:r>
            <w:r w:rsidRPr="006D3D09">
              <w:rPr>
                <w:rFonts w:ascii="Arial" w:hAnsi="Arial" w:cs="Arial"/>
                <w:b/>
                <w:bCs/>
                <w:color w:val="FFFFFF"/>
                <w:sz w:val="20"/>
                <w:szCs w:val="20"/>
              </w:rPr>
              <w:t>Performance Measure</w:t>
            </w:r>
          </w:p>
        </w:tc>
        <w:tc>
          <w:tcPr>
            <w:tcW w:w="929" w:type="dxa"/>
            <w:tcBorders>
              <w:top w:val="single" w:sz="4" w:space="0" w:color="auto"/>
              <w:left w:val="single" w:sz="4" w:space="0" w:color="auto"/>
              <w:bottom w:val="single" w:sz="4" w:space="0" w:color="auto"/>
              <w:right w:val="single" w:sz="4" w:space="0" w:color="auto"/>
            </w:tcBorders>
            <w:shd w:val="clear" w:color="auto" w:fill="000080"/>
            <w:vAlign w:val="bottom"/>
          </w:tcPr>
          <w:p w14:paraId="032248DD" w14:textId="1D9153E8" w:rsidR="007104B7" w:rsidRPr="006D3D09" w:rsidRDefault="007104B7" w:rsidP="007104B7">
            <w:pPr>
              <w:jc w:val="center"/>
              <w:rPr>
                <w:rFonts w:ascii="Arial" w:hAnsi="Arial" w:cs="Arial"/>
                <w:b/>
                <w:bCs/>
                <w:color w:val="FFFFFF"/>
                <w:sz w:val="20"/>
                <w:szCs w:val="20"/>
              </w:rPr>
            </w:pPr>
            <w:r>
              <w:rPr>
                <w:rFonts w:ascii="Arial" w:hAnsi="Arial" w:cs="Arial"/>
                <w:b/>
                <w:bCs/>
                <w:color w:val="FFFFFF"/>
                <w:sz w:val="20"/>
                <w:szCs w:val="20"/>
              </w:rPr>
              <w:t>FY 2022</w:t>
            </w:r>
          </w:p>
        </w:tc>
        <w:tc>
          <w:tcPr>
            <w:tcW w:w="993" w:type="dxa"/>
            <w:gridSpan w:val="3"/>
            <w:tcBorders>
              <w:top w:val="single" w:sz="4" w:space="0" w:color="auto"/>
              <w:left w:val="single" w:sz="4" w:space="0" w:color="auto"/>
              <w:bottom w:val="single" w:sz="4" w:space="0" w:color="auto"/>
              <w:right w:val="single" w:sz="4" w:space="0" w:color="auto"/>
            </w:tcBorders>
            <w:shd w:val="clear" w:color="auto" w:fill="000080"/>
            <w:vAlign w:val="bottom"/>
          </w:tcPr>
          <w:p w14:paraId="55520AD8" w14:textId="77A0F10E" w:rsidR="007104B7" w:rsidRPr="006D3D09" w:rsidRDefault="007104B7" w:rsidP="007104B7">
            <w:pPr>
              <w:jc w:val="center"/>
              <w:rPr>
                <w:rFonts w:ascii="Arial" w:hAnsi="Arial" w:cs="Arial"/>
                <w:b/>
                <w:bCs/>
                <w:color w:val="FFFFFF"/>
                <w:sz w:val="20"/>
                <w:szCs w:val="20"/>
              </w:rPr>
            </w:pPr>
            <w:r>
              <w:rPr>
                <w:rFonts w:ascii="Arial" w:hAnsi="Arial" w:cs="Arial"/>
                <w:b/>
                <w:bCs/>
                <w:color w:val="FFFFFF"/>
                <w:sz w:val="20"/>
                <w:szCs w:val="20"/>
              </w:rPr>
              <w:t>FY 2023</w:t>
            </w:r>
          </w:p>
        </w:tc>
        <w:tc>
          <w:tcPr>
            <w:tcW w:w="1318" w:type="dxa"/>
            <w:tcBorders>
              <w:top w:val="single" w:sz="4" w:space="0" w:color="auto"/>
              <w:left w:val="single" w:sz="4" w:space="0" w:color="auto"/>
              <w:bottom w:val="single" w:sz="4" w:space="0" w:color="auto"/>
              <w:right w:val="single" w:sz="4" w:space="0" w:color="auto"/>
            </w:tcBorders>
            <w:shd w:val="clear" w:color="auto" w:fill="000080"/>
            <w:vAlign w:val="bottom"/>
          </w:tcPr>
          <w:p w14:paraId="4776E207" w14:textId="3C6EACCD" w:rsidR="007104B7" w:rsidRPr="006D3D09" w:rsidRDefault="007104B7" w:rsidP="007104B7">
            <w:pPr>
              <w:jc w:val="center"/>
              <w:rPr>
                <w:rFonts w:ascii="Arial" w:hAnsi="Arial" w:cs="Arial"/>
                <w:b/>
                <w:bCs/>
                <w:color w:val="FFFFFF"/>
                <w:sz w:val="20"/>
                <w:szCs w:val="20"/>
              </w:rPr>
            </w:pPr>
            <w:r>
              <w:rPr>
                <w:rFonts w:ascii="Arial" w:hAnsi="Arial" w:cs="Arial"/>
                <w:b/>
                <w:bCs/>
                <w:color w:val="FFFFFF"/>
                <w:sz w:val="20"/>
                <w:szCs w:val="20"/>
              </w:rPr>
              <w:t>FY 2024</w:t>
            </w:r>
          </w:p>
        </w:tc>
        <w:tc>
          <w:tcPr>
            <w:tcW w:w="1080" w:type="dxa"/>
            <w:tcBorders>
              <w:top w:val="single" w:sz="4" w:space="0" w:color="auto"/>
              <w:left w:val="single" w:sz="4" w:space="0" w:color="auto"/>
              <w:bottom w:val="single" w:sz="4" w:space="0" w:color="auto"/>
              <w:right w:val="single" w:sz="4" w:space="0" w:color="auto"/>
            </w:tcBorders>
            <w:shd w:val="clear" w:color="auto" w:fill="000080"/>
            <w:vAlign w:val="bottom"/>
          </w:tcPr>
          <w:p w14:paraId="36CA040E" w14:textId="6D856437" w:rsidR="007104B7" w:rsidRPr="006D3D09" w:rsidRDefault="007104B7" w:rsidP="007104B7">
            <w:pPr>
              <w:jc w:val="center"/>
              <w:rPr>
                <w:rFonts w:ascii="Arial" w:hAnsi="Arial" w:cs="Arial"/>
                <w:b/>
                <w:bCs/>
                <w:color w:val="FFFFFF"/>
                <w:sz w:val="20"/>
                <w:szCs w:val="20"/>
              </w:rPr>
            </w:pPr>
            <w:r>
              <w:rPr>
                <w:rFonts w:ascii="Arial" w:hAnsi="Arial" w:cs="Arial"/>
                <w:b/>
                <w:bCs/>
                <w:color w:val="FFFFFF"/>
                <w:sz w:val="20"/>
                <w:szCs w:val="20"/>
              </w:rPr>
              <w:t>FY 2025</w:t>
            </w:r>
          </w:p>
        </w:tc>
        <w:tc>
          <w:tcPr>
            <w:tcW w:w="985" w:type="dxa"/>
            <w:tcBorders>
              <w:top w:val="single" w:sz="4" w:space="0" w:color="auto"/>
              <w:left w:val="single" w:sz="4" w:space="0" w:color="auto"/>
              <w:bottom w:val="single" w:sz="4" w:space="0" w:color="auto"/>
              <w:right w:val="single" w:sz="4" w:space="0" w:color="auto"/>
            </w:tcBorders>
            <w:shd w:val="clear" w:color="auto" w:fill="000080"/>
            <w:vAlign w:val="bottom"/>
          </w:tcPr>
          <w:p w14:paraId="7F0A5AEF" w14:textId="2B0B03CB" w:rsidR="007104B7" w:rsidRPr="006D3D09" w:rsidRDefault="007104B7" w:rsidP="007104B7">
            <w:pPr>
              <w:jc w:val="center"/>
              <w:rPr>
                <w:rFonts w:ascii="Arial" w:hAnsi="Arial" w:cs="Arial"/>
                <w:b/>
                <w:bCs/>
                <w:color w:val="FFFFFF"/>
                <w:sz w:val="20"/>
                <w:szCs w:val="20"/>
              </w:rPr>
            </w:pPr>
            <w:r>
              <w:rPr>
                <w:rFonts w:ascii="Arial" w:hAnsi="Arial" w:cs="Arial"/>
                <w:b/>
                <w:bCs/>
                <w:color w:val="FFFFFF"/>
                <w:sz w:val="20"/>
                <w:szCs w:val="20"/>
              </w:rPr>
              <w:t>FY 2026</w:t>
            </w:r>
          </w:p>
        </w:tc>
      </w:tr>
      <w:tr w:rsidR="007104B7" w:rsidRPr="00301088" w14:paraId="6B67B77D" w14:textId="1409C633" w:rsidTr="0096682B">
        <w:trPr>
          <w:cantSplit/>
          <w:trHeight w:val="269"/>
        </w:trPr>
        <w:tc>
          <w:tcPr>
            <w:tcW w:w="3925" w:type="dxa"/>
            <w:vMerge w:val="restart"/>
            <w:tcBorders>
              <w:top w:val="single" w:sz="4" w:space="0" w:color="auto"/>
              <w:left w:val="single" w:sz="4" w:space="0" w:color="auto"/>
              <w:bottom w:val="single" w:sz="4" w:space="0" w:color="auto"/>
              <w:right w:val="single" w:sz="4" w:space="0" w:color="auto"/>
            </w:tcBorders>
            <w:hideMark/>
          </w:tcPr>
          <w:p w14:paraId="1EE3CFD5" w14:textId="5E899939" w:rsidR="007104B7" w:rsidRDefault="007104B7" w:rsidP="007104B7">
            <w:pPr>
              <w:rPr>
                <w:rFonts w:ascii="Arial" w:hAnsi="Arial" w:cs="Arial"/>
                <w:sz w:val="20"/>
                <w:szCs w:val="20"/>
              </w:rPr>
            </w:pPr>
            <w:r>
              <w:rPr>
                <w:rFonts w:ascii="Arial" w:hAnsi="Arial" w:cs="Arial"/>
                <w:b/>
                <w:sz w:val="20"/>
                <w:szCs w:val="20"/>
              </w:rPr>
              <w:t>5</w:t>
            </w:r>
            <w:r>
              <w:rPr>
                <w:rFonts w:ascii="Arial" w:hAnsi="Arial" w:cs="Arial"/>
                <w:sz w:val="20"/>
                <w:szCs w:val="20"/>
              </w:rPr>
              <w:t>.</w:t>
            </w:r>
            <w:r w:rsidRPr="00347E86">
              <w:rPr>
                <w:rFonts w:ascii="Arial" w:hAnsi="Arial" w:cs="Arial"/>
                <w:sz w:val="20"/>
                <w:szCs w:val="20"/>
              </w:rPr>
              <w:t xml:space="preserve"> </w:t>
            </w:r>
            <w:r w:rsidRPr="00347E86">
              <w:rPr>
                <w:rFonts w:ascii="Arial" w:hAnsi="Arial" w:cs="Arial"/>
                <w:color w:val="000000"/>
                <w:sz w:val="20"/>
                <w:szCs w:val="20"/>
              </w:rPr>
              <w:t>Timely Degree II</w:t>
            </w:r>
            <w:r w:rsidRPr="00347E86">
              <w:rPr>
                <w:rFonts w:ascii="Arial" w:hAnsi="Arial" w:cs="Arial"/>
                <w:sz w:val="20"/>
                <w:szCs w:val="20"/>
              </w:rPr>
              <w:t xml:space="preserve"> - </w:t>
            </w:r>
            <w:r w:rsidRPr="00347E86">
              <w:rPr>
                <w:rFonts w:ascii="Arial" w:hAnsi="Arial" w:cs="Arial"/>
                <w:color w:val="000000"/>
                <w:sz w:val="20"/>
                <w:szCs w:val="20"/>
              </w:rPr>
              <w:t>Percent of first-time, full-time, freshmen graduating within 150% of time.</w:t>
            </w:r>
            <w:r>
              <w:rPr>
                <w:rFonts w:ascii="Helvetica" w:hAnsi="Helvetica" w:cs="Helvetica"/>
                <w:color w:val="000000"/>
                <w:sz w:val="20"/>
                <w:szCs w:val="20"/>
              </w:rPr>
              <w:t xml:space="preserve"> (FY 2027 = 40%)</w:t>
            </w:r>
            <w:r w:rsidRPr="00B42DEC">
              <w:rPr>
                <w:rFonts w:ascii="Arial" w:hAnsi="Arial" w:cs="Arial"/>
                <w:sz w:val="22"/>
                <w:szCs w:val="22"/>
                <w:vertAlign w:val="superscript"/>
              </w:rPr>
              <w:t xml:space="preserve"> </w:t>
            </w:r>
            <w:r>
              <w:rPr>
                <w:rFonts w:ascii="Arial" w:hAnsi="Arial" w:cs="Arial"/>
                <w:sz w:val="20"/>
                <w:szCs w:val="20"/>
                <w:vertAlign w:val="superscript"/>
              </w:rPr>
              <w:t xml:space="preserve"> </w:t>
            </w:r>
          </w:p>
          <w:p w14:paraId="24A8CF89" w14:textId="450B81C5" w:rsidR="007104B7" w:rsidRPr="00B42DEC" w:rsidRDefault="007104B7" w:rsidP="007104B7">
            <w:pPr>
              <w:rPr>
                <w:rFonts w:ascii="Arial" w:hAnsi="Arial" w:cs="Arial"/>
                <w:bCs/>
                <w:sz w:val="20"/>
                <w:szCs w:val="20"/>
              </w:rPr>
            </w:pPr>
            <w:r>
              <w:rPr>
                <w:rFonts w:ascii="Arial" w:hAnsi="Arial" w:cs="Arial"/>
                <w:sz w:val="20"/>
                <w:szCs w:val="20"/>
                <w:vertAlign w:val="superscript"/>
              </w:rPr>
              <w:t>5</w:t>
            </w:r>
            <w:r w:rsidRPr="00B42DEC">
              <w:rPr>
                <w:rFonts w:ascii="Arial" w:hAnsi="Arial" w:cs="Arial"/>
                <w:sz w:val="20"/>
                <w:szCs w:val="20"/>
                <w:vertAlign w:val="superscript"/>
              </w:rPr>
              <w:t xml:space="preserve"> </w:t>
            </w:r>
            <w:r w:rsidRPr="00B42DEC">
              <w:rPr>
                <w:rFonts w:ascii="Arial" w:hAnsi="Arial" w:cs="Arial"/>
                <w:sz w:val="22"/>
                <w:szCs w:val="22"/>
                <w:vertAlign w:val="superscript"/>
              </w:rPr>
              <w:t>(SBOE system-wide Strategic Plan Measure)</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2E743C" w14:textId="77777777" w:rsidR="007104B7" w:rsidRPr="00301088" w:rsidRDefault="007104B7" w:rsidP="007104B7">
            <w:pPr>
              <w:jc w:val="center"/>
              <w:rPr>
                <w:rFonts w:ascii="Arial" w:hAnsi="Arial" w:cs="Arial"/>
                <w:sz w:val="20"/>
              </w:rPr>
            </w:pPr>
            <w:r w:rsidRPr="00301088">
              <w:rPr>
                <w:rFonts w:ascii="Arial" w:hAnsi="Arial" w:cs="Arial"/>
                <w:sz w:val="20"/>
              </w:rPr>
              <w:t>actual</w:t>
            </w:r>
          </w:p>
        </w:tc>
        <w:tc>
          <w:tcPr>
            <w:tcW w:w="9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9D6A35" w14:textId="77777777" w:rsidR="007104B7" w:rsidRDefault="007104B7" w:rsidP="007104B7">
            <w:pPr>
              <w:jc w:val="center"/>
              <w:rPr>
                <w:rFonts w:ascii="Arial" w:hAnsi="Arial" w:cs="Arial"/>
                <w:sz w:val="20"/>
              </w:rPr>
            </w:pPr>
            <w:r>
              <w:rPr>
                <w:rFonts w:ascii="Arial" w:hAnsi="Arial" w:cs="Arial"/>
                <w:sz w:val="20"/>
              </w:rPr>
              <w:t>34%</w:t>
            </w:r>
          </w:p>
          <w:p w14:paraId="402E2E36" w14:textId="22003B56" w:rsidR="007104B7" w:rsidRPr="00301088" w:rsidRDefault="007104B7" w:rsidP="007104B7">
            <w:pPr>
              <w:jc w:val="center"/>
              <w:rPr>
                <w:rFonts w:ascii="Arial" w:hAnsi="Arial" w:cs="Arial"/>
                <w:sz w:val="20"/>
                <w:szCs w:val="20"/>
              </w:rPr>
            </w:pPr>
            <w:r w:rsidRPr="00FF3118">
              <w:rPr>
                <w:rFonts w:ascii="Arial" w:hAnsi="Arial" w:cs="Arial"/>
                <w:sz w:val="16"/>
                <w:szCs w:val="16"/>
              </w:rPr>
              <w:t>(Fall 2016 cohort)</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1220A" w14:textId="77777777" w:rsidR="007104B7" w:rsidRDefault="007104B7" w:rsidP="007104B7">
            <w:pPr>
              <w:jc w:val="center"/>
              <w:rPr>
                <w:rFonts w:ascii="Arial" w:hAnsi="Arial" w:cs="Arial"/>
                <w:sz w:val="20"/>
              </w:rPr>
            </w:pPr>
            <w:r>
              <w:rPr>
                <w:rFonts w:ascii="Arial" w:hAnsi="Arial" w:cs="Arial"/>
                <w:sz w:val="20"/>
              </w:rPr>
              <w:t>35%</w:t>
            </w:r>
          </w:p>
          <w:p w14:paraId="46AFB6BE" w14:textId="26B3C4A2" w:rsidR="007104B7" w:rsidRPr="00301088" w:rsidRDefault="007104B7" w:rsidP="007104B7">
            <w:pPr>
              <w:jc w:val="center"/>
              <w:rPr>
                <w:rFonts w:ascii="Arial" w:hAnsi="Arial" w:cs="Arial"/>
                <w:sz w:val="20"/>
              </w:rPr>
            </w:pPr>
            <w:r>
              <w:rPr>
                <w:rFonts w:ascii="Arial" w:hAnsi="Arial" w:cs="Arial"/>
                <w:sz w:val="16"/>
                <w:szCs w:val="16"/>
              </w:rPr>
              <w:t xml:space="preserve"> (Fall 2017</w:t>
            </w:r>
            <w:r w:rsidRPr="00FF3118">
              <w:rPr>
                <w:rFonts w:ascii="Arial" w:hAnsi="Arial" w:cs="Arial"/>
                <w:sz w:val="16"/>
                <w:szCs w:val="16"/>
              </w:rPr>
              <w:t xml:space="preserve"> cohort)</w:t>
            </w:r>
          </w:p>
        </w:tc>
        <w:tc>
          <w:tcPr>
            <w:tcW w:w="13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8B3D03" w14:textId="77777777" w:rsidR="007104B7" w:rsidRDefault="007104B7" w:rsidP="007104B7">
            <w:pPr>
              <w:jc w:val="center"/>
              <w:rPr>
                <w:rFonts w:ascii="Arial" w:hAnsi="Arial" w:cs="Arial"/>
                <w:sz w:val="20"/>
              </w:rPr>
            </w:pPr>
            <w:r>
              <w:rPr>
                <w:rFonts w:ascii="Arial" w:hAnsi="Arial" w:cs="Arial"/>
                <w:sz w:val="20"/>
              </w:rPr>
              <w:t>35%</w:t>
            </w:r>
          </w:p>
          <w:p w14:paraId="5E026ACB" w14:textId="4DB084D7" w:rsidR="007104B7" w:rsidRPr="00301088" w:rsidRDefault="007104B7" w:rsidP="007104B7">
            <w:pPr>
              <w:jc w:val="center"/>
              <w:rPr>
                <w:rFonts w:ascii="Arial" w:hAnsi="Arial" w:cs="Arial"/>
                <w:sz w:val="20"/>
              </w:rPr>
            </w:pPr>
            <w:r>
              <w:rPr>
                <w:rFonts w:ascii="Arial" w:hAnsi="Arial" w:cs="Arial"/>
                <w:sz w:val="16"/>
                <w:szCs w:val="16"/>
              </w:rPr>
              <w:t xml:space="preserve"> (Fall 2018</w:t>
            </w:r>
            <w:r w:rsidRPr="00FF3118">
              <w:rPr>
                <w:rFonts w:ascii="Arial" w:hAnsi="Arial" w:cs="Arial"/>
                <w:sz w:val="16"/>
                <w:szCs w:val="16"/>
              </w:rPr>
              <w:t xml:space="preserve"> cohort)</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C7CA6F" w14:textId="07E50367" w:rsidR="007104B7" w:rsidRPr="00FF3118" w:rsidRDefault="007104B7" w:rsidP="007104B7">
            <w:pPr>
              <w:jc w:val="center"/>
              <w:rPr>
                <w:rFonts w:ascii="Arial" w:hAnsi="Arial" w:cs="Arial"/>
                <w:sz w:val="16"/>
                <w:szCs w:val="16"/>
              </w:rPr>
            </w:pPr>
            <w:r>
              <w:rPr>
                <w:rFonts w:ascii="Arial" w:hAnsi="Arial" w:cs="Arial"/>
                <w:sz w:val="16"/>
                <w:szCs w:val="16"/>
              </w:rPr>
              <w:t>---------</w:t>
            </w: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ADD241" w14:textId="5C373657" w:rsidR="007104B7" w:rsidRPr="008D40AD" w:rsidRDefault="007104B7" w:rsidP="007104B7">
            <w:pPr>
              <w:jc w:val="center"/>
              <w:rPr>
                <w:rFonts w:ascii="Arial" w:hAnsi="Arial" w:cs="Arial"/>
                <w:sz w:val="20"/>
                <w:szCs w:val="20"/>
              </w:rPr>
            </w:pPr>
          </w:p>
        </w:tc>
      </w:tr>
      <w:tr w:rsidR="007104B7" w:rsidRPr="00301088" w14:paraId="4B03F31E" w14:textId="2230737D" w:rsidTr="0096682B">
        <w:trPr>
          <w:cantSplit/>
          <w:trHeight w:val="288"/>
        </w:trPr>
        <w:tc>
          <w:tcPr>
            <w:tcW w:w="3925" w:type="dxa"/>
            <w:vMerge/>
            <w:tcBorders>
              <w:top w:val="single" w:sz="4" w:space="0" w:color="auto"/>
              <w:left w:val="single" w:sz="4" w:space="0" w:color="auto"/>
              <w:bottom w:val="single" w:sz="4" w:space="0" w:color="auto"/>
              <w:right w:val="single" w:sz="4" w:space="0" w:color="auto"/>
            </w:tcBorders>
            <w:vAlign w:val="center"/>
            <w:hideMark/>
          </w:tcPr>
          <w:p w14:paraId="6EF99872" w14:textId="77777777" w:rsidR="007104B7" w:rsidRPr="00A15D50" w:rsidRDefault="007104B7" w:rsidP="007104B7">
            <w:pPr>
              <w:pStyle w:val="ListParagraph"/>
              <w:numPr>
                <w:ilvl w:val="0"/>
                <w:numId w:val="4"/>
              </w:numPr>
              <w:rPr>
                <w:rFonts w:ascii="Arial" w:hAnsi="Arial" w:cs="Arial"/>
                <w:bCs/>
                <w:sz w:val="20"/>
                <w:szCs w:val="20"/>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5A3C3B" w14:textId="77777777" w:rsidR="007104B7" w:rsidRPr="00301088" w:rsidRDefault="007104B7" w:rsidP="007104B7">
            <w:pPr>
              <w:jc w:val="center"/>
              <w:rPr>
                <w:rFonts w:ascii="Arial" w:hAnsi="Arial" w:cs="Arial"/>
                <w:sz w:val="20"/>
              </w:rPr>
            </w:pPr>
            <w:r>
              <w:rPr>
                <w:rFonts w:ascii="Arial" w:hAnsi="Arial" w:cs="Arial"/>
                <w:i/>
                <w:sz w:val="16"/>
                <w:szCs w:val="16"/>
              </w:rPr>
              <w:t>target</w:t>
            </w:r>
          </w:p>
        </w:tc>
        <w:tc>
          <w:tcPr>
            <w:tcW w:w="9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59626" w14:textId="223DD19A" w:rsidR="007104B7" w:rsidRPr="00301088" w:rsidRDefault="007104B7" w:rsidP="007104B7">
            <w:pPr>
              <w:jc w:val="center"/>
              <w:rPr>
                <w:rFonts w:ascii="Arial" w:hAnsi="Arial" w:cs="Arial"/>
                <w:i/>
                <w:sz w:val="16"/>
                <w:szCs w:val="16"/>
              </w:rPr>
            </w:pPr>
            <w:r>
              <w:rPr>
                <w:rFonts w:ascii="Arial" w:hAnsi="Arial" w:cs="Arial"/>
                <w:i/>
                <w:sz w:val="16"/>
                <w:szCs w:val="16"/>
              </w:rPr>
              <w:t>35%</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E0D3E" w14:textId="389EC282" w:rsidR="007104B7" w:rsidRPr="00301088" w:rsidRDefault="007104B7" w:rsidP="007104B7">
            <w:pPr>
              <w:jc w:val="center"/>
              <w:rPr>
                <w:rFonts w:ascii="Arial" w:hAnsi="Arial" w:cs="Arial"/>
                <w:i/>
                <w:sz w:val="16"/>
                <w:szCs w:val="16"/>
              </w:rPr>
            </w:pPr>
            <w:r>
              <w:rPr>
                <w:rFonts w:ascii="Arial" w:hAnsi="Arial" w:cs="Arial"/>
                <w:i/>
                <w:sz w:val="16"/>
                <w:szCs w:val="16"/>
              </w:rPr>
              <w:t>39</w:t>
            </w:r>
            <w:r w:rsidRPr="0093476D">
              <w:rPr>
                <w:rFonts w:ascii="Arial" w:hAnsi="Arial" w:cs="Arial"/>
                <w:i/>
                <w:sz w:val="16"/>
                <w:szCs w:val="16"/>
              </w:rPr>
              <w:t>%</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ECA69" w14:textId="3D98CC98" w:rsidR="007104B7" w:rsidRPr="00301088" w:rsidRDefault="007104B7" w:rsidP="007104B7">
            <w:pPr>
              <w:jc w:val="center"/>
              <w:rPr>
                <w:rFonts w:ascii="Arial" w:hAnsi="Arial" w:cs="Arial"/>
                <w:i/>
                <w:sz w:val="16"/>
                <w:szCs w:val="16"/>
              </w:rPr>
            </w:pPr>
            <w:r>
              <w:rPr>
                <w:rFonts w:ascii="Arial" w:hAnsi="Arial" w:cs="Arial"/>
                <w:i/>
                <w:sz w:val="16"/>
                <w:szCs w:val="16"/>
              </w:rPr>
              <w:t>39</w:t>
            </w:r>
            <w:r w:rsidRPr="0093476D">
              <w:rPr>
                <w:rFonts w:ascii="Arial" w:hAnsi="Arial" w:cs="Arial"/>
                <w:i/>
                <w:sz w:val="16"/>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7CB2C" w14:textId="29EDB51E" w:rsidR="007104B7" w:rsidRPr="00301088" w:rsidRDefault="007104B7" w:rsidP="007104B7">
            <w:pPr>
              <w:jc w:val="center"/>
              <w:rPr>
                <w:rFonts w:ascii="Arial" w:hAnsi="Arial" w:cs="Arial"/>
                <w:i/>
                <w:sz w:val="16"/>
                <w:szCs w:val="16"/>
              </w:rPr>
            </w:pPr>
            <w:r>
              <w:rPr>
                <w:rFonts w:ascii="Arial" w:hAnsi="Arial" w:cs="Arial"/>
                <w:i/>
                <w:sz w:val="16"/>
                <w:szCs w:val="16"/>
              </w:rPr>
              <w:t>37</w:t>
            </w:r>
            <w:r w:rsidRPr="006D0ED1">
              <w:rPr>
                <w:rFonts w:ascii="Arial" w:hAnsi="Arial" w:cs="Arial"/>
                <w:i/>
                <w:sz w:val="16"/>
                <w:szCs w:val="16"/>
              </w:rPr>
              <w:t>%</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A5D8E" w14:textId="52435547" w:rsidR="007104B7" w:rsidRPr="008D40AD" w:rsidRDefault="007104B7" w:rsidP="007104B7">
            <w:pPr>
              <w:jc w:val="center"/>
              <w:rPr>
                <w:rFonts w:ascii="Arial" w:hAnsi="Arial" w:cs="Arial"/>
                <w:sz w:val="20"/>
                <w:szCs w:val="20"/>
              </w:rPr>
            </w:pPr>
          </w:p>
        </w:tc>
      </w:tr>
      <w:tr w:rsidR="007104B7" w:rsidRPr="00301088" w14:paraId="09AB6617" w14:textId="0ACACC89" w:rsidTr="0096682B">
        <w:trPr>
          <w:cantSplit/>
          <w:trHeight w:val="692"/>
        </w:trPr>
        <w:tc>
          <w:tcPr>
            <w:tcW w:w="3925" w:type="dxa"/>
            <w:vMerge w:val="restart"/>
            <w:tcBorders>
              <w:top w:val="single" w:sz="4" w:space="0" w:color="auto"/>
              <w:left w:val="single" w:sz="4" w:space="0" w:color="auto"/>
              <w:bottom w:val="single" w:sz="4" w:space="0" w:color="auto"/>
              <w:right w:val="single" w:sz="4" w:space="0" w:color="auto"/>
            </w:tcBorders>
            <w:hideMark/>
          </w:tcPr>
          <w:p w14:paraId="2781AEEE" w14:textId="1B0CDA7E" w:rsidR="007104B7" w:rsidRPr="00B42DEC" w:rsidRDefault="007104B7" w:rsidP="007104B7">
            <w:pPr>
              <w:rPr>
                <w:rFonts w:ascii="Arial" w:hAnsi="Arial" w:cs="Arial"/>
                <w:bCs/>
                <w:sz w:val="20"/>
              </w:rPr>
            </w:pPr>
            <w:r>
              <w:br w:type="page"/>
            </w:r>
            <w:r>
              <w:rPr>
                <w:rFonts w:ascii="Arial" w:hAnsi="Arial" w:cs="Arial"/>
                <w:b/>
                <w:sz w:val="20"/>
                <w:szCs w:val="20"/>
              </w:rPr>
              <w:t xml:space="preserve">6. </w:t>
            </w:r>
            <w:r w:rsidRPr="00606B45">
              <w:rPr>
                <w:rFonts w:ascii="Arial" w:hAnsi="Arial" w:cs="Arial"/>
                <w:color w:val="000000"/>
                <w:sz w:val="20"/>
                <w:szCs w:val="20"/>
              </w:rPr>
              <w:t>Guided Pathways VII - Percent of first-time, full-time freshmen graduating within 100% of time.</w:t>
            </w:r>
            <w:r>
              <w:rPr>
                <w:rFonts w:ascii="Helvetica" w:hAnsi="Helvetica" w:cs="Helvetica"/>
                <w:color w:val="000000"/>
                <w:sz w:val="20"/>
                <w:szCs w:val="20"/>
              </w:rPr>
              <w:t xml:space="preserve"> (FY 2027 = 30</w:t>
            </w:r>
            <w:proofErr w:type="gramStart"/>
            <w:r>
              <w:rPr>
                <w:rFonts w:ascii="Helvetica" w:hAnsi="Helvetica" w:cs="Helvetica"/>
                <w:color w:val="000000"/>
                <w:sz w:val="20"/>
                <w:szCs w:val="20"/>
              </w:rPr>
              <w:t>%)</w:t>
            </w:r>
            <w:r>
              <w:rPr>
                <w:rFonts w:ascii="Arial" w:hAnsi="Arial" w:cs="Arial"/>
                <w:sz w:val="20"/>
                <w:szCs w:val="20"/>
                <w:vertAlign w:val="superscript"/>
              </w:rPr>
              <w:t xml:space="preserve"> </w:t>
            </w:r>
            <w:r w:rsidRPr="00B42DEC">
              <w:rPr>
                <w:rFonts w:ascii="Arial" w:hAnsi="Arial" w:cs="Arial"/>
                <w:sz w:val="22"/>
                <w:szCs w:val="22"/>
                <w:vertAlign w:val="superscript"/>
              </w:rPr>
              <w:t xml:space="preserve"> </w:t>
            </w:r>
            <w:r>
              <w:rPr>
                <w:rFonts w:ascii="Arial" w:hAnsi="Arial" w:cs="Arial"/>
                <w:sz w:val="22"/>
                <w:szCs w:val="22"/>
                <w:vertAlign w:val="superscript"/>
              </w:rPr>
              <w:t xml:space="preserve"> </w:t>
            </w:r>
            <w:proofErr w:type="gramEnd"/>
            <w:r>
              <w:rPr>
                <w:rFonts w:ascii="Arial" w:hAnsi="Arial" w:cs="Arial"/>
                <w:sz w:val="20"/>
                <w:szCs w:val="20"/>
                <w:vertAlign w:val="superscript"/>
              </w:rPr>
              <w:t>5</w:t>
            </w:r>
            <w:r w:rsidRPr="00B42DEC">
              <w:rPr>
                <w:rFonts w:ascii="Arial" w:hAnsi="Arial" w:cs="Arial"/>
                <w:sz w:val="22"/>
                <w:szCs w:val="22"/>
                <w:vertAlign w:val="superscript"/>
              </w:rPr>
              <w:t xml:space="preserve"> (SBOE system-wide Strategic Plan Measure)</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20A8FE" w14:textId="77777777" w:rsidR="007104B7" w:rsidRPr="00301088" w:rsidRDefault="007104B7" w:rsidP="007104B7">
            <w:pPr>
              <w:jc w:val="center"/>
              <w:rPr>
                <w:rFonts w:ascii="Arial" w:hAnsi="Arial" w:cs="Arial"/>
                <w:sz w:val="20"/>
              </w:rPr>
            </w:pPr>
            <w:r w:rsidRPr="00301088">
              <w:rPr>
                <w:rFonts w:ascii="Arial" w:hAnsi="Arial" w:cs="Arial"/>
                <w:sz w:val="20"/>
              </w:rPr>
              <w:t>actual</w:t>
            </w:r>
          </w:p>
        </w:tc>
        <w:tc>
          <w:tcPr>
            <w:tcW w:w="9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1B383D" w14:textId="77777777" w:rsidR="007104B7" w:rsidRDefault="007104B7" w:rsidP="007104B7">
            <w:pPr>
              <w:jc w:val="center"/>
              <w:rPr>
                <w:rFonts w:ascii="Arial" w:hAnsi="Arial" w:cs="Arial"/>
                <w:sz w:val="20"/>
              </w:rPr>
            </w:pPr>
            <w:r>
              <w:rPr>
                <w:rFonts w:ascii="Arial" w:hAnsi="Arial" w:cs="Arial"/>
                <w:sz w:val="20"/>
              </w:rPr>
              <w:t>20%</w:t>
            </w:r>
          </w:p>
          <w:p w14:paraId="40FFEB85" w14:textId="0D496F67" w:rsidR="007104B7" w:rsidRPr="00301088" w:rsidRDefault="007104B7" w:rsidP="007104B7">
            <w:pPr>
              <w:jc w:val="center"/>
              <w:rPr>
                <w:rFonts w:ascii="Arial" w:hAnsi="Arial" w:cs="Arial"/>
                <w:sz w:val="20"/>
                <w:szCs w:val="20"/>
              </w:rPr>
            </w:pPr>
            <w:r>
              <w:rPr>
                <w:rFonts w:ascii="Arial" w:hAnsi="Arial" w:cs="Arial"/>
                <w:sz w:val="16"/>
                <w:szCs w:val="16"/>
              </w:rPr>
              <w:t>(Fall 2018</w:t>
            </w:r>
            <w:r w:rsidRPr="00FF3118">
              <w:rPr>
                <w:rFonts w:ascii="Arial" w:hAnsi="Arial" w:cs="Arial"/>
                <w:sz w:val="16"/>
                <w:szCs w:val="16"/>
              </w:rPr>
              <w:t xml:space="preserve"> cohort)</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4383FB" w14:textId="77777777" w:rsidR="007104B7" w:rsidRDefault="007104B7" w:rsidP="007104B7">
            <w:pPr>
              <w:jc w:val="center"/>
              <w:rPr>
                <w:rFonts w:ascii="Arial" w:hAnsi="Arial" w:cs="Arial"/>
                <w:sz w:val="20"/>
              </w:rPr>
            </w:pPr>
            <w:r>
              <w:rPr>
                <w:rFonts w:ascii="Arial" w:hAnsi="Arial" w:cs="Arial"/>
                <w:sz w:val="20"/>
              </w:rPr>
              <w:t>22%</w:t>
            </w:r>
          </w:p>
          <w:p w14:paraId="34FB1F97" w14:textId="1A2B0B8D" w:rsidR="007104B7" w:rsidRPr="00301088" w:rsidRDefault="007104B7" w:rsidP="007104B7">
            <w:pPr>
              <w:jc w:val="center"/>
              <w:rPr>
                <w:rFonts w:ascii="Arial" w:hAnsi="Arial" w:cs="Arial"/>
                <w:sz w:val="20"/>
                <w:szCs w:val="20"/>
              </w:rPr>
            </w:pPr>
            <w:r w:rsidRPr="00AB2890">
              <w:rPr>
                <w:rFonts w:ascii="Arial" w:hAnsi="Arial" w:cs="Arial"/>
                <w:sz w:val="16"/>
                <w:szCs w:val="16"/>
              </w:rPr>
              <w:t>(Fall 2019 cohort)</w:t>
            </w:r>
          </w:p>
        </w:tc>
        <w:tc>
          <w:tcPr>
            <w:tcW w:w="13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66F220" w14:textId="77777777" w:rsidR="007104B7" w:rsidRDefault="007104B7" w:rsidP="007104B7">
            <w:pPr>
              <w:jc w:val="center"/>
              <w:rPr>
                <w:rFonts w:ascii="Arial" w:hAnsi="Arial" w:cs="Arial"/>
                <w:sz w:val="20"/>
              </w:rPr>
            </w:pPr>
            <w:r>
              <w:rPr>
                <w:rFonts w:ascii="Arial" w:hAnsi="Arial" w:cs="Arial"/>
                <w:sz w:val="20"/>
              </w:rPr>
              <w:t>24%</w:t>
            </w:r>
          </w:p>
          <w:p w14:paraId="20F7A844" w14:textId="08635732" w:rsidR="007104B7" w:rsidRPr="00301088" w:rsidRDefault="007104B7" w:rsidP="007104B7">
            <w:pPr>
              <w:jc w:val="center"/>
              <w:rPr>
                <w:rFonts w:ascii="Arial" w:hAnsi="Arial" w:cs="Arial"/>
                <w:sz w:val="20"/>
              </w:rPr>
            </w:pPr>
            <w:r>
              <w:rPr>
                <w:rFonts w:ascii="Arial" w:hAnsi="Arial" w:cs="Arial"/>
                <w:sz w:val="16"/>
                <w:szCs w:val="16"/>
              </w:rPr>
              <w:t>(Fall 2020</w:t>
            </w:r>
            <w:r w:rsidRPr="00AB2890">
              <w:rPr>
                <w:rFonts w:ascii="Arial" w:hAnsi="Arial" w:cs="Arial"/>
                <w:sz w:val="16"/>
                <w:szCs w:val="16"/>
              </w:rPr>
              <w:t xml:space="preserve"> cohort)</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FF0C52" w14:textId="6614DB07" w:rsidR="007104B7" w:rsidRPr="00301088" w:rsidRDefault="007104B7" w:rsidP="007104B7">
            <w:pPr>
              <w:jc w:val="center"/>
              <w:rPr>
                <w:rFonts w:ascii="Arial" w:hAnsi="Arial" w:cs="Arial"/>
                <w:sz w:val="20"/>
              </w:rPr>
            </w:pPr>
            <w:r>
              <w:rPr>
                <w:rFonts w:ascii="Arial" w:hAnsi="Arial" w:cs="Arial"/>
                <w:sz w:val="16"/>
                <w:szCs w:val="16"/>
              </w:rPr>
              <w:t>---------</w:t>
            </w: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889AE6" w14:textId="141E51A2" w:rsidR="007104B7" w:rsidRPr="00AB2890" w:rsidRDefault="007104B7" w:rsidP="007104B7">
            <w:pPr>
              <w:jc w:val="center"/>
              <w:rPr>
                <w:rFonts w:ascii="Arial" w:hAnsi="Arial" w:cs="Arial"/>
                <w:sz w:val="18"/>
                <w:szCs w:val="18"/>
              </w:rPr>
            </w:pPr>
          </w:p>
        </w:tc>
      </w:tr>
      <w:tr w:rsidR="007104B7" w:rsidRPr="00301088" w14:paraId="1E922FFC" w14:textId="4BC951A9" w:rsidTr="0096682B">
        <w:trPr>
          <w:cantSplit/>
          <w:trHeight w:val="288"/>
        </w:trPr>
        <w:tc>
          <w:tcPr>
            <w:tcW w:w="3925" w:type="dxa"/>
            <w:vMerge/>
            <w:tcBorders>
              <w:top w:val="single" w:sz="4" w:space="0" w:color="auto"/>
              <w:left w:val="single" w:sz="4" w:space="0" w:color="auto"/>
              <w:bottom w:val="single" w:sz="4" w:space="0" w:color="auto"/>
              <w:right w:val="single" w:sz="4" w:space="0" w:color="auto"/>
            </w:tcBorders>
            <w:vAlign w:val="center"/>
            <w:hideMark/>
          </w:tcPr>
          <w:p w14:paraId="68C0CB56" w14:textId="77777777" w:rsidR="007104B7" w:rsidRPr="00A15D50" w:rsidRDefault="007104B7" w:rsidP="007104B7">
            <w:pPr>
              <w:pStyle w:val="ListParagraph"/>
              <w:numPr>
                <w:ilvl w:val="0"/>
                <w:numId w:val="4"/>
              </w:numPr>
              <w:rPr>
                <w:rFonts w:ascii="Arial" w:hAnsi="Arial" w:cs="Arial"/>
                <w:bCs/>
                <w:sz w:val="20"/>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459808" w14:textId="77777777" w:rsidR="007104B7" w:rsidRPr="00301088" w:rsidRDefault="007104B7" w:rsidP="007104B7">
            <w:pPr>
              <w:jc w:val="center"/>
              <w:rPr>
                <w:rFonts w:ascii="Arial" w:hAnsi="Arial" w:cs="Arial"/>
                <w:sz w:val="20"/>
              </w:rPr>
            </w:pPr>
            <w:r>
              <w:rPr>
                <w:rFonts w:ascii="Arial" w:hAnsi="Arial" w:cs="Arial"/>
                <w:i/>
                <w:sz w:val="16"/>
                <w:szCs w:val="16"/>
              </w:rPr>
              <w:t>target</w:t>
            </w:r>
          </w:p>
        </w:tc>
        <w:tc>
          <w:tcPr>
            <w:tcW w:w="9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63310" w14:textId="709143CD" w:rsidR="007104B7" w:rsidRPr="00301088" w:rsidRDefault="007104B7" w:rsidP="007104B7">
            <w:pPr>
              <w:jc w:val="center"/>
              <w:rPr>
                <w:rFonts w:ascii="Arial" w:hAnsi="Arial" w:cs="Arial"/>
                <w:i/>
                <w:sz w:val="16"/>
                <w:szCs w:val="16"/>
              </w:rPr>
            </w:pPr>
            <w:r>
              <w:rPr>
                <w:rFonts w:ascii="Arial" w:hAnsi="Arial" w:cs="Arial"/>
                <w:i/>
                <w:sz w:val="16"/>
                <w:szCs w:val="16"/>
              </w:rPr>
              <w:t>22%</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1C394" w14:textId="0FE30B8F" w:rsidR="007104B7" w:rsidRPr="00301088" w:rsidRDefault="007104B7" w:rsidP="007104B7">
            <w:pPr>
              <w:jc w:val="center"/>
              <w:rPr>
                <w:rFonts w:ascii="Arial" w:hAnsi="Arial" w:cs="Arial"/>
                <w:i/>
                <w:sz w:val="16"/>
                <w:szCs w:val="16"/>
              </w:rPr>
            </w:pPr>
            <w:r>
              <w:rPr>
                <w:rFonts w:ascii="Arial" w:hAnsi="Arial" w:cs="Arial"/>
                <w:i/>
                <w:sz w:val="16"/>
                <w:szCs w:val="16"/>
              </w:rPr>
              <w:t>24%</w:t>
            </w:r>
          </w:p>
        </w:tc>
        <w:tc>
          <w:tcPr>
            <w:tcW w:w="13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8EBA5" w14:textId="143F18A3" w:rsidR="007104B7" w:rsidRPr="00301088" w:rsidRDefault="007104B7" w:rsidP="007104B7">
            <w:pPr>
              <w:jc w:val="center"/>
              <w:rPr>
                <w:rFonts w:ascii="Arial" w:hAnsi="Arial" w:cs="Arial"/>
                <w:i/>
                <w:sz w:val="16"/>
                <w:szCs w:val="16"/>
              </w:rPr>
            </w:pPr>
            <w:r>
              <w:rPr>
                <w:rFonts w:ascii="Arial" w:hAnsi="Arial" w:cs="Arial"/>
                <w:i/>
                <w:sz w:val="16"/>
                <w:szCs w:val="16"/>
              </w:rPr>
              <w:t>24%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4DB7A" w14:textId="53A0D4B8" w:rsidR="007104B7" w:rsidRPr="00301088" w:rsidRDefault="007104B7" w:rsidP="007104B7">
            <w:pPr>
              <w:jc w:val="center"/>
              <w:rPr>
                <w:rFonts w:ascii="Arial" w:hAnsi="Arial" w:cs="Arial"/>
                <w:i/>
                <w:sz w:val="16"/>
                <w:szCs w:val="16"/>
              </w:rPr>
            </w:pPr>
            <w:r w:rsidRPr="006D0ED1">
              <w:rPr>
                <w:rFonts w:ascii="Arial" w:hAnsi="Arial" w:cs="Arial"/>
                <w:i/>
                <w:sz w:val="16"/>
                <w:szCs w:val="16"/>
              </w:rPr>
              <w:t>25</w:t>
            </w:r>
            <w:r>
              <w:rPr>
                <w:rFonts w:ascii="Arial" w:hAnsi="Arial" w:cs="Arial"/>
                <w:i/>
                <w:sz w:val="16"/>
                <w:szCs w:val="16"/>
              </w:rPr>
              <w:t>%</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4BC8D" w14:textId="64DAC99A" w:rsidR="007104B7" w:rsidRPr="008D40AD" w:rsidRDefault="007104B7" w:rsidP="007104B7">
            <w:pPr>
              <w:jc w:val="center"/>
              <w:rPr>
                <w:rFonts w:ascii="Arial" w:hAnsi="Arial" w:cs="Arial"/>
                <w:sz w:val="20"/>
                <w:szCs w:val="20"/>
              </w:rPr>
            </w:pPr>
          </w:p>
        </w:tc>
      </w:tr>
    </w:tbl>
    <w:p w14:paraId="37A9956C" w14:textId="77777777" w:rsidR="002C56EF" w:rsidRPr="00806763" w:rsidRDefault="002C56EF" w:rsidP="00967402">
      <w:pPr>
        <w:rPr>
          <w:rFonts w:ascii="Arial" w:hAnsi="Arial" w:cs="Arial"/>
          <w:b/>
          <w:bCs/>
          <w:sz w:val="16"/>
          <w:szCs w:val="16"/>
        </w:rPr>
      </w:pPr>
      <w:bookmarkStart w:id="2" w:name="OLE_LINK3"/>
      <w:bookmarkStart w:id="3" w:name="OLE_LINK4"/>
      <w:bookmarkStart w:id="4" w:name="OLE_LINK7"/>
    </w:p>
    <w:p w14:paraId="1F291194" w14:textId="77777777" w:rsidR="005403A1" w:rsidRDefault="005403A1" w:rsidP="005403A1">
      <w:pPr>
        <w:jc w:val="both"/>
      </w:pPr>
      <w:r>
        <w:rPr>
          <w:rFonts w:ascii="Arial" w:hAnsi="Arial" w:cs="Arial"/>
          <w:b/>
          <w:i/>
          <w:color w:val="000080"/>
          <w:sz w:val="28"/>
          <w:szCs w:val="28"/>
        </w:rPr>
        <w:t>Special Programs</w:t>
      </w:r>
      <w:r w:rsidRPr="009B739C">
        <w:t xml:space="preserve"> </w:t>
      </w:r>
    </w:p>
    <w:p w14:paraId="05942759" w14:textId="77777777" w:rsidR="005403A1" w:rsidRDefault="005403A1" w:rsidP="005403A1">
      <w:pPr>
        <w:jc w:val="both"/>
      </w:pPr>
    </w:p>
    <w:p w14:paraId="1FB626E0" w14:textId="69178AB6" w:rsidR="005403A1" w:rsidRDefault="00140989" w:rsidP="005403A1">
      <w:pPr>
        <w:jc w:val="both"/>
        <w:rPr>
          <w:rFonts w:ascii="Arial" w:hAnsi="Arial" w:cs="Arial"/>
          <w:b/>
          <w:i/>
          <w:color w:val="000080"/>
        </w:rPr>
      </w:pPr>
      <w:bookmarkStart w:id="5" w:name="_Hlk175321012"/>
      <w:r w:rsidRPr="00140989">
        <w:rPr>
          <w:rFonts w:ascii="Arial" w:hAnsi="Arial" w:cs="Arial"/>
          <w:b/>
          <w:bCs/>
          <w:i/>
          <w:color w:val="000080"/>
        </w:rPr>
        <w:t>Idaho Dental Education Program</w:t>
      </w:r>
    </w:p>
    <w:p w14:paraId="279C6D9C" w14:textId="77777777" w:rsidR="00D31E9F" w:rsidRDefault="00D31E9F" w:rsidP="005403A1">
      <w:pPr>
        <w:jc w:val="both"/>
        <w:rPr>
          <w:rFonts w:ascii="Arial" w:hAnsi="Arial" w:cs="Arial"/>
          <w:b/>
          <w:i/>
          <w:color w:val="000080"/>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3955"/>
        <w:gridCol w:w="810"/>
        <w:gridCol w:w="990"/>
        <w:gridCol w:w="900"/>
        <w:gridCol w:w="1350"/>
        <w:gridCol w:w="1080"/>
        <w:gridCol w:w="945"/>
      </w:tblGrid>
      <w:tr w:rsidR="007104B7" w14:paraId="55A8AC36" w14:textId="77777777" w:rsidTr="00BC46B5">
        <w:trPr>
          <w:tblHeader/>
        </w:trPr>
        <w:tc>
          <w:tcPr>
            <w:tcW w:w="4765" w:type="dxa"/>
            <w:gridSpan w:val="2"/>
            <w:tcBorders>
              <w:top w:val="single" w:sz="4" w:space="0" w:color="auto"/>
              <w:left w:val="single" w:sz="4" w:space="0" w:color="auto"/>
              <w:bottom w:val="single" w:sz="4" w:space="0" w:color="auto"/>
              <w:right w:val="single" w:sz="4" w:space="0" w:color="auto"/>
            </w:tcBorders>
            <w:shd w:val="clear" w:color="auto" w:fill="000080"/>
            <w:vAlign w:val="bottom"/>
            <w:hideMark/>
          </w:tcPr>
          <w:p w14:paraId="1328E6BE" w14:textId="77777777" w:rsidR="007104B7" w:rsidRDefault="007104B7" w:rsidP="007104B7">
            <w:pPr>
              <w:widowControl w:val="0"/>
              <w:contextualSpacing/>
              <w:mirrorIndents/>
              <w:jc w:val="center"/>
              <w:rPr>
                <w:rFonts w:ascii="Arial" w:hAnsi="Arial" w:cs="Arial"/>
                <w:b/>
                <w:bCs/>
                <w:color w:val="FFFFFF"/>
                <w:sz w:val="20"/>
              </w:rPr>
            </w:pPr>
            <w:r>
              <w:rPr>
                <w:rFonts w:ascii="Arial" w:hAnsi="Arial" w:cs="Arial"/>
                <w:b/>
                <w:bCs/>
                <w:color w:val="FFFFFF"/>
                <w:sz w:val="20"/>
              </w:rPr>
              <w:t>Performance Measure</w:t>
            </w:r>
          </w:p>
        </w:tc>
        <w:tc>
          <w:tcPr>
            <w:tcW w:w="990" w:type="dxa"/>
            <w:tcBorders>
              <w:top w:val="single" w:sz="4" w:space="0" w:color="auto"/>
              <w:left w:val="single" w:sz="4" w:space="0" w:color="auto"/>
              <w:bottom w:val="single" w:sz="4" w:space="0" w:color="auto"/>
              <w:right w:val="single" w:sz="4" w:space="0" w:color="auto"/>
            </w:tcBorders>
            <w:shd w:val="clear" w:color="auto" w:fill="000080"/>
            <w:vAlign w:val="bottom"/>
          </w:tcPr>
          <w:p w14:paraId="2328B5EE" w14:textId="48E76CB6" w:rsidR="007104B7" w:rsidRDefault="007104B7" w:rsidP="007104B7">
            <w:pPr>
              <w:widowControl w:val="0"/>
              <w:contextualSpacing/>
              <w:mirrorIndents/>
              <w:jc w:val="center"/>
              <w:rPr>
                <w:rFonts w:ascii="Arial" w:hAnsi="Arial" w:cs="Arial"/>
                <w:b/>
                <w:bCs/>
                <w:color w:val="FFFFFF"/>
                <w:sz w:val="20"/>
              </w:rPr>
            </w:pPr>
            <w:r>
              <w:rPr>
                <w:rFonts w:ascii="Arial" w:hAnsi="Arial" w:cs="Arial"/>
                <w:b/>
                <w:bCs/>
                <w:color w:val="FFFFFF"/>
                <w:sz w:val="20"/>
                <w:szCs w:val="20"/>
              </w:rPr>
              <w:t>FY 2022</w:t>
            </w:r>
          </w:p>
        </w:tc>
        <w:tc>
          <w:tcPr>
            <w:tcW w:w="900" w:type="dxa"/>
            <w:tcBorders>
              <w:top w:val="single" w:sz="4" w:space="0" w:color="auto"/>
              <w:left w:val="single" w:sz="4" w:space="0" w:color="auto"/>
              <w:bottom w:val="single" w:sz="4" w:space="0" w:color="auto"/>
              <w:right w:val="single" w:sz="4" w:space="0" w:color="auto"/>
            </w:tcBorders>
            <w:shd w:val="clear" w:color="auto" w:fill="000080"/>
            <w:vAlign w:val="bottom"/>
          </w:tcPr>
          <w:p w14:paraId="6BD83A0F" w14:textId="1BB461D2" w:rsidR="007104B7" w:rsidRDefault="007104B7" w:rsidP="007104B7">
            <w:pPr>
              <w:widowControl w:val="0"/>
              <w:contextualSpacing/>
              <w:mirrorIndents/>
              <w:jc w:val="center"/>
              <w:rPr>
                <w:rFonts w:ascii="Arial" w:hAnsi="Arial" w:cs="Arial"/>
                <w:b/>
                <w:bCs/>
                <w:color w:val="FFFFFF"/>
                <w:sz w:val="20"/>
              </w:rPr>
            </w:pPr>
            <w:r>
              <w:rPr>
                <w:rFonts w:ascii="Arial" w:hAnsi="Arial" w:cs="Arial"/>
                <w:b/>
                <w:bCs/>
                <w:color w:val="FFFFFF"/>
                <w:sz w:val="20"/>
                <w:szCs w:val="20"/>
              </w:rPr>
              <w:t>FY 2023</w:t>
            </w:r>
          </w:p>
        </w:tc>
        <w:tc>
          <w:tcPr>
            <w:tcW w:w="1350" w:type="dxa"/>
            <w:tcBorders>
              <w:top w:val="single" w:sz="4" w:space="0" w:color="auto"/>
              <w:left w:val="single" w:sz="4" w:space="0" w:color="auto"/>
              <w:bottom w:val="single" w:sz="4" w:space="0" w:color="auto"/>
              <w:right w:val="single" w:sz="4" w:space="0" w:color="auto"/>
            </w:tcBorders>
            <w:shd w:val="clear" w:color="auto" w:fill="000080"/>
            <w:vAlign w:val="bottom"/>
          </w:tcPr>
          <w:p w14:paraId="6138400B" w14:textId="58A34186" w:rsidR="007104B7" w:rsidRDefault="007104B7" w:rsidP="007104B7">
            <w:pPr>
              <w:widowControl w:val="0"/>
              <w:contextualSpacing/>
              <w:mirrorIndents/>
              <w:jc w:val="center"/>
              <w:rPr>
                <w:rFonts w:ascii="Arial" w:hAnsi="Arial" w:cs="Arial"/>
                <w:b/>
                <w:bCs/>
                <w:color w:val="FFFFFF"/>
                <w:sz w:val="20"/>
              </w:rPr>
            </w:pPr>
            <w:r>
              <w:rPr>
                <w:rFonts w:ascii="Arial" w:hAnsi="Arial" w:cs="Arial"/>
                <w:b/>
                <w:bCs/>
                <w:color w:val="FFFFFF"/>
                <w:sz w:val="20"/>
                <w:szCs w:val="20"/>
              </w:rPr>
              <w:t>FY 2024</w:t>
            </w:r>
          </w:p>
        </w:tc>
        <w:tc>
          <w:tcPr>
            <w:tcW w:w="1080" w:type="dxa"/>
            <w:tcBorders>
              <w:top w:val="single" w:sz="4" w:space="0" w:color="auto"/>
              <w:left w:val="single" w:sz="4" w:space="0" w:color="auto"/>
              <w:bottom w:val="single" w:sz="4" w:space="0" w:color="auto"/>
              <w:right w:val="single" w:sz="4" w:space="0" w:color="auto"/>
            </w:tcBorders>
            <w:shd w:val="clear" w:color="auto" w:fill="000080"/>
            <w:vAlign w:val="bottom"/>
          </w:tcPr>
          <w:p w14:paraId="45FDC3BB" w14:textId="77AD3DF3" w:rsidR="007104B7" w:rsidRDefault="007104B7" w:rsidP="007104B7">
            <w:pPr>
              <w:widowControl w:val="0"/>
              <w:contextualSpacing/>
              <w:mirrorIndents/>
              <w:jc w:val="center"/>
              <w:rPr>
                <w:rFonts w:ascii="Arial" w:hAnsi="Arial" w:cs="Arial"/>
                <w:b/>
                <w:bCs/>
                <w:color w:val="FFFFFF"/>
                <w:sz w:val="20"/>
              </w:rPr>
            </w:pPr>
            <w:r>
              <w:rPr>
                <w:rFonts w:ascii="Arial" w:hAnsi="Arial" w:cs="Arial"/>
                <w:b/>
                <w:bCs/>
                <w:color w:val="FFFFFF"/>
                <w:sz w:val="20"/>
                <w:szCs w:val="20"/>
              </w:rPr>
              <w:t>FY 2025</w:t>
            </w:r>
          </w:p>
        </w:tc>
        <w:tc>
          <w:tcPr>
            <w:tcW w:w="945" w:type="dxa"/>
            <w:tcBorders>
              <w:top w:val="single" w:sz="4" w:space="0" w:color="auto"/>
              <w:left w:val="single" w:sz="4" w:space="0" w:color="auto"/>
              <w:bottom w:val="single" w:sz="4" w:space="0" w:color="auto"/>
              <w:right w:val="single" w:sz="4" w:space="0" w:color="auto"/>
            </w:tcBorders>
            <w:shd w:val="clear" w:color="auto" w:fill="000080"/>
            <w:vAlign w:val="bottom"/>
          </w:tcPr>
          <w:p w14:paraId="334ABFB1" w14:textId="329A5EE5" w:rsidR="007104B7" w:rsidRDefault="007104B7" w:rsidP="007104B7">
            <w:pPr>
              <w:widowControl w:val="0"/>
              <w:contextualSpacing/>
              <w:mirrorIndents/>
              <w:jc w:val="center"/>
              <w:rPr>
                <w:rFonts w:ascii="Arial" w:hAnsi="Arial" w:cs="Arial"/>
                <w:b/>
                <w:bCs/>
                <w:color w:val="FFFFFF"/>
                <w:sz w:val="20"/>
              </w:rPr>
            </w:pPr>
            <w:r>
              <w:rPr>
                <w:rFonts w:ascii="Arial" w:hAnsi="Arial" w:cs="Arial"/>
                <w:b/>
                <w:bCs/>
                <w:color w:val="FFFFFF"/>
                <w:sz w:val="20"/>
                <w:szCs w:val="20"/>
              </w:rPr>
              <w:t>FY 2026</w:t>
            </w:r>
          </w:p>
        </w:tc>
      </w:tr>
      <w:tr w:rsidR="007104B7" w14:paraId="2B18C599" w14:textId="77777777" w:rsidTr="00F96484">
        <w:trPr>
          <w:trHeight w:val="323"/>
          <w:tblHeader/>
        </w:trPr>
        <w:tc>
          <w:tcPr>
            <w:tcW w:w="1003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2E37553" w14:textId="00B465B0" w:rsidR="007104B7" w:rsidRDefault="007104B7" w:rsidP="007104B7">
            <w:pPr>
              <w:widowControl w:val="0"/>
              <w:tabs>
                <w:tab w:val="center" w:pos="4957"/>
              </w:tabs>
              <w:ind w:left="-18"/>
              <w:contextualSpacing/>
              <w:mirrorIndents/>
              <w:jc w:val="center"/>
              <w:rPr>
                <w:rFonts w:ascii="Arial" w:hAnsi="Arial" w:cs="Arial"/>
                <w:b/>
                <w:sz w:val="20"/>
              </w:rPr>
            </w:pPr>
            <w:r w:rsidRPr="00C34FB7">
              <w:rPr>
                <w:rFonts w:ascii="Arial" w:hAnsi="Arial" w:cs="Arial"/>
                <w:b/>
                <w:sz w:val="20"/>
                <w:szCs w:val="20"/>
                <w:lang w:val="la-Latn"/>
              </w:rPr>
              <w:t xml:space="preserve">GOAL </w:t>
            </w:r>
            <w:r w:rsidRPr="00C34FB7">
              <w:rPr>
                <w:rFonts w:ascii="Arial" w:hAnsi="Arial" w:cs="Arial"/>
                <w:b/>
                <w:sz w:val="20"/>
                <w:szCs w:val="20"/>
              </w:rPr>
              <w:t xml:space="preserve">1:  </w:t>
            </w:r>
            <w:r w:rsidRPr="00140989">
              <w:rPr>
                <w:rFonts w:ascii="Arial" w:hAnsi="Arial" w:cs="Arial"/>
                <w:bCs/>
                <w:sz w:val="20"/>
                <w:szCs w:val="20"/>
              </w:rPr>
              <w:t>Provide access to a quality dental education for qualified Idaho residents</w:t>
            </w:r>
          </w:p>
        </w:tc>
      </w:tr>
      <w:tr w:rsidR="007104B7" w14:paraId="580194C4" w14:textId="77777777" w:rsidTr="00BC46B5">
        <w:trPr>
          <w:trHeight w:val="413"/>
          <w:tblHeader/>
        </w:trPr>
        <w:tc>
          <w:tcPr>
            <w:tcW w:w="3955" w:type="dxa"/>
            <w:vMerge w:val="restart"/>
            <w:tcBorders>
              <w:top w:val="single" w:sz="4" w:space="0" w:color="auto"/>
              <w:left w:val="single" w:sz="4" w:space="0" w:color="auto"/>
              <w:bottom w:val="single" w:sz="4" w:space="0" w:color="auto"/>
              <w:right w:val="single" w:sz="4" w:space="0" w:color="auto"/>
            </w:tcBorders>
            <w:hideMark/>
          </w:tcPr>
          <w:p w14:paraId="56231409" w14:textId="3D9A4D64" w:rsidR="007104B7" w:rsidRPr="00965EB8" w:rsidRDefault="007104B7" w:rsidP="007104B7">
            <w:pPr>
              <w:widowControl w:val="0"/>
              <w:contextualSpacing/>
              <w:mirrorIndents/>
              <w:rPr>
                <w:rFonts w:ascii="Arial" w:hAnsi="Arial" w:cs="Arial"/>
                <w:sz w:val="20"/>
              </w:rPr>
            </w:pPr>
            <w:r>
              <w:rPr>
                <w:rFonts w:ascii="Arial" w:hAnsi="Arial" w:cs="Arial"/>
                <w:b/>
                <w:bCs/>
                <w:sz w:val="20"/>
              </w:rPr>
              <w:t xml:space="preserve">7. </w:t>
            </w:r>
            <w:r w:rsidRPr="00140989">
              <w:rPr>
                <w:rFonts w:ascii="Arial" w:hAnsi="Arial" w:cs="Arial"/>
                <w:sz w:val="20"/>
              </w:rPr>
              <w:t>Contract for 4-year dental education for at least 8 Idaho residents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C4875F" w14:textId="77777777" w:rsidR="007104B7" w:rsidRDefault="007104B7" w:rsidP="007104B7">
            <w:pPr>
              <w:widowControl w:val="0"/>
              <w:contextualSpacing/>
              <w:mirrorIndents/>
              <w:jc w:val="center"/>
              <w:rPr>
                <w:rFonts w:ascii="Arial" w:hAnsi="Arial" w:cs="Arial"/>
                <w:sz w:val="20"/>
              </w:rPr>
            </w:pPr>
            <w:r>
              <w:rPr>
                <w:rFonts w:ascii="Arial" w:hAnsi="Arial" w:cs="Arial"/>
                <w:sz w:val="20"/>
              </w:rPr>
              <w:t>actual</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8A02C9" w14:textId="0AA32D57" w:rsidR="007104B7" w:rsidRPr="008C58FF" w:rsidRDefault="007104B7" w:rsidP="007104B7">
            <w:pPr>
              <w:widowControl w:val="0"/>
              <w:contextualSpacing/>
              <w:mirrorIndents/>
              <w:jc w:val="center"/>
              <w:rPr>
                <w:rFonts w:ascii="Arial" w:eastAsia="Arial Unicode MS" w:hAnsi="Arial" w:cs="Arial"/>
                <w:sz w:val="20"/>
                <w:szCs w:val="20"/>
              </w:rPr>
            </w:pPr>
            <w:r>
              <w:rPr>
                <w:rFonts w:ascii="Arial" w:eastAsia="Arial Unicode MS" w:hAnsi="Arial" w:cs="Arial"/>
                <w:sz w:val="20"/>
                <w:szCs w:val="20"/>
              </w:rPr>
              <w:t>8</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998022" w14:textId="310F225F" w:rsidR="007104B7" w:rsidRPr="00AD6812" w:rsidRDefault="007104B7" w:rsidP="007104B7">
            <w:pPr>
              <w:widowControl w:val="0"/>
              <w:contextualSpacing/>
              <w:mirrorIndents/>
              <w:jc w:val="center"/>
              <w:rPr>
                <w:rFonts w:ascii="Arial" w:eastAsia="Arial Unicode MS" w:hAnsi="Arial" w:cs="Arial"/>
                <w:sz w:val="20"/>
                <w:szCs w:val="20"/>
              </w:rPr>
            </w:pPr>
            <w:r>
              <w:rPr>
                <w:rFonts w:ascii="Arial" w:eastAsia="Arial Unicode MS" w:hAnsi="Arial" w:cs="Arial"/>
                <w:sz w:val="20"/>
                <w:szCs w:val="20"/>
              </w:rPr>
              <w:t>8</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D56B27" w14:textId="2CA66018" w:rsidR="007104B7" w:rsidRPr="00417FFB" w:rsidRDefault="007104B7" w:rsidP="007104B7">
            <w:pPr>
              <w:widowControl w:val="0"/>
              <w:contextualSpacing/>
              <w:mirrorIndents/>
              <w:jc w:val="center"/>
              <w:rPr>
                <w:rFonts w:ascii="Arial" w:eastAsia="Arial Unicode MS" w:hAnsi="Arial" w:cs="Arial"/>
                <w:sz w:val="20"/>
                <w:szCs w:val="20"/>
              </w:rPr>
            </w:pPr>
            <w:r>
              <w:rPr>
                <w:rFonts w:ascii="Arial" w:eastAsia="Arial Unicode MS" w:hAnsi="Arial" w:cs="Arial"/>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7C6B18" w14:textId="024ED48B" w:rsidR="007104B7" w:rsidRPr="00AD6812" w:rsidRDefault="007104B7" w:rsidP="007104B7">
            <w:pPr>
              <w:widowControl w:val="0"/>
              <w:contextualSpacing/>
              <w:mirrorIndents/>
              <w:jc w:val="center"/>
              <w:rPr>
                <w:rFonts w:ascii="Arial" w:eastAsia="Arial Unicode MS" w:hAnsi="Arial" w:cs="Arial"/>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254CD6" w14:textId="77777777" w:rsidR="007104B7" w:rsidRDefault="007104B7" w:rsidP="007104B7">
            <w:pPr>
              <w:widowControl w:val="0"/>
              <w:contextualSpacing/>
              <w:mirrorIndents/>
              <w:jc w:val="center"/>
              <w:rPr>
                <w:rFonts w:ascii="Arial" w:hAnsi="Arial" w:cs="Arial"/>
                <w:sz w:val="20"/>
              </w:rPr>
            </w:pPr>
          </w:p>
        </w:tc>
      </w:tr>
      <w:tr w:rsidR="007104B7" w14:paraId="7F11BD8C" w14:textId="77777777" w:rsidTr="00BC46B5">
        <w:trPr>
          <w:trHeight w:val="557"/>
          <w:tblHeader/>
        </w:trPr>
        <w:tc>
          <w:tcPr>
            <w:tcW w:w="3955" w:type="dxa"/>
            <w:vMerge/>
            <w:tcBorders>
              <w:top w:val="single" w:sz="4" w:space="0" w:color="auto"/>
              <w:left w:val="single" w:sz="4" w:space="0" w:color="auto"/>
              <w:bottom w:val="single" w:sz="4" w:space="0" w:color="auto"/>
              <w:right w:val="single" w:sz="4" w:space="0" w:color="auto"/>
            </w:tcBorders>
            <w:vAlign w:val="center"/>
            <w:hideMark/>
          </w:tcPr>
          <w:p w14:paraId="4FB51A0A" w14:textId="77777777" w:rsidR="007104B7" w:rsidRPr="005B017D" w:rsidRDefault="007104B7" w:rsidP="007104B7">
            <w:pPr>
              <w:pStyle w:val="ListParagraph"/>
              <w:widowControl w:val="0"/>
              <w:numPr>
                <w:ilvl w:val="0"/>
                <w:numId w:val="17"/>
              </w:numPr>
              <w:ind w:left="342"/>
              <w:mirrorIndents/>
              <w:rPr>
                <w:rFonts w:ascii="Arial" w:hAnsi="Arial" w:cs="Arial"/>
                <w:bCs/>
                <w:sz w:val="20"/>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B4CE9E" w14:textId="77777777" w:rsidR="007104B7" w:rsidRDefault="007104B7" w:rsidP="007104B7">
            <w:pPr>
              <w:widowControl w:val="0"/>
              <w:contextualSpacing/>
              <w:mirrorIndents/>
              <w:jc w:val="center"/>
              <w:rPr>
                <w:rFonts w:ascii="Arial" w:hAnsi="Arial" w:cs="Arial"/>
                <w:sz w:val="20"/>
              </w:rPr>
            </w:pPr>
            <w:r>
              <w:rPr>
                <w:rFonts w:ascii="Arial" w:hAnsi="Arial" w:cs="Arial"/>
                <w:i/>
                <w:sz w:val="16"/>
                <w:szCs w:val="16"/>
              </w:rPr>
              <w:t>target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676D33" w14:textId="60EB7343" w:rsidR="007104B7" w:rsidRPr="00855E1F" w:rsidRDefault="007104B7" w:rsidP="007104B7">
            <w:pPr>
              <w:widowControl w:val="0"/>
              <w:contextualSpacing/>
              <w:mirrorIndents/>
              <w:jc w:val="center"/>
              <w:rPr>
                <w:rFonts w:ascii="Arial" w:hAnsi="Arial" w:cs="Arial"/>
                <w:i/>
                <w:iCs/>
                <w:sz w:val="16"/>
                <w:szCs w:val="16"/>
              </w:rPr>
            </w:pPr>
            <w:r w:rsidRPr="00855E1F">
              <w:rPr>
                <w:rFonts w:ascii="Arial" w:eastAsia="Arial Unicode MS" w:hAnsi="Arial" w:cs="Arial"/>
                <w:i/>
                <w:iCs/>
                <w:sz w:val="16"/>
                <w:szCs w:val="16"/>
              </w:rPr>
              <w:t>≥8</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50349" w14:textId="43B1C15C" w:rsidR="007104B7" w:rsidRPr="00855E1F" w:rsidRDefault="007104B7" w:rsidP="007104B7">
            <w:pPr>
              <w:widowControl w:val="0"/>
              <w:contextualSpacing/>
              <w:mirrorIndents/>
              <w:jc w:val="center"/>
              <w:rPr>
                <w:rFonts w:ascii="Arial" w:hAnsi="Arial" w:cs="Arial"/>
                <w:i/>
                <w:iCs/>
                <w:sz w:val="16"/>
                <w:szCs w:val="16"/>
              </w:rPr>
            </w:pPr>
            <w:r w:rsidRPr="00855E1F">
              <w:rPr>
                <w:rFonts w:ascii="Arial" w:eastAsia="Arial Unicode MS" w:hAnsi="Arial" w:cs="Arial"/>
                <w:i/>
                <w:iCs/>
                <w:sz w:val="16"/>
                <w:szCs w:val="16"/>
              </w:rPr>
              <w:t>10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BE57B" w14:textId="1553AF1B" w:rsidR="007104B7" w:rsidRPr="00855E1F" w:rsidRDefault="007104B7" w:rsidP="007104B7">
            <w:pPr>
              <w:widowControl w:val="0"/>
              <w:contextualSpacing/>
              <w:mirrorIndents/>
              <w:jc w:val="center"/>
              <w:rPr>
                <w:rFonts w:ascii="Arial" w:hAnsi="Arial" w:cs="Arial"/>
                <w:i/>
                <w:iCs/>
                <w:sz w:val="16"/>
                <w:szCs w:val="16"/>
              </w:rPr>
            </w:pPr>
            <w:r w:rsidRPr="00855E1F">
              <w:rPr>
                <w:rFonts w:ascii="Arial" w:eastAsia="Arial Unicode MS" w:hAnsi="Arial" w:cs="Arial"/>
                <w:i/>
                <w:iCs/>
                <w:sz w:val="16"/>
                <w:szCs w:val="16"/>
              </w:rPr>
              <w:t>10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F70FB" w14:textId="467159A1" w:rsidR="007104B7" w:rsidRPr="00855E1F" w:rsidRDefault="007104B7" w:rsidP="007104B7">
            <w:pPr>
              <w:widowControl w:val="0"/>
              <w:contextualSpacing/>
              <w:mirrorIndents/>
              <w:jc w:val="center"/>
              <w:rPr>
                <w:rFonts w:ascii="Arial" w:hAnsi="Arial" w:cs="Arial"/>
                <w:i/>
                <w:iCs/>
                <w:sz w:val="16"/>
                <w:szCs w:val="16"/>
              </w:rPr>
            </w:pPr>
            <w:r w:rsidRPr="00855E1F">
              <w:rPr>
                <w:rFonts w:ascii="Arial" w:eastAsia="Arial Unicode MS" w:hAnsi="Arial" w:cs="Arial"/>
                <w:i/>
                <w:iCs/>
                <w:sz w:val="16"/>
                <w:szCs w:val="16"/>
              </w:rPr>
              <w:t>10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E2A18" w14:textId="743A53C7" w:rsidR="007104B7" w:rsidRPr="00855E1F" w:rsidRDefault="007104B7" w:rsidP="007104B7">
            <w:pPr>
              <w:widowControl w:val="0"/>
              <w:contextualSpacing/>
              <w:mirrorIndents/>
              <w:jc w:val="center"/>
              <w:rPr>
                <w:rFonts w:ascii="Arial" w:hAnsi="Arial" w:cs="Arial"/>
                <w:i/>
                <w:iCs/>
                <w:sz w:val="16"/>
                <w:szCs w:val="16"/>
              </w:rPr>
            </w:pPr>
          </w:p>
        </w:tc>
      </w:tr>
    </w:tbl>
    <w:bookmarkEnd w:id="5"/>
    <w:p w14:paraId="66A1941A" w14:textId="6CDDD7BA" w:rsidR="005403A1" w:rsidRDefault="00D32DAC" w:rsidP="00D32DAC">
      <w:pPr>
        <w:tabs>
          <w:tab w:val="left" w:pos="4260"/>
        </w:tabs>
        <w:jc w:val="both"/>
        <w:rPr>
          <w:rFonts w:ascii="Arial" w:hAnsi="Arial" w:cs="Arial"/>
          <w:b/>
          <w:i/>
          <w:color w:val="000080"/>
        </w:rPr>
      </w:pPr>
      <w:r>
        <w:rPr>
          <w:rFonts w:ascii="Arial" w:hAnsi="Arial" w:cs="Arial"/>
          <w:b/>
          <w:i/>
          <w:color w:val="000080"/>
        </w:rPr>
        <w:tab/>
      </w:r>
    </w:p>
    <w:p w14:paraId="383DD278" w14:textId="1D2218F7" w:rsidR="005403A1" w:rsidRDefault="00DB5BE8" w:rsidP="005403A1">
      <w:pPr>
        <w:jc w:val="both"/>
        <w:rPr>
          <w:rFonts w:ascii="Arial" w:hAnsi="Arial" w:cs="Arial"/>
          <w:b/>
          <w:i/>
          <w:color w:val="000080"/>
        </w:rPr>
      </w:pPr>
      <w:r w:rsidRPr="00DB5BE8">
        <w:rPr>
          <w:rFonts w:ascii="Arial" w:hAnsi="Arial" w:cs="Arial"/>
          <w:b/>
          <w:i/>
          <w:color w:val="000080"/>
        </w:rPr>
        <w:t>Department of Family Medicine</w:t>
      </w:r>
    </w:p>
    <w:p w14:paraId="3518060F" w14:textId="77777777" w:rsidR="00DD4B40" w:rsidRDefault="00DD4B40" w:rsidP="005403A1">
      <w:pPr>
        <w:jc w:val="both"/>
        <w:rPr>
          <w:rFonts w:ascii="Arial" w:hAnsi="Arial" w:cs="Arial"/>
          <w:b/>
          <w:i/>
          <w:color w:val="000080"/>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3955"/>
        <w:gridCol w:w="810"/>
        <w:gridCol w:w="990"/>
        <w:gridCol w:w="900"/>
        <w:gridCol w:w="1350"/>
        <w:gridCol w:w="1080"/>
        <w:gridCol w:w="945"/>
      </w:tblGrid>
      <w:tr w:rsidR="007104B7" w14:paraId="0A99B6B5" w14:textId="77777777" w:rsidTr="00583046">
        <w:trPr>
          <w:tblHeader/>
        </w:trPr>
        <w:tc>
          <w:tcPr>
            <w:tcW w:w="4765" w:type="dxa"/>
            <w:gridSpan w:val="2"/>
            <w:tcBorders>
              <w:top w:val="single" w:sz="4" w:space="0" w:color="auto"/>
              <w:left w:val="single" w:sz="4" w:space="0" w:color="auto"/>
              <w:bottom w:val="single" w:sz="4" w:space="0" w:color="auto"/>
              <w:right w:val="single" w:sz="4" w:space="0" w:color="auto"/>
            </w:tcBorders>
            <w:shd w:val="clear" w:color="auto" w:fill="000080"/>
            <w:vAlign w:val="bottom"/>
            <w:hideMark/>
          </w:tcPr>
          <w:p w14:paraId="36C00881" w14:textId="77777777" w:rsidR="007104B7" w:rsidRDefault="007104B7" w:rsidP="007104B7">
            <w:pPr>
              <w:widowControl w:val="0"/>
              <w:contextualSpacing/>
              <w:mirrorIndents/>
              <w:jc w:val="center"/>
              <w:rPr>
                <w:rFonts w:ascii="Arial" w:hAnsi="Arial" w:cs="Arial"/>
                <w:b/>
                <w:bCs/>
                <w:color w:val="FFFFFF"/>
                <w:sz w:val="20"/>
              </w:rPr>
            </w:pPr>
            <w:r>
              <w:rPr>
                <w:rFonts w:ascii="Arial" w:hAnsi="Arial" w:cs="Arial"/>
                <w:b/>
                <w:bCs/>
                <w:color w:val="FFFFFF"/>
                <w:sz w:val="20"/>
              </w:rPr>
              <w:t>Performance Measure</w:t>
            </w:r>
          </w:p>
        </w:tc>
        <w:tc>
          <w:tcPr>
            <w:tcW w:w="990" w:type="dxa"/>
            <w:tcBorders>
              <w:top w:val="single" w:sz="4" w:space="0" w:color="auto"/>
              <w:left w:val="single" w:sz="4" w:space="0" w:color="auto"/>
              <w:bottom w:val="single" w:sz="4" w:space="0" w:color="auto"/>
              <w:right w:val="single" w:sz="4" w:space="0" w:color="auto"/>
            </w:tcBorders>
            <w:shd w:val="clear" w:color="auto" w:fill="000080"/>
            <w:vAlign w:val="bottom"/>
          </w:tcPr>
          <w:p w14:paraId="00131E93" w14:textId="0EAA8ECC" w:rsidR="007104B7" w:rsidRDefault="007104B7" w:rsidP="007104B7">
            <w:pPr>
              <w:widowControl w:val="0"/>
              <w:contextualSpacing/>
              <w:mirrorIndents/>
              <w:jc w:val="center"/>
              <w:rPr>
                <w:rFonts w:ascii="Arial" w:hAnsi="Arial" w:cs="Arial"/>
                <w:b/>
                <w:bCs/>
                <w:color w:val="FFFFFF"/>
                <w:sz w:val="20"/>
              </w:rPr>
            </w:pPr>
            <w:r>
              <w:rPr>
                <w:rFonts w:ascii="Arial" w:hAnsi="Arial" w:cs="Arial"/>
                <w:b/>
                <w:bCs/>
                <w:color w:val="FFFFFF"/>
                <w:sz w:val="20"/>
                <w:szCs w:val="20"/>
              </w:rPr>
              <w:t>FY 2022</w:t>
            </w:r>
          </w:p>
        </w:tc>
        <w:tc>
          <w:tcPr>
            <w:tcW w:w="900" w:type="dxa"/>
            <w:tcBorders>
              <w:top w:val="single" w:sz="4" w:space="0" w:color="auto"/>
              <w:left w:val="single" w:sz="4" w:space="0" w:color="auto"/>
              <w:bottom w:val="single" w:sz="4" w:space="0" w:color="auto"/>
              <w:right w:val="single" w:sz="4" w:space="0" w:color="auto"/>
            </w:tcBorders>
            <w:shd w:val="clear" w:color="auto" w:fill="000080"/>
            <w:vAlign w:val="bottom"/>
          </w:tcPr>
          <w:p w14:paraId="78889B7B" w14:textId="44F31105" w:rsidR="007104B7" w:rsidRDefault="007104B7" w:rsidP="007104B7">
            <w:pPr>
              <w:widowControl w:val="0"/>
              <w:contextualSpacing/>
              <w:mirrorIndents/>
              <w:jc w:val="center"/>
              <w:rPr>
                <w:rFonts w:ascii="Arial" w:hAnsi="Arial" w:cs="Arial"/>
                <w:b/>
                <w:bCs/>
                <w:color w:val="FFFFFF"/>
                <w:sz w:val="20"/>
              </w:rPr>
            </w:pPr>
            <w:r>
              <w:rPr>
                <w:rFonts w:ascii="Arial" w:hAnsi="Arial" w:cs="Arial"/>
                <w:b/>
                <w:bCs/>
                <w:color w:val="FFFFFF"/>
                <w:sz w:val="20"/>
                <w:szCs w:val="20"/>
              </w:rPr>
              <w:t>FY 2023</w:t>
            </w:r>
          </w:p>
        </w:tc>
        <w:tc>
          <w:tcPr>
            <w:tcW w:w="1350" w:type="dxa"/>
            <w:tcBorders>
              <w:top w:val="single" w:sz="4" w:space="0" w:color="auto"/>
              <w:left w:val="single" w:sz="4" w:space="0" w:color="auto"/>
              <w:bottom w:val="single" w:sz="4" w:space="0" w:color="auto"/>
              <w:right w:val="single" w:sz="4" w:space="0" w:color="auto"/>
            </w:tcBorders>
            <w:shd w:val="clear" w:color="auto" w:fill="000080"/>
            <w:vAlign w:val="bottom"/>
          </w:tcPr>
          <w:p w14:paraId="2BC1B2B9" w14:textId="3A03C343" w:rsidR="007104B7" w:rsidRDefault="007104B7" w:rsidP="007104B7">
            <w:pPr>
              <w:widowControl w:val="0"/>
              <w:contextualSpacing/>
              <w:mirrorIndents/>
              <w:jc w:val="center"/>
              <w:rPr>
                <w:rFonts w:ascii="Arial" w:hAnsi="Arial" w:cs="Arial"/>
                <w:b/>
                <w:bCs/>
                <w:color w:val="FFFFFF"/>
                <w:sz w:val="20"/>
              </w:rPr>
            </w:pPr>
            <w:r>
              <w:rPr>
                <w:rFonts w:ascii="Arial" w:hAnsi="Arial" w:cs="Arial"/>
                <w:b/>
                <w:bCs/>
                <w:color w:val="FFFFFF"/>
                <w:sz w:val="20"/>
                <w:szCs w:val="20"/>
              </w:rPr>
              <w:t>FY 2024</w:t>
            </w:r>
          </w:p>
        </w:tc>
        <w:tc>
          <w:tcPr>
            <w:tcW w:w="1080" w:type="dxa"/>
            <w:tcBorders>
              <w:top w:val="single" w:sz="4" w:space="0" w:color="auto"/>
              <w:left w:val="single" w:sz="4" w:space="0" w:color="auto"/>
              <w:bottom w:val="single" w:sz="4" w:space="0" w:color="auto"/>
              <w:right w:val="single" w:sz="4" w:space="0" w:color="auto"/>
            </w:tcBorders>
            <w:shd w:val="clear" w:color="auto" w:fill="000080"/>
            <w:vAlign w:val="bottom"/>
          </w:tcPr>
          <w:p w14:paraId="40F24031" w14:textId="29FF3BAF" w:rsidR="007104B7" w:rsidRDefault="007104B7" w:rsidP="007104B7">
            <w:pPr>
              <w:widowControl w:val="0"/>
              <w:contextualSpacing/>
              <w:mirrorIndents/>
              <w:jc w:val="center"/>
              <w:rPr>
                <w:rFonts w:ascii="Arial" w:hAnsi="Arial" w:cs="Arial"/>
                <w:b/>
                <w:bCs/>
                <w:color w:val="FFFFFF"/>
                <w:sz w:val="20"/>
              </w:rPr>
            </w:pPr>
            <w:r>
              <w:rPr>
                <w:rFonts w:ascii="Arial" w:hAnsi="Arial" w:cs="Arial"/>
                <w:b/>
                <w:bCs/>
                <w:color w:val="FFFFFF"/>
                <w:sz w:val="20"/>
                <w:szCs w:val="20"/>
              </w:rPr>
              <w:t>FY 2025</w:t>
            </w:r>
          </w:p>
        </w:tc>
        <w:tc>
          <w:tcPr>
            <w:tcW w:w="945" w:type="dxa"/>
            <w:tcBorders>
              <w:top w:val="single" w:sz="4" w:space="0" w:color="auto"/>
              <w:left w:val="single" w:sz="4" w:space="0" w:color="auto"/>
              <w:bottom w:val="single" w:sz="4" w:space="0" w:color="auto"/>
              <w:right w:val="single" w:sz="4" w:space="0" w:color="auto"/>
            </w:tcBorders>
            <w:shd w:val="clear" w:color="auto" w:fill="000080"/>
            <w:vAlign w:val="bottom"/>
          </w:tcPr>
          <w:p w14:paraId="2895819A" w14:textId="31B052B5" w:rsidR="007104B7" w:rsidRDefault="007104B7" w:rsidP="007104B7">
            <w:pPr>
              <w:widowControl w:val="0"/>
              <w:contextualSpacing/>
              <w:mirrorIndents/>
              <w:jc w:val="center"/>
              <w:rPr>
                <w:rFonts w:ascii="Arial" w:hAnsi="Arial" w:cs="Arial"/>
                <w:b/>
                <w:bCs/>
                <w:color w:val="FFFFFF"/>
                <w:sz w:val="20"/>
              </w:rPr>
            </w:pPr>
            <w:r>
              <w:rPr>
                <w:rFonts w:ascii="Arial" w:hAnsi="Arial" w:cs="Arial"/>
                <w:b/>
                <w:bCs/>
                <w:color w:val="FFFFFF"/>
                <w:sz w:val="20"/>
                <w:szCs w:val="20"/>
              </w:rPr>
              <w:t>FY 2026</w:t>
            </w:r>
          </w:p>
        </w:tc>
      </w:tr>
      <w:tr w:rsidR="005403A1" w14:paraId="7A8B4EFD" w14:textId="77777777" w:rsidTr="00F96484">
        <w:trPr>
          <w:trHeight w:val="323"/>
          <w:tblHeader/>
        </w:trPr>
        <w:tc>
          <w:tcPr>
            <w:tcW w:w="1003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602F55A" w14:textId="4A18368B" w:rsidR="005403A1" w:rsidRDefault="00140989" w:rsidP="00F96484">
            <w:pPr>
              <w:widowControl w:val="0"/>
              <w:tabs>
                <w:tab w:val="center" w:pos="4957"/>
              </w:tabs>
              <w:ind w:left="-18"/>
              <w:contextualSpacing/>
              <w:mirrorIndents/>
              <w:jc w:val="center"/>
              <w:rPr>
                <w:rFonts w:ascii="Arial" w:hAnsi="Arial" w:cs="Arial"/>
                <w:b/>
                <w:sz w:val="20"/>
              </w:rPr>
            </w:pPr>
            <w:r w:rsidRPr="00140989">
              <w:rPr>
                <w:rFonts w:ascii="Arial" w:hAnsi="Arial" w:cs="Arial"/>
                <w:b/>
                <w:sz w:val="20"/>
                <w:szCs w:val="20"/>
              </w:rPr>
              <w:t>G</w:t>
            </w:r>
            <w:r w:rsidR="00390781">
              <w:rPr>
                <w:rFonts w:ascii="Arial" w:hAnsi="Arial" w:cs="Arial"/>
                <w:b/>
                <w:sz w:val="20"/>
                <w:szCs w:val="20"/>
              </w:rPr>
              <w:t>OAL</w:t>
            </w:r>
            <w:r w:rsidRPr="00140989">
              <w:rPr>
                <w:rFonts w:ascii="Arial" w:hAnsi="Arial" w:cs="Arial"/>
                <w:b/>
                <w:sz w:val="20"/>
                <w:szCs w:val="20"/>
              </w:rPr>
              <w:t xml:space="preserve"> 1: </w:t>
            </w:r>
            <w:r w:rsidRPr="00140989">
              <w:rPr>
                <w:rFonts w:ascii="Arial" w:hAnsi="Arial" w:cs="Arial"/>
                <w:bCs/>
                <w:sz w:val="20"/>
                <w:szCs w:val="20"/>
              </w:rPr>
              <w:t>Expand to a New Facility</w:t>
            </w:r>
          </w:p>
        </w:tc>
      </w:tr>
      <w:tr w:rsidR="007104B7" w14:paraId="3DCB14A2" w14:textId="77777777" w:rsidTr="00583046">
        <w:trPr>
          <w:trHeight w:val="458"/>
          <w:tblHeader/>
        </w:trPr>
        <w:tc>
          <w:tcPr>
            <w:tcW w:w="3955" w:type="dxa"/>
            <w:vMerge w:val="restart"/>
            <w:tcBorders>
              <w:top w:val="single" w:sz="4" w:space="0" w:color="auto"/>
              <w:left w:val="single" w:sz="4" w:space="0" w:color="auto"/>
              <w:bottom w:val="single" w:sz="4" w:space="0" w:color="auto"/>
              <w:right w:val="single" w:sz="4" w:space="0" w:color="auto"/>
            </w:tcBorders>
            <w:hideMark/>
          </w:tcPr>
          <w:p w14:paraId="75525CE8" w14:textId="01CEB5CB" w:rsidR="007104B7" w:rsidRPr="00174598" w:rsidRDefault="007104B7" w:rsidP="007104B7">
            <w:pPr>
              <w:rPr>
                <w:rFonts w:ascii="Arial" w:hAnsi="Arial" w:cs="Arial"/>
                <w:sz w:val="20"/>
                <w:szCs w:val="20"/>
              </w:rPr>
            </w:pPr>
            <w:r w:rsidRPr="00965EB8">
              <w:rPr>
                <w:rFonts w:ascii="Arial" w:hAnsi="Arial" w:cs="Arial"/>
                <w:b/>
                <w:bCs/>
                <w:sz w:val="20"/>
                <w:szCs w:val="20"/>
              </w:rPr>
              <w:t>8.</w:t>
            </w:r>
            <w:r>
              <w:rPr>
                <w:rFonts w:ascii="Arial" w:hAnsi="Arial" w:cs="Arial"/>
                <w:sz w:val="20"/>
                <w:szCs w:val="20"/>
              </w:rPr>
              <w:t xml:space="preserve"> </w:t>
            </w:r>
            <w:r w:rsidRPr="00174598">
              <w:rPr>
                <w:rFonts w:ascii="Arial" w:hAnsi="Arial" w:cs="Arial"/>
                <w:sz w:val="20"/>
                <w:szCs w:val="20"/>
              </w:rPr>
              <w:t>By the end of FY 202</w:t>
            </w:r>
            <w:r>
              <w:rPr>
                <w:rFonts w:ascii="Arial" w:hAnsi="Arial" w:cs="Arial"/>
                <w:sz w:val="20"/>
                <w:szCs w:val="20"/>
              </w:rPr>
              <w:t>4</w:t>
            </w:r>
            <w:r w:rsidRPr="00174598">
              <w:rPr>
                <w:rFonts w:ascii="Arial" w:hAnsi="Arial" w:cs="Arial"/>
                <w:sz w:val="20"/>
                <w:szCs w:val="20"/>
              </w:rPr>
              <w:t>, the clinic site is identified</w:t>
            </w:r>
            <w:r w:rsidRPr="00174598">
              <w:rPr>
                <w:rFonts w:ascii="Arial" w:hAnsi="Arial" w:cs="Arial"/>
                <w:sz w:val="16"/>
                <w:szCs w:val="16"/>
              </w:rPr>
              <w:t>.</w:t>
            </w:r>
          </w:p>
          <w:p w14:paraId="4D62432F" w14:textId="38CEEC77" w:rsidR="007104B7" w:rsidRPr="00EC4EA3" w:rsidRDefault="007104B7" w:rsidP="007104B7">
            <w:pPr>
              <w:widowControl w:val="0"/>
              <w:contextualSpacing/>
              <w:mirrorIndents/>
              <w:rPr>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B844E7" w14:textId="1F08BAC0" w:rsidR="007104B7" w:rsidRDefault="007104B7" w:rsidP="007104B7">
            <w:pPr>
              <w:widowControl w:val="0"/>
              <w:contextualSpacing/>
              <w:mirrorIndents/>
              <w:jc w:val="center"/>
              <w:rPr>
                <w:rFonts w:ascii="Arial" w:hAnsi="Arial" w:cs="Arial"/>
                <w:sz w:val="20"/>
              </w:rPr>
            </w:pPr>
            <w:r w:rsidRPr="002E1122">
              <w:rPr>
                <w:rFonts w:ascii="Arial" w:hAnsi="Arial" w:cs="Arial"/>
                <w:sz w:val="20"/>
              </w:rPr>
              <w:t>actual</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384229" w14:textId="190D1C83" w:rsidR="007104B7" w:rsidRPr="00583046" w:rsidRDefault="007104B7" w:rsidP="007104B7">
            <w:pPr>
              <w:widowControl w:val="0"/>
              <w:contextualSpacing/>
              <w:mirrorIndents/>
              <w:jc w:val="center"/>
              <w:rPr>
                <w:rFonts w:ascii="Arial" w:eastAsia="Arial Unicode MS" w:hAnsi="Arial" w:cs="Arial"/>
                <w:sz w:val="16"/>
                <w:szCs w:val="16"/>
              </w:rPr>
            </w:pPr>
            <w:r w:rsidRPr="00583046">
              <w:rPr>
                <w:rFonts w:ascii="Arial" w:hAnsi="Arial" w:cs="Arial"/>
                <w:sz w:val="16"/>
                <w:szCs w:val="16"/>
              </w:rPr>
              <w:t>Completed</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4EFC7B" w14:textId="270B8976" w:rsidR="007104B7" w:rsidRPr="00583046" w:rsidRDefault="007104B7" w:rsidP="007104B7">
            <w:pPr>
              <w:widowControl w:val="0"/>
              <w:contextualSpacing/>
              <w:mirrorIndents/>
              <w:jc w:val="center"/>
              <w:rPr>
                <w:rFonts w:ascii="Arial" w:eastAsia="Arial Unicode MS" w:hAnsi="Arial" w:cs="Arial"/>
                <w:sz w:val="16"/>
                <w:szCs w:val="16"/>
              </w:rPr>
            </w:pPr>
            <w:r w:rsidRPr="00583046">
              <w:rPr>
                <w:rFonts w:ascii="Arial" w:hAnsi="Arial" w:cs="Arial"/>
                <w:sz w:val="16"/>
                <w:szCs w:val="16"/>
              </w:rPr>
              <w:t>Completed</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38CF81" w14:textId="00A52C5E" w:rsidR="007104B7" w:rsidRPr="00583046" w:rsidRDefault="007104B7" w:rsidP="007104B7">
            <w:pPr>
              <w:widowControl w:val="0"/>
              <w:contextualSpacing/>
              <w:mirrorIndents/>
              <w:jc w:val="center"/>
              <w:rPr>
                <w:rFonts w:ascii="Arial" w:eastAsia="Arial Unicode MS" w:hAnsi="Arial" w:cs="Arial"/>
                <w:sz w:val="16"/>
                <w:szCs w:val="16"/>
              </w:rPr>
            </w:pPr>
            <w:r w:rsidRPr="00583046">
              <w:rPr>
                <w:rFonts w:ascii="Arial" w:hAnsi="Arial" w:cs="Arial"/>
                <w:sz w:val="16"/>
                <w:szCs w:val="16"/>
              </w:rPr>
              <w:t>Completed</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7D5304" w14:textId="5BA3C3F9" w:rsidR="007104B7" w:rsidRPr="00583046" w:rsidRDefault="007104B7" w:rsidP="007104B7">
            <w:pPr>
              <w:widowControl w:val="0"/>
              <w:contextualSpacing/>
              <w:mirrorIndents/>
              <w:jc w:val="center"/>
              <w:rPr>
                <w:rFonts w:ascii="Arial" w:eastAsia="Arial Unicode MS" w:hAnsi="Arial" w:cs="Arial"/>
                <w:sz w:val="16"/>
                <w:szCs w:val="16"/>
              </w:rPr>
            </w:pPr>
            <w:r w:rsidRPr="00583046">
              <w:rPr>
                <w:rFonts w:ascii="Arial" w:hAnsi="Arial" w:cs="Arial"/>
                <w:sz w:val="16"/>
                <w:szCs w:val="16"/>
              </w:rPr>
              <w:t>Completed</w:t>
            </w:r>
          </w:p>
        </w:tc>
        <w:tc>
          <w:tcPr>
            <w:tcW w:w="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E6A169" w14:textId="4B0A2896" w:rsidR="007104B7" w:rsidRPr="00583046" w:rsidRDefault="007104B7" w:rsidP="007104B7">
            <w:pPr>
              <w:widowControl w:val="0"/>
              <w:contextualSpacing/>
              <w:mirrorIndents/>
              <w:jc w:val="center"/>
              <w:rPr>
                <w:rFonts w:ascii="Arial" w:hAnsi="Arial" w:cs="Arial"/>
                <w:sz w:val="16"/>
                <w:szCs w:val="16"/>
              </w:rPr>
            </w:pPr>
          </w:p>
        </w:tc>
      </w:tr>
      <w:tr w:rsidR="007104B7" w14:paraId="5BAA64BD" w14:textId="77777777" w:rsidTr="00922DA6">
        <w:trPr>
          <w:trHeight w:val="692"/>
          <w:tblHeader/>
        </w:trPr>
        <w:tc>
          <w:tcPr>
            <w:tcW w:w="3955" w:type="dxa"/>
            <w:vMerge/>
            <w:tcBorders>
              <w:top w:val="single" w:sz="4" w:space="0" w:color="auto"/>
              <w:left w:val="single" w:sz="4" w:space="0" w:color="auto"/>
              <w:bottom w:val="single" w:sz="4" w:space="0" w:color="auto"/>
              <w:right w:val="single" w:sz="4" w:space="0" w:color="auto"/>
            </w:tcBorders>
            <w:hideMark/>
          </w:tcPr>
          <w:p w14:paraId="32E35C60" w14:textId="77777777" w:rsidR="007104B7" w:rsidRPr="005B017D" w:rsidRDefault="007104B7" w:rsidP="007104B7">
            <w:pPr>
              <w:pStyle w:val="ListParagraph"/>
              <w:widowControl w:val="0"/>
              <w:numPr>
                <w:ilvl w:val="0"/>
                <w:numId w:val="17"/>
              </w:numPr>
              <w:ind w:left="342"/>
              <w:mirrorIndents/>
              <w:rPr>
                <w:rFonts w:ascii="Arial" w:hAnsi="Arial" w:cs="Arial"/>
                <w:bCs/>
                <w:sz w:val="20"/>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5B9A54" w14:textId="6AC3376B" w:rsidR="007104B7" w:rsidRDefault="007104B7" w:rsidP="007104B7">
            <w:pPr>
              <w:widowControl w:val="0"/>
              <w:contextualSpacing/>
              <w:mirrorIndents/>
              <w:jc w:val="center"/>
              <w:rPr>
                <w:rFonts w:ascii="Arial" w:hAnsi="Arial" w:cs="Arial"/>
                <w:sz w:val="20"/>
              </w:rPr>
            </w:pPr>
            <w:r w:rsidRPr="00B431EB">
              <w:rPr>
                <w:rFonts w:ascii="Arial" w:hAnsi="Arial" w:cs="Arial"/>
                <w:i/>
                <w:sz w:val="18"/>
                <w:szCs w:val="16"/>
              </w:rPr>
              <w:t>target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C5EFB" w14:textId="4AA4C95E" w:rsidR="007104B7" w:rsidRDefault="007104B7" w:rsidP="007104B7">
            <w:pPr>
              <w:widowControl w:val="0"/>
              <w:contextualSpacing/>
              <w:mirrorIndents/>
              <w:jc w:val="center"/>
              <w:rPr>
                <w:rFonts w:ascii="Arial" w:hAnsi="Arial" w:cs="Arial"/>
                <w:i/>
                <w:sz w:val="16"/>
                <w:szCs w:val="16"/>
              </w:rPr>
            </w:pPr>
            <w:r>
              <w:rPr>
                <w:rFonts w:ascii="Arial" w:hAnsi="Arial" w:cs="Arial"/>
                <w:i/>
                <w:sz w:val="16"/>
                <w:szCs w:val="16"/>
              </w:rPr>
              <w:t>Identify a site for a new clinic</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14:paraId="5714B48D" w14:textId="2ECDFF7B" w:rsidR="007104B7" w:rsidRDefault="007104B7" w:rsidP="007104B7">
            <w:pPr>
              <w:widowControl w:val="0"/>
              <w:contextualSpacing/>
              <w:mirrorIndents/>
              <w:jc w:val="center"/>
              <w:rPr>
                <w:rFonts w:ascii="Arial" w:hAnsi="Arial" w:cs="Arial"/>
                <w:i/>
                <w:sz w:val="16"/>
                <w:szCs w:val="16"/>
              </w:rPr>
            </w:pPr>
            <w:r w:rsidRPr="00050991">
              <w:rPr>
                <w:rFonts w:ascii="Arial" w:hAnsi="Arial" w:cs="Arial"/>
                <w:i/>
                <w:sz w:val="16"/>
                <w:szCs w:val="16"/>
              </w:rPr>
              <w:t>Complete (Benchmark 2021)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505F5851" w14:textId="15E02E26" w:rsidR="007104B7" w:rsidRDefault="007104B7" w:rsidP="007104B7">
            <w:pPr>
              <w:widowControl w:val="0"/>
              <w:contextualSpacing/>
              <w:mirrorIndents/>
              <w:jc w:val="center"/>
              <w:rPr>
                <w:rFonts w:ascii="Arial" w:hAnsi="Arial" w:cs="Arial"/>
                <w:i/>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74CC061F" w14:textId="3CB4EC81" w:rsidR="007104B7" w:rsidRDefault="007104B7" w:rsidP="007104B7">
            <w:pPr>
              <w:widowControl w:val="0"/>
              <w:contextualSpacing/>
              <w:mirrorIndents/>
              <w:jc w:val="center"/>
              <w:rPr>
                <w:rFonts w:ascii="Arial" w:hAnsi="Arial" w:cs="Arial"/>
                <w:i/>
                <w:sz w:val="16"/>
                <w:szCs w:val="16"/>
              </w:rPr>
            </w:pP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tcPr>
          <w:p w14:paraId="5213C647" w14:textId="0CFE6CAE" w:rsidR="007104B7" w:rsidRDefault="007104B7" w:rsidP="007104B7">
            <w:pPr>
              <w:widowControl w:val="0"/>
              <w:contextualSpacing/>
              <w:mirrorIndents/>
              <w:jc w:val="center"/>
              <w:rPr>
                <w:rFonts w:ascii="Arial" w:hAnsi="Arial" w:cs="Arial"/>
                <w:i/>
                <w:sz w:val="16"/>
                <w:szCs w:val="16"/>
              </w:rPr>
            </w:pPr>
          </w:p>
        </w:tc>
      </w:tr>
    </w:tbl>
    <w:p w14:paraId="32E7836C" w14:textId="77777777" w:rsidR="005403A1" w:rsidRDefault="005403A1" w:rsidP="005403A1">
      <w:pPr>
        <w:jc w:val="both"/>
        <w:rPr>
          <w:rFonts w:ascii="Arial" w:hAnsi="Arial" w:cs="Arial"/>
          <w:b/>
          <w:i/>
          <w:color w:val="000080"/>
        </w:rPr>
      </w:pPr>
    </w:p>
    <w:p w14:paraId="581E58C1" w14:textId="3381B226" w:rsidR="005403A1" w:rsidRDefault="00390781" w:rsidP="005403A1">
      <w:pPr>
        <w:jc w:val="both"/>
        <w:rPr>
          <w:rFonts w:ascii="Arial" w:hAnsi="Arial" w:cs="Arial"/>
          <w:b/>
          <w:bCs/>
          <w:i/>
          <w:color w:val="000080"/>
        </w:rPr>
      </w:pPr>
      <w:r w:rsidRPr="00390781">
        <w:rPr>
          <w:rFonts w:ascii="Arial" w:hAnsi="Arial" w:cs="Arial"/>
          <w:b/>
          <w:bCs/>
          <w:i/>
          <w:color w:val="000080"/>
        </w:rPr>
        <w:t>Idaho Museum of Natural History</w:t>
      </w:r>
    </w:p>
    <w:p w14:paraId="55FBB591" w14:textId="77777777" w:rsidR="00390781" w:rsidRDefault="00390781" w:rsidP="005403A1">
      <w:pPr>
        <w:jc w:val="both"/>
        <w:rPr>
          <w:rFonts w:ascii="Arial" w:hAnsi="Arial" w:cs="Arial"/>
          <w:b/>
          <w:i/>
          <w:color w:val="000080"/>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3955"/>
        <w:gridCol w:w="810"/>
        <w:gridCol w:w="990"/>
        <w:gridCol w:w="900"/>
        <w:gridCol w:w="1350"/>
        <w:gridCol w:w="1080"/>
        <w:gridCol w:w="945"/>
      </w:tblGrid>
      <w:tr w:rsidR="007104B7" w14:paraId="658678F5" w14:textId="77777777" w:rsidTr="00583046">
        <w:trPr>
          <w:tblHeader/>
        </w:trPr>
        <w:tc>
          <w:tcPr>
            <w:tcW w:w="4765" w:type="dxa"/>
            <w:gridSpan w:val="2"/>
            <w:tcBorders>
              <w:top w:val="single" w:sz="4" w:space="0" w:color="auto"/>
              <w:left w:val="single" w:sz="4" w:space="0" w:color="auto"/>
              <w:bottom w:val="single" w:sz="4" w:space="0" w:color="auto"/>
              <w:right w:val="single" w:sz="4" w:space="0" w:color="auto"/>
            </w:tcBorders>
            <w:shd w:val="clear" w:color="auto" w:fill="000080"/>
            <w:vAlign w:val="bottom"/>
            <w:hideMark/>
          </w:tcPr>
          <w:p w14:paraId="1BAF03E8" w14:textId="77777777" w:rsidR="007104B7" w:rsidRDefault="007104B7" w:rsidP="007104B7">
            <w:pPr>
              <w:widowControl w:val="0"/>
              <w:contextualSpacing/>
              <w:mirrorIndents/>
              <w:jc w:val="center"/>
              <w:rPr>
                <w:rFonts w:ascii="Arial" w:hAnsi="Arial" w:cs="Arial"/>
                <w:b/>
                <w:bCs/>
                <w:color w:val="FFFFFF"/>
                <w:sz w:val="20"/>
              </w:rPr>
            </w:pPr>
            <w:r>
              <w:rPr>
                <w:rFonts w:ascii="Arial" w:hAnsi="Arial" w:cs="Arial"/>
                <w:b/>
                <w:bCs/>
                <w:color w:val="FFFFFF"/>
                <w:sz w:val="20"/>
              </w:rPr>
              <w:t>Performance Measure</w:t>
            </w:r>
          </w:p>
        </w:tc>
        <w:tc>
          <w:tcPr>
            <w:tcW w:w="990" w:type="dxa"/>
            <w:tcBorders>
              <w:top w:val="single" w:sz="4" w:space="0" w:color="auto"/>
              <w:left w:val="single" w:sz="4" w:space="0" w:color="auto"/>
              <w:bottom w:val="single" w:sz="4" w:space="0" w:color="auto"/>
              <w:right w:val="single" w:sz="4" w:space="0" w:color="auto"/>
            </w:tcBorders>
            <w:shd w:val="clear" w:color="auto" w:fill="000080"/>
            <w:vAlign w:val="bottom"/>
          </w:tcPr>
          <w:p w14:paraId="24359E7E" w14:textId="426B14CC" w:rsidR="007104B7" w:rsidRDefault="007104B7" w:rsidP="007104B7">
            <w:pPr>
              <w:widowControl w:val="0"/>
              <w:contextualSpacing/>
              <w:mirrorIndents/>
              <w:jc w:val="center"/>
              <w:rPr>
                <w:rFonts w:ascii="Arial" w:hAnsi="Arial" w:cs="Arial"/>
                <w:b/>
                <w:bCs/>
                <w:color w:val="FFFFFF"/>
                <w:sz w:val="20"/>
              </w:rPr>
            </w:pPr>
            <w:r>
              <w:rPr>
                <w:rFonts w:ascii="Arial" w:hAnsi="Arial" w:cs="Arial"/>
                <w:b/>
                <w:bCs/>
                <w:color w:val="FFFFFF"/>
                <w:sz w:val="20"/>
                <w:szCs w:val="20"/>
              </w:rPr>
              <w:t>FY 2022</w:t>
            </w:r>
          </w:p>
        </w:tc>
        <w:tc>
          <w:tcPr>
            <w:tcW w:w="900" w:type="dxa"/>
            <w:tcBorders>
              <w:top w:val="single" w:sz="4" w:space="0" w:color="auto"/>
              <w:left w:val="single" w:sz="4" w:space="0" w:color="auto"/>
              <w:bottom w:val="single" w:sz="4" w:space="0" w:color="auto"/>
              <w:right w:val="single" w:sz="4" w:space="0" w:color="auto"/>
            </w:tcBorders>
            <w:shd w:val="clear" w:color="auto" w:fill="000080"/>
            <w:vAlign w:val="bottom"/>
          </w:tcPr>
          <w:p w14:paraId="380E1EFE" w14:textId="0C340901" w:rsidR="007104B7" w:rsidRDefault="007104B7" w:rsidP="007104B7">
            <w:pPr>
              <w:widowControl w:val="0"/>
              <w:contextualSpacing/>
              <w:mirrorIndents/>
              <w:jc w:val="center"/>
              <w:rPr>
                <w:rFonts w:ascii="Arial" w:hAnsi="Arial" w:cs="Arial"/>
                <w:b/>
                <w:bCs/>
                <w:color w:val="FFFFFF"/>
                <w:sz w:val="20"/>
              </w:rPr>
            </w:pPr>
            <w:r>
              <w:rPr>
                <w:rFonts w:ascii="Arial" w:hAnsi="Arial" w:cs="Arial"/>
                <w:b/>
                <w:bCs/>
                <w:color w:val="FFFFFF"/>
                <w:sz w:val="20"/>
                <w:szCs w:val="20"/>
              </w:rPr>
              <w:t>FY 2023</w:t>
            </w:r>
          </w:p>
        </w:tc>
        <w:tc>
          <w:tcPr>
            <w:tcW w:w="1350" w:type="dxa"/>
            <w:tcBorders>
              <w:top w:val="single" w:sz="4" w:space="0" w:color="auto"/>
              <w:left w:val="single" w:sz="4" w:space="0" w:color="auto"/>
              <w:bottom w:val="single" w:sz="4" w:space="0" w:color="auto"/>
              <w:right w:val="single" w:sz="4" w:space="0" w:color="auto"/>
            </w:tcBorders>
            <w:shd w:val="clear" w:color="auto" w:fill="000080"/>
            <w:vAlign w:val="bottom"/>
          </w:tcPr>
          <w:p w14:paraId="10C7BA3D" w14:textId="0DD2ECAD" w:rsidR="007104B7" w:rsidRDefault="007104B7" w:rsidP="007104B7">
            <w:pPr>
              <w:widowControl w:val="0"/>
              <w:contextualSpacing/>
              <w:mirrorIndents/>
              <w:jc w:val="center"/>
              <w:rPr>
                <w:rFonts w:ascii="Arial" w:hAnsi="Arial" w:cs="Arial"/>
                <w:b/>
                <w:bCs/>
                <w:color w:val="FFFFFF"/>
                <w:sz w:val="20"/>
              </w:rPr>
            </w:pPr>
            <w:r>
              <w:rPr>
                <w:rFonts w:ascii="Arial" w:hAnsi="Arial" w:cs="Arial"/>
                <w:b/>
                <w:bCs/>
                <w:color w:val="FFFFFF"/>
                <w:sz w:val="20"/>
                <w:szCs w:val="20"/>
              </w:rPr>
              <w:t>FY 2024</w:t>
            </w:r>
          </w:p>
        </w:tc>
        <w:tc>
          <w:tcPr>
            <w:tcW w:w="1080" w:type="dxa"/>
            <w:tcBorders>
              <w:top w:val="single" w:sz="4" w:space="0" w:color="auto"/>
              <w:left w:val="single" w:sz="4" w:space="0" w:color="auto"/>
              <w:bottom w:val="single" w:sz="4" w:space="0" w:color="auto"/>
              <w:right w:val="single" w:sz="4" w:space="0" w:color="auto"/>
            </w:tcBorders>
            <w:shd w:val="clear" w:color="auto" w:fill="000080"/>
            <w:vAlign w:val="bottom"/>
          </w:tcPr>
          <w:p w14:paraId="59405FF8" w14:textId="5D1452AA" w:rsidR="007104B7" w:rsidRDefault="007104B7" w:rsidP="007104B7">
            <w:pPr>
              <w:widowControl w:val="0"/>
              <w:contextualSpacing/>
              <w:mirrorIndents/>
              <w:jc w:val="center"/>
              <w:rPr>
                <w:rFonts w:ascii="Arial" w:hAnsi="Arial" w:cs="Arial"/>
                <w:b/>
                <w:bCs/>
                <w:color w:val="FFFFFF"/>
                <w:sz w:val="20"/>
              </w:rPr>
            </w:pPr>
            <w:r>
              <w:rPr>
                <w:rFonts w:ascii="Arial" w:hAnsi="Arial" w:cs="Arial"/>
                <w:b/>
                <w:bCs/>
                <w:color w:val="FFFFFF"/>
                <w:sz w:val="20"/>
                <w:szCs w:val="20"/>
              </w:rPr>
              <w:t>FY 2025</w:t>
            </w:r>
          </w:p>
        </w:tc>
        <w:tc>
          <w:tcPr>
            <w:tcW w:w="945" w:type="dxa"/>
            <w:tcBorders>
              <w:top w:val="single" w:sz="4" w:space="0" w:color="auto"/>
              <w:left w:val="single" w:sz="4" w:space="0" w:color="auto"/>
              <w:bottom w:val="single" w:sz="4" w:space="0" w:color="auto"/>
              <w:right w:val="single" w:sz="4" w:space="0" w:color="auto"/>
            </w:tcBorders>
            <w:shd w:val="clear" w:color="auto" w:fill="000080"/>
            <w:vAlign w:val="bottom"/>
          </w:tcPr>
          <w:p w14:paraId="15AE9493" w14:textId="6E58ABCD" w:rsidR="007104B7" w:rsidRDefault="007104B7" w:rsidP="007104B7">
            <w:pPr>
              <w:widowControl w:val="0"/>
              <w:contextualSpacing/>
              <w:mirrorIndents/>
              <w:jc w:val="center"/>
              <w:rPr>
                <w:rFonts w:ascii="Arial" w:hAnsi="Arial" w:cs="Arial"/>
                <w:b/>
                <w:bCs/>
                <w:color w:val="FFFFFF"/>
                <w:sz w:val="20"/>
              </w:rPr>
            </w:pPr>
            <w:r>
              <w:rPr>
                <w:rFonts w:ascii="Arial" w:hAnsi="Arial" w:cs="Arial"/>
                <w:b/>
                <w:bCs/>
                <w:color w:val="FFFFFF"/>
                <w:sz w:val="20"/>
                <w:szCs w:val="20"/>
              </w:rPr>
              <w:t>FY 2026</w:t>
            </w:r>
          </w:p>
        </w:tc>
      </w:tr>
      <w:tr w:rsidR="007104B7" w14:paraId="5F3E9B2C" w14:textId="77777777" w:rsidTr="00F96484">
        <w:trPr>
          <w:trHeight w:val="323"/>
          <w:tblHeader/>
        </w:trPr>
        <w:tc>
          <w:tcPr>
            <w:tcW w:w="1003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2DB39A0" w14:textId="764323E9" w:rsidR="007104B7" w:rsidRDefault="007104B7" w:rsidP="007104B7">
            <w:pPr>
              <w:widowControl w:val="0"/>
              <w:tabs>
                <w:tab w:val="center" w:pos="4957"/>
              </w:tabs>
              <w:ind w:left="-18"/>
              <w:contextualSpacing/>
              <w:mirrorIndents/>
              <w:jc w:val="center"/>
              <w:rPr>
                <w:rFonts w:ascii="Arial" w:hAnsi="Arial" w:cs="Arial"/>
                <w:b/>
                <w:sz w:val="20"/>
              </w:rPr>
            </w:pPr>
            <w:r w:rsidRPr="00390781">
              <w:rPr>
                <w:rFonts w:ascii="Arial" w:hAnsi="Arial" w:cs="Arial"/>
                <w:b/>
                <w:bCs/>
                <w:sz w:val="20"/>
                <w:szCs w:val="20"/>
              </w:rPr>
              <w:t>G</w:t>
            </w:r>
            <w:r>
              <w:rPr>
                <w:rFonts w:ascii="Arial" w:hAnsi="Arial" w:cs="Arial"/>
                <w:b/>
                <w:bCs/>
                <w:sz w:val="20"/>
                <w:szCs w:val="20"/>
              </w:rPr>
              <w:t>OAL</w:t>
            </w:r>
            <w:r w:rsidRPr="00390781">
              <w:rPr>
                <w:rFonts w:ascii="Arial" w:hAnsi="Arial" w:cs="Arial"/>
                <w:b/>
                <w:bCs/>
                <w:sz w:val="20"/>
                <w:szCs w:val="20"/>
              </w:rPr>
              <w:t xml:space="preserve"> 1: </w:t>
            </w:r>
            <w:r w:rsidRPr="00390781">
              <w:rPr>
                <w:rFonts w:ascii="Arial" w:hAnsi="Arial" w:cs="Arial"/>
                <w:sz w:val="20"/>
                <w:szCs w:val="20"/>
              </w:rPr>
              <w:t>Demonstrate the IMNH’s essential value</w:t>
            </w:r>
          </w:p>
        </w:tc>
      </w:tr>
      <w:tr w:rsidR="007104B7" w14:paraId="2AFA241A" w14:textId="77777777" w:rsidTr="00F12BFC">
        <w:trPr>
          <w:trHeight w:val="458"/>
          <w:tblHeader/>
        </w:trPr>
        <w:tc>
          <w:tcPr>
            <w:tcW w:w="3955" w:type="dxa"/>
            <w:vMerge w:val="restart"/>
            <w:tcBorders>
              <w:top w:val="single" w:sz="4" w:space="0" w:color="auto"/>
              <w:left w:val="single" w:sz="4" w:space="0" w:color="auto"/>
              <w:bottom w:val="single" w:sz="4" w:space="0" w:color="auto"/>
              <w:right w:val="single" w:sz="4" w:space="0" w:color="auto"/>
            </w:tcBorders>
            <w:hideMark/>
          </w:tcPr>
          <w:p w14:paraId="7FD3BE1F" w14:textId="6B69C312" w:rsidR="007104B7" w:rsidRPr="00965EB8" w:rsidRDefault="007104B7" w:rsidP="007104B7">
            <w:pPr>
              <w:widowControl w:val="0"/>
              <w:contextualSpacing/>
              <w:mirrorIndents/>
              <w:rPr>
                <w:rFonts w:ascii="Arial" w:hAnsi="Arial" w:cs="Arial"/>
                <w:b/>
                <w:sz w:val="20"/>
              </w:rPr>
            </w:pPr>
            <w:r>
              <w:rPr>
                <w:rFonts w:ascii="Arial" w:hAnsi="Arial" w:cs="Arial"/>
                <w:b/>
                <w:sz w:val="20"/>
              </w:rPr>
              <w:t xml:space="preserve">9. </w:t>
            </w:r>
            <w:r w:rsidRPr="00E519E7">
              <w:rPr>
                <w:rFonts w:ascii="Arial" w:hAnsi="Arial" w:cs="Arial"/>
                <w:bCs/>
                <w:sz w:val="20"/>
              </w:rPr>
              <w:t>By July 2028, IMNH will increase the number of visitors to the museum by 25%.</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31B4FA" w14:textId="77777777" w:rsidR="007104B7" w:rsidRDefault="007104B7" w:rsidP="007104B7">
            <w:pPr>
              <w:widowControl w:val="0"/>
              <w:contextualSpacing/>
              <w:mirrorIndents/>
              <w:jc w:val="center"/>
              <w:rPr>
                <w:rFonts w:ascii="Arial" w:hAnsi="Arial" w:cs="Arial"/>
                <w:sz w:val="20"/>
              </w:rPr>
            </w:pPr>
            <w:r>
              <w:rPr>
                <w:rFonts w:ascii="Arial" w:hAnsi="Arial" w:cs="Arial"/>
                <w:sz w:val="20"/>
              </w:rPr>
              <w:t>actual</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F8D5A2" w14:textId="460C0C16" w:rsidR="007104B7" w:rsidRPr="008C58FF" w:rsidRDefault="007104B7" w:rsidP="007104B7">
            <w:pPr>
              <w:widowControl w:val="0"/>
              <w:contextualSpacing/>
              <w:mirrorIndents/>
              <w:jc w:val="center"/>
              <w:rPr>
                <w:rFonts w:ascii="Arial" w:eastAsia="Arial Unicode MS" w:hAnsi="Arial" w:cs="Arial"/>
                <w:sz w:val="20"/>
                <w:szCs w:val="20"/>
              </w:rPr>
            </w:pPr>
            <w:r>
              <w:rPr>
                <w:rFonts w:ascii="Arial" w:eastAsia="Arial Unicode MS" w:hAnsi="Arial" w:cs="Arial"/>
                <w:sz w:val="20"/>
                <w:szCs w:val="20"/>
              </w:rPr>
              <w:t>8,117</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28503E" w14:textId="57387CF6" w:rsidR="007104B7" w:rsidRPr="00AD6812" w:rsidRDefault="007104B7" w:rsidP="007104B7">
            <w:pPr>
              <w:widowControl w:val="0"/>
              <w:contextualSpacing/>
              <w:mirrorIndents/>
              <w:jc w:val="center"/>
              <w:rPr>
                <w:rFonts w:ascii="Arial" w:eastAsia="Arial Unicode MS" w:hAnsi="Arial" w:cs="Arial"/>
                <w:sz w:val="20"/>
                <w:szCs w:val="20"/>
              </w:rPr>
            </w:pPr>
            <w:r>
              <w:rPr>
                <w:rFonts w:ascii="Arial" w:eastAsia="Arial Unicode MS" w:hAnsi="Arial" w:cs="Arial"/>
                <w:sz w:val="20"/>
                <w:szCs w:val="20"/>
              </w:rPr>
              <w:t>8,619</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9B0A54" w14:textId="2D1EC275" w:rsidR="007104B7" w:rsidRPr="00417FFB" w:rsidRDefault="007104B7" w:rsidP="007104B7">
            <w:pPr>
              <w:widowControl w:val="0"/>
              <w:contextualSpacing/>
              <w:mirrorIndents/>
              <w:jc w:val="center"/>
              <w:rPr>
                <w:rFonts w:ascii="Arial" w:eastAsia="Arial Unicode MS" w:hAnsi="Arial" w:cs="Arial"/>
                <w:sz w:val="20"/>
                <w:szCs w:val="20"/>
              </w:rPr>
            </w:pPr>
            <w:r>
              <w:rPr>
                <w:rFonts w:ascii="Arial" w:eastAsia="Arial Unicode MS" w:hAnsi="Arial" w:cs="Arial"/>
                <w:sz w:val="20"/>
                <w:szCs w:val="20"/>
              </w:rPr>
              <w:t>8,883</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E82504" w14:textId="26B92E02" w:rsidR="007104B7" w:rsidRPr="00AD6812" w:rsidRDefault="007104B7" w:rsidP="007104B7">
            <w:pPr>
              <w:widowControl w:val="0"/>
              <w:contextualSpacing/>
              <w:mirrorIndents/>
              <w:jc w:val="center"/>
              <w:rPr>
                <w:rFonts w:ascii="Arial" w:eastAsia="Arial Unicode MS" w:hAnsi="Arial" w:cs="Arial"/>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E0BE87" w14:textId="77777777" w:rsidR="007104B7" w:rsidRDefault="007104B7" w:rsidP="007104B7">
            <w:pPr>
              <w:widowControl w:val="0"/>
              <w:contextualSpacing/>
              <w:mirrorIndents/>
              <w:jc w:val="center"/>
              <w:rPr>
                <w:rFonts w:ascii="Arial" w:hAnsi="Arial" w:cs="Arial"/>
                <w:sz w:val="20"/>
              </w:rPr>
            </w:pPr>
          </w:p>
        </w:tc>
      </w:tr>
      <w:tr w:rsidR="007104B7" w14:paraId="6738C5B0" w14:textId="77777777" w:rsidTr="00583046">
        <w:trPr>
          <w:trHeight w:val="692"/>
          <w:tblHeader/>
        </w:trPr>
        <w:tc>
          <w:tcPr>
            <w:tcW w:w="3955" w:type="dxa"/>
            <w:vMerge/>
            <w:tcBorders>
              <w:top w:val="single" w:sz="4" w:space="0" w:color="auto"/>
              <w:left w:val="single" w:sz="4" w:space="0" w:color="auto"/>
              <w:bottom w:val="single" w:sz="4" w:space="0" w:color="auto"/>
              <w:right w:val="single" w:sz="4" w:space="0" w:color="auto"/>
            </w:tcBorders>
            <w:vAlign w:val="center"/>
            <w:hideMark/>
          </w:tcPr>
          <w:p w14:paraId="5947B1DD" w14:textId="77777777" w:rsidR="007104B7" w:rsidRPr="005B017D" w:rsidRDefault="007104B7" w:rsidP="007104B7">
            <w:pPr>
              <w:pStyle w:val="ListParagraph"/>
              <w:widowControl w:val="0"/>
              <w:numPr>
                <w:ilvl w:val="0"/>
                <w:numId w:val="17"/>
              </w:numPr>
              <w:ind w:left="342"/>
              <w:mirrorIndents/>
              <w:rPr>
                <w:rFonts w:ascii="Arial" w:hAnsi="Arial" w:cs="Arial"/>
                <w:bCs/>
                <w:sz w:val="20"/>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7F62DF" w14:textId="77777777" w:rsidR="007104B7" w:rsidRDefault="007104B7" w:rsidP="007104B7">
            <w:pPr>
              <w:widowControl w:val="0"/>
              <w:contextualSpacing/>
              <w:mirrorIndents/>
              <w:jc w:val="center"/>
              <w:rPr>
                <w:rFonts w:ascii="Arial" w:hAnsi="Arial" w:cs="Arial"/>
                <w:sz w:val="20"/>
              </w:rPr>
            </w:pPr>
            <w:r>
              <w:rPr>
                <w:rFonts w:ascii="Arial" w:hAnsi="Arial" w:cs="Arial"/>
                <w:i/>
                <w:sz w:val="16"/>
                <w:szCs w:val="16"/>
              </w:rPr>
              <w:t>target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0DAF4" w14:textId="57E4CF94" w:rsidR="007104B7" w:rsidRDefault="007104B7" w:rsidP="007104B7">
            <w:pPr>
              <w:widowControl w:val="0"/>
              <w:contextualSpacing/>
              <w:mirrorIndents/>
              <w:jc w:val="center"/>
              <w:rPr>
                <w:rFonts w:ascii="Arial" w:hAnsi="Arial" w:cs="Arial"/>
                <w:i/>
                <w:sz w:val="16"/>
                <w:szCs w:val="16"/>
              </w:rPr>
            </w:pPr>
            <w:r>
              <w:rPr>
                <w:rFonts w:ascii="Arial" w:hAnsi="Arial" w:cs="Arial"/>
                <w:i/>
                <w:sz w:val="16"/>
                <w:szCs w:val="16"/>
              </w:rPr>
              <w:t>8000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CA999" w14:textId="7FFC519B" w:rsidR="007104B7" w:rsidRDefault="007104B7" w:rsidP="007104B7">
            <w:pPr>
              <w:widowControl w:val="0"/>
              <w:contextualSpacing/>
              <w:mirrorIndents/>
              <w:jc w:val="center"/>
              <w:rPr>
                <w:rFonts w:ascii="Arial" w:hAnsi="Arial" w:cs="Arial"/>
                <w:i/>
                <w:sz w:val="16"/>
                <w:szCs w:val="16"/>
              </w:rPr>
            </w:pPr>
            <w:r>
              <w:rPr>
                <w:rFonts w:ascii="Arial" w:hAnsi="Arial" w:cs="Arial"/>
                <w:i/>
                <w:sz w:val="16"/>
                <w:szCs w:val="16"/>
              </w:rPr>
              <w:t>8240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2F5B9" w14:textId="0DD39648" w:rsidR="007104B7" w:rsidRDefault="007104B7" w:rsidP="007104B7">
            <w:pPr>
              <w:widowControl w:val="0"/>
              <w:contextualSpacing/>
              <w:mirrorIndents/>
              <w:jc w:val="center"/>
              <w:rPr>
                <w:rFonts w:ascii="Arial" w:hAnsi="Arial" w:cs="Arial"/>
                <w:i/>
                <w:sz w:val="16"/>
                <w:szCs w:val="16"/>
              </w:rPr>
            </w:pPr>
            <w:r>
              <w:rPr>
                <w:rFonts w:ascii="Arial" w:hAnsi="Arial" w:cs="Arial"/>
                <w:i/>
                <w:sz w:val="16"/>
                <w:szCs w:val="16"/>
              </w:rPr>
              <w:t>8800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799B50" w14:textId="0938FC16" w:rsidR="007104B7" w:rsidRDefault="007104B7" w:rsidP="007104B7">
            <w:pPr>
              <w:widowControl w:val="0"/>
              <w:contextualSpacing/>
              <w:mirrorIndents/>
              <w:jc w:val="center"/>
              <w:rPr>
                <w:rFonts w:ascii="Arial" w:hAnsi="Arial" w:cs="Arial"/>
                <w:i/>
                <w:sz w:val="16"/>
                <w:szCs w:val="16"/>
              </w:rPr>
            </w:pPr>
            <w:r>
              <w:rPr>
                <w:rFonts w:ascii="Arial" w:hAnsi="Arial" w:cs="Arial"/>
                <w:i/>
                <w:sz w:val="16"/>
                <w:szCs w:val="16"/>
              </w:rPr>
              <w:t>9350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8357D" w14:textId="31DB5367" w:rsidR="007104B7" w:rsidRDefault="007104B7" w:rsidP="007104B7">
            <w:pPr>
              <w:widowControl w:val="0"/>
              <w:contextualSpacing/>
              <w:mirrorIndents/>
              <w:jc w:val="center"/>
              <w:rPr>
                <w:rFonts w:ascii="Arial" w:hAnsi="Arial" w:cs="Arial"/>
                <w:i/>
                <w:sz w:val="16"/>
                <w:szCs w:val="16"/>
              </w:rPr>
            </w:pPr>
          </w:p>
        </w:tc>
      </w:tr>
    </w:tbl>
    <w:p w14:paraId="6FAB5A2B" w14:textId="77777777" w:rsidR="005403A1" w:rsidRDefault="005403A1" w:rsidP="005403A1">
      <w:pPr>
        <w:jc w:val="both"/>
        <w:rPr>
          <w:rFonts w:ascii="Arial" w:hAnsi="Arial" w:cs="Arial"/>
          <w:b/>
          <w:i/>
          <w:color w:val="000080"/>
        </w:rPr>
      </w:pPr>
    </w:p>
    <w:p w14:paraId="6ADED689" w14:textId="6249ACA5" w:rsidR="00221BA3" w:rsidRDefault="00221BA3">
      <w:pPr>
        <w:rPr>
          <w:rFonts w:ascii="Arial" w:hAnsi="Arial" w:cs="Arial"/>
          <w:b/>
          <w:bCs/>
        </w:rPr>
      </w:pPr>
    </w:p>
    <w:p w14:paraId="1808BF98" w14:textId="45084F81" w:rsidR="00967402" w:rsidRDefault="004C6452" w:rsidP="00967402">
      <w:pPr>
        <w:rPr>
          <w:rFonts w:ascii="Arial" w:hAnsi="Arial" w:cs="Arial"/>
          <w:b/>
          <w:bCs/>
          <w:i/>
          <w:color w:val="FF0000"/>
        </w:rPr>
      </w:pPr>
      <w:r w:rsidRPr="00BE41B3">
        <w:rPr>
          <w:rFonts w:ascii="Arial" w:hAnsi="Arial" w:cs="Arial"/>
          <w:b/>
          <w:bCs/>
        </w:rPr>
        <w:t>Performance Measure Explanatory Note</w:t>
      </w:r>
      <w:r>
        <w:rPr>
          <w:rFonts w:ascii="Arial" w:hAnsi="Arial" w:cs="Arial"/>
          <w:b/>
          <w:bCs/>
        </w:rPr>
        <w:t xml:space="preserve">s </w:t>
      </w:r>
      <w:r w:rsidRPr="005272AB">
        <w:rPr>
          <w:rFonts w:ascii="Arial" w:hAnsi="Arial" w:cs="Arial"/>
          <w:b/>
          <w:bCs/>
          <w:i/>
          <w:color w:val="FF0000"/>
        </w:rPr>
        <w:t>(Optional)</w:t>
      </w:r>
    </w:p>
    <w:p w14:paraId="470B7524" w14:textId="77777777" w:rsidR="002C56EF" w:rsidRPr="00967402" w:rsidRDefault="002C56EF" w:rsidP="00967402">
      <w:pPr>
        <w:rPr>
          <w:rFonts w:ascii="Arial" w:hAnsi="Arial" w:cs="Arial"/>
          <w:b/>
          <w:i/>
          <w:color w:val="FF0000"/>
          <w:szCs w:val="20"/>
        </w:rPr>
      </w:pPr>
    </w:p>
    <w:bookmarkEnd w:id="2"/>
    <w:bookmarkEnd w:id="3"/>
    <w:bookmarkEnd w:id="4"/>
    <w:p w14:paraId="55E579E2" w14:textId="3638F566" w:rsidR="00221BA3" w:rsidRPr="00221BA3" w:rsidRDefault="00221BA3" w:rsidP="008C5DD7">
      <w:pPr>
        <w:pStyle w:val="ListParagraph"/>
        <w:numPr>
          <w:ilvl w:val="1"/>
          <w:numId w:val="5"/>
        </w:numPr>
        <w:jc w:val="both"/>
        <w:rPr>
          <w:rFonts w:ascii="Arial" w:eastAsiaTheme="minorEastAsia" w:hAnsi="Arial" w:cs="Arial"/>
          <w:color w:val="000000" w:themeColor="text1"/>
          <w:sz w:val="20"/>
          <w:szCs w:val="20"/>
        </w:rPr>
      </w:pPr>
      <w:r w:rsidRPr="00221BA3">
        <w:rPr>
          <w:rFonts w:ascii="Arial" w:eastAsiaTheme="minorEastAsia" w:hAnsi="Arial" w:cs="Arial"/>
          <w:color w:val="000000" w:themeColor="text1"/>
          <w:sz w:val="20"/>
          <w:szCs w:val="20"/>
        </w:rPr>
        <w:t xml:space="preserve">ISU </w:t>
      </w:r>
      <w:r w:rsidR="00D01B46">
        <w:rPr>
          <w:rFonts w:ascii="Arial" w:eastAsiaTheme="minorEastAsia" w:hAnsi="Arial" w:cs="Arial"/>
          <w:color w:val="000000" w:themeColor="text1"/>
          <w:sz w:val="20"/>
          <w:szCs w:val="20"/>
        </w:rPr>
        <w:t xml:space="preserve">was able to </w:t>
      </w:r>
      <w:r w:rsidRPr="00221BA3">
        <w:rPr>
          <w:rFonts w:ascii="Arial" w:eastAsiaTheme="minorEastAsia" w:hAnsi="Arial" w:cs="Arial"/>
          <w:color w:val="000000" w:themeColor="text1"/>
          <w:sz w:val="20"/>
          <w:szCs w:val="20"/>
        </w:rPr>
        <w:t>identif</w:t>
      </w:r>
      <w:r w:rsidR="00D01B46">
        <w:rPr>
          <w:rFonts w:ascii="Arial" w:eastAsiaTheme="minorEastAsia" w:hAnsi="Arial" w:cs="Arial"/>
          <w:color w:val="000000" w:themeColor="text1"/>
          <w:sz w:val="20"/>
          <w:szCs w:val="20"/>
        </w:rPr>
        <w:t>y</w:t>
      </w:r>
      <w:r w:rsidRPr="00221BA3">
        <w:rPr>
          <w:rFonts w:ascii="Arial" w:eastAsiaTheme="minorEastAsia" w:hAnsi="Arial" w:cs="Arial"/>
          <w:color w:val="000000" w:themeColor="text1"/>
          <w:sz w:val="20"/>
          <w:szCs w:val="20"/>
        </w:rPr>
        <w:t xml:space="preserve"> students that were not returning to ISU </w:t>
      </w:r>
      <w:proofErr w:type="gramStart"/>
      <w:r w:rsidRPr="00221BA3">
        <w:rPr>
          <w:rFonts w:ascii="Arial" w:eastAsiaTheme="minorEastAsia" w:hAnsi="Arial" w:cs="Arial"/>
          <w:color w:val="000000" w:themeColor="text1"/>
          <w:sz w:val="20"/>
          <w:szCs w:val="20"/>
        </w:rPr>
        <w:t>in order to</w:t>
      </w:r>
      <w:proofErr w:type="gramEnd"/>
      <w:r w:rsidRPr="00221BA3">
        <w:rPr>
          <w:rFonts w:ascii="Arial" w:eastAsiaTheme="minorEastAsia" w:hAnsi="Arial" w:cs="Arial"/>
          <w:color w:val="000000" w:themeColor="text1"/>
          <w:sz w:val="20"/>
          <w:szCs w:val="20"/>
        </w:rPr>
        <w:t xml:space="preserve"> serve on a religious mission or active military duty. These students were excluded from the cohort</w:t>
      </w:r>
      <w:r w:rsidR="00D01B46">
        <w:rPr>
          <w:rFonts w:ascii="Arial" w:eastAsiaTheme="minorEastAsia" w:hAnsi="Arial" w:cs="Arial"/>
          <w:color w:val="000000" w:themeColor="text1"/>
          <w:sz w:val="20"/>
          <w:szCs w:val="20"/>
        </w:rPr>
        <w:t>s</w:t>
      </w:r>
      <w:r w:rsidRPr="00221BA3">
        <w:rPr>
          <w:rFonts w:ascii="Arial" w:eastAsiaTheme="minorEastAsia" w:hAnsi="Arial" w:cs="Arial"/>
          <w:color w:val="000000" w:themeColor="text1"/>
          <w:sz w:val="20"/>
          <w:szCs w:val="20"/>
        </w:rPr>
        <w:t xml:space="preserve"> per the U.S. Department of Education instructions. This</w:t>
      </w:r>
      <w:r w:rsidR="00D01B46">
        <w:rPr>
          <w:rFonts w:ascii="Arial" w:eastAsiaTheme="minorEastAsia" w:hAnsi="Arial" w:cs="Arial"/>
          <w:color w:val="000000" w:themeColor="text1"/>
          <w:sz w:val="20"/>
          <w:szCs w:val="20"/>
        </w:rPr>
        <w:t xml:space="preserve"> revision of the cohort data</w:t>
      </w:r>
      <w:r w:rsidRPr="00221BA3">
        <w:rPr>
          <w:rFonts w:ascii="Arial" w:eastAsiaTheme="minorEastAsia" w:hAnsi="Arial" w:cs="Arial"/>
          <w:color w:val="000000" w:themeColor="text1"/>
          <w:sz w:val="20"/>
          <w:szCs w:val="20"/>
        </w:rPr>
        <w:t xml:space="preserve"> may cause </w:t>
      </w:r>
      <w:r w:rsidR="00D01B46">
        <w:rPr>
          <w:rFonts w:ascii="Arial" w:eastAsiaTheme="minorEastAsia" w:hAnsi="Arial" w:cs="Arial"/>
          <w:color w:val="000000" w:themeColor="text1"/>
          <w:sz w:val="20"/>
          <w:szCs w:val="20"/>
        </w:rPr>
        <w:t xml:space="preserve">slight </w:t>
      </w:r>
      <w:r w:rsidRPr="00221BA3">
        <w:rPr>
          <w:rFonts w:ascii="Arial" w:eastAsiaTheme="minorEastAsia" w:hAnsi="Arial" w:cs="Arial"/>
          <w:color w:val="000000" w:themeColor="text1"/>
          <w:sz w:val="20"/>
          <w:szCs w:val="20"/>
        </w:rPr>
        <w:t>differences in data reported in the Strategic Plan.</w:t>
      </w:r>
    </w:p>
    <w:p w14:paraId="5E9B6F86" w14:textId="77777777" w:rsidR="00221BA3" w:rsidRPr="00221BA3" w:rsidRDefault="00221BA3" w:rsidP="00221BA3">
      <w:pPr>
        <w:jc w:val="both"/>
        <w:rPr>
          <w:rFonts w:ascii="Arial" w:eastAsiaTheme="minorEastAsia" w:hAnsi="Arial" w:cs="Arial"/>
          <w:color w:val="000000" w:themeColor="text1"/>
          <w:sz w:val="20"/>
          <w:szCs w:val="20"/>
        </w:rPr>
      </w:pPr>
    </w:p>
    <w:p w14:paraId="25F61EB6" w14:textId="380D0029" w:rsidR="00EE539C" w:rsidRPr="00221BA3" w:rsidRDefault="00EE539C" w:rsidP="008C5DD7">
      <w:pPr>
        <w:pStyle w:val="ListParagraph"/>
        <w:numPr>
          <w:ilvl w:val="1"/>
          <w:numId w:val="5"/>
        </w:numPr>
        <w:jc w:val="both"/>
        <w:rPr>
          <w:rFonts w:ascii="Arial" w:eastAsiaTheme="minorEastAsia" w:hAnsi="Arial" w:cs="Arial"/>
          <w:color w:val="000000" w:themeColor="text1"/>
          <w:sz w:val="20"/>
          <w:szCs w:val="20"/>
        </w:rPr>
      </w:pPr>
      <w:r w:rsidRPr="00221BA3">
        <w:rPr>
          <w:rFonts w:ascii="Arial" w:eastAsiaTheme="minorEastAsia" w:hAnsi="Arial" w:cs="Arial"/>
          <w:color w:val="000000" w:themeColor="text1"/>
          <w:sz w:val="20"/>
          <w:szCs w:val="20"/>
        </w:rPr>
        <w:t xml:space="preserve">The methodology for this metric was revised by SBOE in 2022 for all years. Benchmarks </w:t>
      </w:r>
      <w:proofErr w:type="gramStart"/>
      <w:r w:rsidR="00C33348" w:rsidRPr="00221BA3">
        <w:rPr>
          <w:rFonts w:ascii="Arial" w:eastAsiaTheme="minorEastAsia" w:hAnsi="Arial" w:cs="Arial"/>
          <w:color w:val="000000" w:themeColor="text1"/>
          <w:sz w:val="20"/>
          <w:szCs w:val="20"/>
        </w:rPr>
        <w:t xml:space="preserve">were </w:t>
      </w:r>
      <w:r w:rsidRPr="00221BA3">
        <w:rPr>
          <w:rFonts w:ascii="Arial" w:eastAsiaTheme="minorEastAsia" w:hAnsi="Arial" w:cs="Arial"/>
          <w:color w:val="000000" w:themeColor="text1"/>
          <w:sz w:val="20"/>
          <w:szCs w:val="20"/>
        </w:rPr>
        <w:t xml:space="preserve"> revised</w:t>
      </w:r>
      <w:proofErr w:type="gramEnd"/>
      <w:r w:rsidRPr="00221BA3">
        <w:rPr>
          <w:rFonts w:ascii="Arial" w:eastAsiaTheme="minorEastAsia" w:hAnsi="Arial" w:cs="Arial"/>
          <w:color w:val="000000" w:themeColor="text1"/>
          <w:sz w:val="20"/>
          <w:szCs w:val="20"/>
        </w:rPr>
        <w:t xml:space="preserve"> in FY 2023. All first-time undergraduate </w:t>
      </w:r>
      <w:proofErr w:type="gramStart"/>
      <w:r w:rsidRPr="00221BA3">
        <w:rPr>
          <w:rFonts w:ascii="Arial" w:eastAsiaTheme="minorEastAsia" w:hAnsi="Arial" w:cs="Arial"/>
          <w:color w:val="000000" w:themeColor="text1"/>
          <w:sz w:val="20"/>
          <w:szCs w:val="20"/>
        </w:rPr>
        <w:t>bachelor</w:t>
      </w:r>
      <w:proofErr w:type="gramEnd"/>
      <w:r w:rsidRPr="00221BA3">
        <w:rPr>
          <w:rFonts w:ascii="Arial" w:eastAsiaTheme="minorEastAsia" w:hAnsi="Arial" w:cs="Arial"/>
          <w:color w:val="000000" w:themeColor="text1"/>
          <w:sz w:val="20"/>
          <w:szCs w:val="20"/>
        </w:rPr>
        <w:t xml:space="preserve"> degree-seeking students in the fall term </w:t>
      </w:r>
      <w:r w:rsidRPr="00221BA3">
        <w:rPr>
          <w:rFonts w:ascii="Arial" w:eastAsiaTheme="minorEastAsia" w:hAnsi="Arial" w:cs="Arial"/>
          <w:color w:val="000000" w:themeColor="text1"/>
          <w:sz w:val="20"/>
          <w:szCs w:val="20"/>
        </w:rPr>
        <w:lastRenderedPageBreak/>
        <w:t xml:space="preserve">that are still enrolled for their second year that completed their gateway math course within two years. </w:t>
      </w:r>
      <w:proofErr w:type="spellStart"/>
      <w:r w:rsidRPr="00221BA3">
        <w:rPr>
          <w:rFonts w:ascii="Arial" w:eastAsiaTheme="minorEastAsia" w:hAnsi="Arial" w:cs="Arial"/>
          <w:color w:val="000000" w:themeColor="text1"/>
          <w:sz w:val="20"/>
          <w:szCs w:val="20"/>
        </w:rPr>
        <w:t>Transcripted</w:t>
      </w:r>
      <w:proofErr w:type="spellEnd"/>
      <w:r w:rsidRPr="00221BA3">
        <w:rPr>
          <w:rFonts w:ascii="Arial" w:eastAsiaTheme="minorEastAsia" w:hAnsi="Arial" w:cs="Arial"/>
          <w:color w:val="000000" w:themeColor="text1"/>
          <w:sz w:val="20"/>
          <w:szCs w:val="20"/>
        </w:rPr>
        <w:t xml:space="preserve"> credit from other institutions and secondary coursework is evaluated for this metric.</w:t>
      </w:r>
    </w:p>
    <w:p w14:paraId="0E8F918E" w14:textId="77777777" w:rsidR="00221BA3" w:rsidRPr="00221BA3" w:rsidRDefault="00221BA3" w:rsidP="00221BA3">
      <w:pPr>
        <w:jc w:val="both"/>
        <w:rPr>
          <w:rFonts w:ascii="Arial" w:eastAsiaTheme="minorEastAsia" w:hAnsi="Arial" w:cs="Arial"/>
          <w:color w:val="000000" w:themeColor="text1"/>
          <w:sz w:val="20"/>
          <w:szCs w:val="20"/>
        </w:rPr>
      </w:pPr>
    </w:p>
    <w:p w14:paraId="70A145B6" w14:textId="16F03315" w:rsidR="00D01B46" w:rsidRDefault="00EE539C" w:rsidP="008C5DD7">
      <w:pPr>
        <w:pStyle w:val="ListParagraph"/>
        <w:numPr>
          <w:ilvl w:val="1"/>
          <w:numId w:val="5"/>
        </w:numPr>
        <w:jc w:val="both"/>
        <w:rPr>
          <w:rFonts w:ascii="Arial" w:eastAsiaTheme="minorEastAsia" w:hAnsi="Arial" w:cs="Arial"/>
          <w:color w:val="000000" w:themeColor="text1"/>
          <w:sz w:val="20"/>
          <w:szCs w:val="20"/>
        </w:rPr>
      </w:pPr>
      <w:r w:rsidRPr="00221BA3">
        <w:rPr>
          <w:rFonts w:ascii="Arial" w:eastAsiaTheme="minorEastAsia" w:hAnsi="Arial" w:cs="Arial"/>
          <w:color w:val="000000" w:themeColor="text1"/>
          <w:sz w:val="20"/>
          <w:szCs w:val="20"/>
        </w:rPr>
        <w:t xml:space="preserve">The methodology for this metric was revised by SBOE in 2022 for all years. Benchmarks </w:t>
      </w:r>
      <w:r w:rsidR="00BB6B8F" w:rsidRPr="00221BA3">
        <w:rPr>
          <w:rFonts w:ascii="Arial" w:eastAsiaTheme="minorEastAsia" w:hAnsi="Arial" w:cs="Arial"/>
          <w:color w:val="000000" w:themeColor="text1"/>
          <w:sz w:val="20"/>
          <w:szCs w:val="20"/>
        </w:rPr>
        <w:t>were</w:t>
      </w:r>
      <w:r w:rsidRPr="00221BA3">
        <w:rPr>
          <w:rFonts w:ascii="Arial" w:eastAsiaTheme="minorEastAsia" w:hAnsi="Arial" w:cs="Arial"/>
          <w:color w:val="000000" w:themeColor="text1"/>
          <w:sz w:val="20"/>
          <w:szCs w:val="20"/>
        </w:rPr>
        <w:t xml:space="preserve"> revised in FY 2023. Remedial Math includes courses numbered below a 100 level, Math 1108, 1108P – Intermediate Algebra, MATH 1123P and 1153P are a co-requisite model. Remedial English courses were replaced with a co-requisite model in 2015. ENGL 1101P is a variation of </w:t>
      </w:r>
      <w:hyperlink r:id="rId8" w:tooltip="ENGL 1101" w:history="1">
        <w:r w:rsidRPr="00221BA3">
          <w:rPr>
            <w:rFonts w:ascii="Arial" w:eastAsiaTheme="minorEastAsia" w:hAnsi="Arial" w:cs="Arial"/>
            <w:color w:val="000000" w:themeColor="text1"/>
            <w:sz w:val="20"/>
            <w:szCs w:val="20"/>
          </w:rPr>
          <w:t>ENGL 1101</w:t>
        </w:r>
      </w:hyperlink>
      <w:r w:rsidRPr="00221BA3">
        <w:rPr>
          <w:rFonts w:ascii="Arial" w:eastAsiaTheme="minorEastAsia" w:hAnsi="Arial" w:cs="Arial"/>
          <w:color w:val="000000" w:themeColor="text1"/>
          <w:sz w:val="20"/>
          <w:szCs w:val="20"/>
        </w:rPr>
        <w:t xml:space="preserve"> in which students not placing into </w:t>
      </w:r>
      <w:hyperlink r:id="rId9" w:tooltip="ENGL 1101" w:history="1">
        <w:r w:rsidRPr="00221BA3">
          <w:rPr>
            <w:rFonts w:ascii="Arial" w:eastAsiaTheme="minorEastAsia" w:hAnsi="Arial" w:cs="Arial"/>
            <w:color w:val="000000" w:themeColor="text1"/>
            <w:sz w:val="20"/>
            <w:szCs w:val="20"/>
          </w:rPr>
          <w:t>ENGL 1101</w:t>
        </w:r>
      </w:hyperlink>
      <w:r w:rsidRPr="00221BA3">
        <w:rPr>
          <w:rFonts w:ascii="Arial" w:eastAsiaTheme="minorEastAsia" w:hAnsi="Arial" w:cs="Arial"/>
          <w:color w:val="000000" w:themeColor="text1"/>
          <w:sz w:val="20"/>
          <w:szCs w:val="20"/>
        </w:rPr>
        <w:t xml:space="preserve"> receive intensive supplemental instruction in reading, analyzing, and writing expository essays. Student cohorts are all undergraduate degree-seeking students enrolled in a remedial or co-requisite course. The student has until the end of the next year’s semester to successfully complete a college level course. For example, if a student successfully completed a remedial course in Fall 2017, the student would have until the end of Fall 2018 to complete a college level course with a C- or higher. If the student passed a co-requisite course with a C- of higher, the student is counted as completing a college-level course within a year. Data includes college level coursework transferred to ISU after the student’s first ISU term enrolled in a remedial course as an undergraduate degree-seeking student.</w:t>
      </w:r>
    </w:p>
    <w:p w14:paraId="17E46ABF" w14:textId="77777777" w:rsidR="00D01B46" w:rsidRPr="00D01B46" w:rsidRDefault="00D01B46" w:rsidP="00D01B46">
      <w:pPr>
        <w:jc w:val="both"/>
        <w:rPr>
          <w:rFonts w:ascii="Arial" w:eastAsiaTheme="minorEastAsia" w:hAnsi="Arial" w:cs="Arial"/>
          <w:color w:val="000000" w:themeColor="text1"/>
          <w:sz w:val="20"/>
          <w:szCs w:val="20"/>
        </w:rPr>
      </w:pPr>
    </w:p>
    <w:p w14:paraId="4E418206" w14:textId="01C6B78A" w:rsidR="00EE539C" w:rsidRDefault="00EE539C" w:rsidP="008C5DD7">
      <w:pPr>
        <w:pStyle w:val="ListParagraph"/>
        <w:numPr>
          <w:ilvl w:val="1"/>
          <w:numId w:val="5"/>
        </w:numPr>
        <w:jc w:val="both"/>
        <w:rPr>
          <w:rFonts w:ascii="Arial" w:eastAsiaTheme="minorEastAsia" w:hAnsi="Arial" w:cs="Arial"/>
          <w:color w:val="000000" w:themeColor="text1"/>
          <w:sz w:val="20"/>
          <w:szCs w:val="20"/>
        </w:rPr>
      </w:pPr>
      <w:r w:rsidRPr="00D01B46">
        <w:rPr>
          <w:rFonts w:ascii="Arial" w:eastAsiaTheme="minorEastAsia" w:hAnsi="Arial" w:cs="Arial"/>
          <w:color w:val="000000" w:themeColor="text1"/>
          <w:sz w:val="20"/>
          <w:szCs w:val="20"/>
        </w:rPr>
        <w:t xml:space="preserve">The methodology for this metric was revised by SBOE in 2022 for </w:t>
      </w:r>
      <w:r w:rsidR="00D01B46" w:rsidRPr="00D01B46">
        <w:rPr>
          <w:rFonts w:ascii="Arial" w:eastAsiaTheme="minorEastAsia" w:hAnsi="Arial" w:cs="Arial"/>
          <w:color w:val="000000" w:themeColor="text1"/>
          <w:sz w:val="20"/>
          <w:szCs w:val="20"/>
        </w:rPr>
        <w:t xml:space="preserve">all years. Students that earn a   </w:t>
      </w:r>
      <w:r w:rsidRPr="00D01B46">
        <w:rPr>
          <w:rFonts w:ascii="Arial" w:eastAsiaTheme="minorEastAsia" w:hAnsi="Arial" w:cs="Arial"/>
          <w:color w:val="000000" w:themeColor="text1"/>
          <w:sz w:val="20"/>
          <w:szCs w:val="20"/>
        </w:rPr>
        <w:t>degree in the academic year are not included. Transfer credits are excluded. Only undergraduate degree-seeking students in the fall term of the academic year are included in the metric.</w:t>
      </w:r>
    </w:p>
    <w:p w14:paraId="7D1017FF" w14:textId="77777777" w:rsidR="00780A4C" w:rsidRPr="00780A4C" w:rsidRDefault="00780A4C" w:rsidP="00780A4C">
      <w:pPr>
        <w:pStyle w:val="ListParagraph"/>
        <w:rPr>
          <w:rFonts w:ascii="Arial" w:eastAsiaTheme="minorEastAsia" w:hAnsi="Arial" w:cs="Arial"/>
          <w:color w:val="000000" w:themeColor="text1"/>
          <w:sz w:val="20"/>
          <w:szCs w:val="20"/>
        </w:rPr>
      </w:pPr>
    </w:p>
    <w:p w14:paraId="3F7BDBA3" w14:textId="799E1BD6" w:rsidR="00780A4C" w:rsidRDefault="00B50E67" w:rsidP="008C5DD7">
      <w:pPr>
        <w:pStyle w:val="ListParagraph"/>
        <w:numPr>
          <w:ilvl w:val="1"/>
          <w:numId w:val="5"/>
        </w:numPr>
        <w:jc w:val="both"/>
        <w:rPr>
          <w:rFonts w:ascii="Arial" w:eastAsiaTheme="minorEastAsia" w:hAnsi="Arial" w:cs="Arial"/>
          <w:color w:val="000000" w:themeColor="text1"/>
          <w:sz w:val="20"/>
          <w:szCs w:val="20"/>
        </w:rPr>
      </w:pPr>
      <w:r w:rsidRPr="00347E86">
        <w:rPr>
          <w:rFonts w:ascii="Arial" w:hAnsi="Arial" w:cs="Arial"/>
          <w:color w:val="000000"/>
          <w:sz w:val="20"/>
          <w:szCs w:val="20"/>
        </w:rPr>
        <w:t xml:space="preserve">Timely Degree </w:t>
      </w:r>
      <w:proofErr w:type="gramStart"/>
      <w:r w:rsidRPr="00347E86">
        <w:rPr>
          <w:rFonts w:ascii="Arial" w:hAnsi="Arial" w:cs="Arial"/>
          <w:color w:val="000000"/>
          <w:sz w:val="20"/>
          <w:szCs w:val="20"/>
        </w:rPr>
        <w:t>II</w:t>
      </w:r>
      <w:r w:rsidRPr="00606B45">
        <w:rPr>
          <w:rFonts w:ascii="Arial" w:hAnsi="Arial" w:cs="Arial"/>
          <w:color w:val="000000"/>
          <w:sz w:val="20"/>
          <w:szCs w:val="20"/>
        </w:rPr>
        <w:t xml:space="preserve"> </w:t>
      </w:r>
      <w:r>
        <w:rPr>
          <w:rFonts w:ascii="Arial" w:hAnsi="Arial" w:cs="Arial"/>
          <w:color w:val="000000"/>
          <w:sz w:val="20"/>
          <w:szCs w:val="20"/>
        </w:rPr>
        <w:t xml:space="preserve"> and</w:t>
      </w:r>
      <w:proofErr w:type="gramEnd"/>
      <w:r>
        <w:rPr>
          <w:rFonts w:ascii="Arial" w:hAnsi="Arial" w:cs="Arial"/>
          <w:color w:val="000000"/>
          <w:sz w:val="20"/>
          <w:szCs w:val="20"/>
        </w:rPr>
        <w:t xml:space="preserve"> </w:t>
      </w:r>
      <w:r w:rsidR="00780A4C" w:rsidRPr="00606B45">
        <w:rPr>
          <w:rFonts w:ascii="Arial" w:hAnsi="Arial" w:cs="Arial"/>
          <w:color w:val="000000"/>
          <w:sz w:val="20"/>
          <w:szCs w:val="20"/>
        </w:rPr>
        <w:t xml:space="preserve">Guided Pathways VII - Percent of first-time, full-time freshmen graduating within </w:t>
      </w:r>
      <w:r>
        <w:rPr>
          <w:rFonts w:ascii="Arial" w:hAnsi="Arial" w:cs="Arial"/>
          <w:color w:val="000000"/>
          <w:sz w:val="20"/>
          <w:szCs w:val="20"/>
        </w:rPr>
        <w:t xml:space="preserve">150% and </w:t>
      </w:r>
      <w:r w:rsidR="00780A4C" w:rsidRPr="00606B45">
        <w:rPr>
          <w:rFonts w:ascii="Arial" w:hAnsi="Arial" w:cs="Arial"/>
          <w:color w:val="000000"/>
          <w:sz w:val="20"/>
          <w:szCs w:val="20"/>
        </w:rPr>
        <w:t>100% of time</w:t>
      </w:r>
      <w:r w:rsidR="00780A4C">
        <w:rPr>
          <w:rFonts w:ascii="Arial" w:hAnsi="Arial" w:cs="Arial"/>
          <w:color w:val="000000"/>
          <w:sz w:val="20"/>
          <w:szCs w:val="20"/>
        </w:rPr>
        <w:t xml:space="preserve"> u</w:t>
      </w:r>
      <w:r w:rsidR="00780A4C">
        <w:rPr>
          <w:rFonts w:ascii="Arial" w:eastAsiaTheme="minorEastAsia" w:hAnsi="Arial" w:cs="Arial"/>
          <w:color w:val="000000" w:themeColor="text1"/>
          <w:sz w:val="20"/>
          <w:szCs w:val="20"/>
        </w:rPr>
        <w:t>pdated to reflect the mos</w:t>
      </w:r>
      <w:r w:rsidR="00916D1D">
        <w:rPr>
          <w:rFonts w:ascii="Arial" w:eastAsiaTheme="minorEastAsia" w:hAnsi="Arial" w:cs="Arial"/>
          <w:color w:val="000000" w:themeColor="text1"/>
          <w:sz w:val="20"/>
          <w:szCs w:val="20"/>
        </w:rPr>
        <w:t xml:space="preserve">t accurate data as of </w:t>
      </w:r>
      <w:r w:rsidR="0001106E">
        <w:rPr>
          <w:rFonts w:ascii="Arial" w:eastAsiaTheme="minorEastAsia" w:hAnsi="Arial" w:cs="Arial"/>
          <w:color w:val="000000" w:themeColor="text1"/>
          <w:sz w:val="20"/>
          <w:szCs w:val="20"/>
        </w:rPr>
        <w:t>July 10, 2024</w:t>
      </w:r>
      <w:r w:rsidR="00780A4C">
        <w:rPr>
          <w:rFonts w:ascii="Arial" w:eastAsiaTheme="minorEastAsia" w:hAnsi="Arial" w:cs="Arial"/>
          <w:color w:val="000000" w:themeColor="text1"/>
          <w:sz w:val="20"/>
          <w:szCs w:val="20"/>
        </w:rPr>
        <w:t>.</w:t>
      </w:r>
    </w:p>
    <w:p w14:paraId="346E99DE" w14:textId="77777777" w:rsidR="00D01B46" w:rsidRPr="00D01B46" w:rsidRDefault="00D01B46" w:rsidP="00D01B46">
      <w:pPr>
        <w:pStyle w:val="ListParagraph"/>
        <w:rPr>
          <w:rFonts w:ascii="Arial" w:eastAsiaTheme="minorEastAsia" w:hAnsi="Arial" w:cs="Arial"/>
          <w:color w:val="000000" w:themeColor="text1"/>
          <w:sz w:val="20"/>
          <w:szCs w:val="20"/>
        </w:rPr>
      </w:pPr>
    </w:p>
    <w:p w14:paraId="2ADF1822" w14:textId="77777777" w:rsidR="001E424C" w:rsidRPr="00806763" w:rsidRDefault="001E424C" w:rsidP="005B05EE">
      <w:pPr>
        <w:jc w:val="both"/>
        <w:rPr>
          <w:rFonts w:ascii="Arial" w:hAnsi="Arial" w:cs="Arial"/>
          <w:sz w:val="16"/>
          <w:szCs w:val="16"/>
        </w:rPr>
      </w:pPr>
    </w:p>
    <w:tbl>
      <w:tblPr>
        <w:tblW w:w="7664" w:type="dxa"/>
        <w:tblInd w:w="1087" w:type="dxa"/>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664"/>
      </w:tblGrid>
      <w:tr w:rsidR="00446B1D" w:rsidRPr="00301088" w14:paraId="1D04EFF6" w14:textId="77777777" w:rsidTr="00FA0847">
        <w:trPr>
          <w:trHeight w:val="1555"/>
        </w:trPr>
        <w:tc>
          <w:tcPr>
            <w:tcW w:w="7664" w:type="dxa"/>
            <w:tcBorders>
              <w:top w:val="threeDEmboss" w:sz="24" w:space="0" w:color="333399"/>
              <w:left w:val="threeDEmboss" w:sz="24" w:space="0" w:color="333399"/>
              <w:bottom w:val="threeDEmboss" w:sz="24" w:space="0" w:color="333399"/>
              <w:right w:val="threeDEmboss" w:sz="24" w:space="0" w:color="333399"/>
            </w:tcBorders>
          </w:tcPr>
          <w:p w14:paraId="4BAD9EF3" w14:textId="77777777" w:rsidR="000B2CC2" w:rsidRPr="00301088" w:rsidRDefault="000B2CC2" w:rsidP="0021418B">
            <w:pPr>
              <w:jc w:val="center"/>
              <w:rPr>
                <w:rFonts w:ascii="Arial" w:hAnsi="Arial" w:cs="Arial"/>
                <w:b/>
                <w:sz w:val="20"/>
              </w:rPr>
            </w:pPr>
            <w:r w:rsidRPr="00301088">
              <w:rPr>
                <w:rFonts w:ascii="Arial" w:hAnsi="Arial" w:cs="Arial"/>
                <w:b/>
                <w:sz w:val="20"/>
              </w:rPr>
              <w:t>For More Information Contact</w:t>
            </w:r>
          </w:p>
          <w:p w14:paraId="5EB7BEDF" w14:textId="25677EDC" w:rsidR="000B2CC2" w:rsidRPr="00301088" w:rsidRDefault="00AC3EBE" w:rsidP="000B2CC2">
            <w:pPr>
              <w:ind w:left="252"/>
              <w:rPr>
                <w:rFonts w:ascii="Arial" w:hAnsi="Arial" w:cs="Arial"/>
                <w:noProof/>
                <w:sz w:val="20"/>
              </w:rPr>
            </w:pPr>
            <w:r>
              <w:rPr>
                <w:rFonts w:ascii="Arial" w:hAnsi="Arial" w:cs="Arial"/>
                <w:noProof/>
                <w:sz w:val="20"/>
              </w:rPr>
              <w:t>Robert Wagner</w:t>
            </w:r>
            <w:r w:rsidR="000B2CC2" w:rsidRPr="00301088">
              <w:rPr>
                <w:rFonts w:ascii="Arial" w:hAnsi="Arial" w:cs="Arial"/>
                <w:noProof/>
                <w:sz w:val="20"/>
              </w:rPr>
              <w:t>, President</w:t>
            </w:r>
          </w:p>
          <w:p w14:paraId="4A224EBF" w14:textId="77777777" w:rsidR="000B2CC2" w:rsidRPr="00301088" w:rsidRDefault="000B2CC2" w:rsidP="000B2CC2">
            <w:pPr>
              <w:ind w:left="252"/>
              <w:rPr>
                <w:rFonts w:ascii="Arial" w:hAnsi="Arial" w:cs="Arial"/>
                <w:sz w:val="20"/>
              </w:rPr>
            </w:pPr>
            <w:r w:rsidRPr="00301088">
              <w:rPr>
                <w:rFonts w:ascii="Arial" w:hAnsi="Arial" w:cs="Arial"/>
                <w:noProof/>
                <w:sz w:val="20"/>
              </w:rPr>
              <w:t>Idaho State University, Stop 8310</w:t>
            </w:r>
          </w:p>
          <w:p w14:paraId="2133D825" w14:textId="77777777" w:rsidR="000B2CC2" w:rsidRPr="00301088" w:rsidRDefault="000B2CC2" w:rsidP="000B2CC2">
            <w:pPr>
              <w:ind w:left="252"/>
              <w:rPr>
                <w:rFonts w:ascii="Arial" w:hAnsi="Arial" w:cs="Arial"/>
                <w:sz w:val="20"/>
              </w:rPr>
            </w:pPr>
            <w:r w:rsidRPr="00301088">
              <w:rPr>
                <w:rFonts w:ascii="Arial" w:hAnsi="Arial" w:cs="Arial"/>
                <w:noProof/>
                <w:sz w:val="20"/>
              </w:rPr>
              <w:t>Pocatello</w:t>
            </w:r>
            <w:r w:rsidRPr="00301088">
              <w:rPr>
                <w:rFonts w:ascii="Arial" w:hAnsi="Arial" w:cs="Arial"/>
                <w:sz w:val="20"/>
              </w:rPr>
              <w:t xml:space="preserve">, </w:t>
            </w:r>
            <w:r w:rsidRPr="00301088">
              <w:rPr>
                <w:rFonts w:ascii="Arial" w:hAnsi="Arial" w:cs="Arial"/>
                <w:noProof/>
                <w:sz w:val="20"/>
              </w:rPr>
              <w:t>ID</w:t>
            </w:r>
            <w:r w:rsidRPr="00301088">
              <w:rPr>
                <w:rFonts w:ascii="Arial" w:hAnsi="Arial" w:cs="Arial"/>
                <w:sz w:val="20"/>
              </w:rPr>
              <w:t xml:space="preserve">  </w:t>
            </w:r>
            <w:r w:rsidRPr="00301088">
              <w:rPr>
                <w:rFonts w:ascii="Arial" w:hAnsi="Arial" w:cs="Arial"/>
                <w:noProof/>
                <w:sz w:val="20"/>
              </w:rPr>
              <w:t>83209-8310</w:t>
            </w:r>
          </w:p>
          <w:p w14:paraId="5CF7C65A" w14:textId="70CC0EF7" w:rsidR="000B2CC2" w:rsidRPr="00301088" w:rsidRDefault="000B2CC2" w:rsidP="000B2CC2">
            <w:pPr>
              <w:ind w:left="252"/>
              <w:rPr>
                <w:rFonts w:ascii="Arial" w:hAnsi="Arial" w:cs="Arial"/>
                <w:sz w:val="20"/>
              </w:rPr>
            </w:pPr>
            <w:r w:rsidRPr="00301088">
              <w:rPr>
                <w:rFonts w:ascii="Arial" w:hAnsi="Arial" w:cs="Arial"/>
                <w:sz w:val="20"/>
              </w:rPr>
              <w:t>Phone: (208) 282-</w:t>
            </w:r>
            <w:r w:rsidR="00AC3EBE">
              <w:rPr>
                <w:rFonts w:ascii="Arial" w:hAnsi="Arial" w:cs="Arial"/>
                <w:sz w:val="20"/>
              </w:rPr>
              <w:t>3440</w:t>
            </w:r>
          </w:p>
          <w:p w14:paraId="28814C67" w14:textId="50FF6D4A" w:rsidR="001E424C" w:rsidRDefault="000B2CC2" w:rsidP="001E424C">
            <w:pPr>
              <w:ind w:left="252"/>
              <w:rPr>
                <w:rFonts w:ascii="Arial" w:hAnsi="Arial" w:cs="Arial"/>
                <w:noProof/>
                <w:sz w:val="20"/>
              </w:rPr>
            </w:pPr>
            <w:r w:rsidRPr="00301088">
              <w:rPr>
                <w:rFonts w:ascii="Arial" w:hAnsi="Arial" w:cs="Arial"/>
                <w:sz w:val="20"/>
              </w:rPr>
              <w:t xml:space="preserve">E-mail:  </w:t>
            </w:r>
            <w:r w:rsidR="00AC3EBE" w:rsidRPr="00AC3EBE">
              <w:rPr>
                <w:rFonts w:ascii="Arial" w:hAnsi="Arial" w:cs="Arial"/>
                <w:color w:val="4F81BD" w:themeColor="accent1"/>
              </w:rPr>
              <w:t>robertwagner@isu.edu</w:t>
            </w:r>
          </w:p>
          <w:p w14:paraId="035CDFDE" w14:textId="77777777" w:rsidR="001E424C" w:rsidRPr="001E424C" w:rsidRDefault="001E424C" w:rsidP="001E424C">
            <w:pPr>
              <w:ind w:left="252"/>
              <w:rPr>
                <w:rFonts w:ascii="Arial" w:hAnsi="Arial" w:cs="Arial"/>
                <w:noProof/>
                <w:sz w:val="20"/>
              </w:rPr>
            </w:pPr>
          </w:p>
        </w:tc>
      </w:tr>
    </w:tbl>
    <w:p w14:paraId="61767F91" w14:textId="618753F2" w:rsidR="00446B1D" w:rsidRPr="00301088" w:rsidRDefault="00446B1D" w:rsidP="00806763">
      <w:pPr>
        <w:jc w:val="both"/>
        <w:rPr>
          <w:rFonts w:ascii="Arial" w:hAnsi="Arial" w:cs="Arial"/>
          <w:lang w:val="fr-FR"/>
        </w:rPr>
      </w:pPr>
    </w:p>
    <w:sectPr w:rsidR="00446B1D" w:rsidRPr="00301088" w:rsidSect="00700A16">
      <w:headerReference w:type="default" r:id="rId10"/>
      <w:footerReference w:type="default" r:id="rId11"/>
      <w:type w:val="continuous"/>
      <w:pgSz w:w="12240" w:h="15840" w:code="1"/>
      <w:pgMar w:top="1080" w:right="1080" w:bottom="72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8FBE0" w14:textId="77777777" w:rsidR="007045CC" w:rsidRDefault="007045CC">
      <w:r>
        <w:separator/>
      </w:r>
    </w:p>
  </w:endnote>
  <w:endnote w:type="continuationSeparator" w:id="0">
    <w:p w14:paraId="454245F0" w14:textId="77777777" w:rsidR="007045CC" w:rsidRDefault="00704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8256632"/>
      <w:docPartObj>
        <w:docPartGallery w:val="Page Numbers (Bottom of Page)"/>
        <w:docPartUnique/>
      </w:docPartObj>
    </w:sdtPr>
    <w:sdtEndPr>
      <w:rPr>
        <w:noProof/>
      </w:rPr>
    </w:sdtEndPr>
    <w:sdtContent>
      <w:p w14:paraId="7B62DED2" w14:textId="77777777" w:rsidR="001E4180" w:rsidRPr="00457DB2" w:rsidRDefault="001E4180" w:rsidP="00D33476">
        <w:pPr>
          <w:pStyle w:val="Footer"/>
          <w:tabs>
            <w:tab w:val="clear" w:pos="4320"/>
            <w:tab w:val="clear" w:pos="8640"/>
            <w:tab w:val="center" w:pos="4680"/>
            <w:tab w:val="right" w:pos="10080"/>
          </w:tabs>
          <w:rPr>
            <w:rFonts w:ascii="Arial" w:hAnsi="Arial" w:cs="Arial"/>
            <w:sz w:val="20"/>
            <w:szCs w:val="20"/>
          </w:rPr>
        </w:pPr>
      </w:p>
      <w:p w14:paraId="1B0B18CD" w14:textId="2075E425" w:rsidR="001E4180" w:rsidRPr="00D33476" w:rsidRDefault="001E4180" w:rsidP="00D33476">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8C2775">
          <w:rPr>
            <w:rFonts w:ascii="Arial" w:hAnsi="Arial" w:cs="Arial"/>
            <w:noProof/>
            <w:sz w:val="20"/>
            <w:szCs w:val="20"/>
          </w:rPr>
          <w:t>2</w:t>
        </w:r>
        <w:r>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C2B53" w14:textId="77777777" w:rsidR="007045CC" w:rsidRDefault="007045CC">
      <w:r>
        <w:separator/>
      </w:r>
    </w:p>
  </w:footnote>
  <w:footnote w:type="continuationSeparator" w:id="0">
    <w:p w14:paraId="550F59B9" w14:textId="77777777" w:rsidR="007045CC" w:rsidRDefault="00704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insideH w:val="single" w:sz="4" w:space="0" w:color="auto"/>
        <w:insideV w:val="single" w:sz="4" w:space="0" w:color="auto"/>
      </w:tblBorders>
      <w:tblLook w:val="0000" w:firstRow="0" w:lastRow="0" w:firstColumn="0" w:lastColumn="0" w:noHBand="0" w:noVBand="0"/>
    </w:tblPr>
    <w:tblGrid>
      <w:gridCol w:w="10080"/>
    </w:tblGrid>
    <w:tr w:rsidR="001E4180" w14:paraId="047C644B" w14:textId="77777777" w:rsidTr="006B7885">
      <w:tc>
        <w:tcPr>
          <w:tcW w:w="10080" w:type="dxa"/>
          <w:shd w:val="clear" w:color="auto" w:fill="000080"/>
        </w:tcPr>
        <w:p w14:paraId="69873EAD" w14:textId="77777777" w:rsidR="001E4180" w:rsidRPr="005D097C" w:rsidRDefault="001E4180" w:rsidP="00457DB2">
          <w:pPr>
            <w:tabs>
              <w:tab w:val="right" w:pos="9852"/>
            </w:tabs>
            <w:rPr>
              <w:rFonts w:ascii="Arial" w:hAnsi="Arial" w:cs="Arial"/>
              <w:b/>
              <w:bCs/>
              <w:noProof/>
              <w:color w:val="FFFFFF"/>
            </w:rPr>
          </w:pPr>
          <w:r>
            <w:rPr>
              <w:rFonts w:ascii="Arial" w:hAnsi="Arial" w:cs="Arial"/>
              <w:b/>
              <w:bCs/>
              <w:noProof/>
              <w:color w:val="FFFFFF"/>
            </w:rPr>
            <w:t>Idaho State University</w:t>
          </w:r>
          <w:r>
            <w:rPr>
              <w:rFonts w:ascii="Arial" w:hAnsi="Arial" w:cs="Arial"/>
              <w:b/>
              <w:bCs/>
              <w:color w:val="FFFFFF"/>
            </w:rPr>
            <w:tab/>
          </w:r>
          <w:r>
            <w:rPr>
              <w:rFonts w:ascii="Arial" w:hAnsi="Arial" w:cs="Arial"/>
              <w:color w:val="FFFFFF"/>
            </w:rPr>
            <w:t>Performance Report</w:t>
          </w:r>
        </w:p>
      </w:tc>
    </w:tr>
    <w:tr w:rsidR="001E4180" w14:paraId="77FEFE9E" w14:textId="77777777" w:rsidTr="006B7885">
      <w:trPr>
        <w:trHeight w:hRule="exact" w:val="90"/>
      </w:trPr>
      <w:tc>
        <w:tcPr>
          <w:tcW w:w="10080" w:type="dxa"/>
          <w:tcBorders>
            <w:top w:val="nil"/>
            <w:bottom w:val="single" w:sz="4" w:space="0" w:color="auto"/>
          </w:tcBorders>
        </w:tcPr>
        <w:p w14:paraId="332044DF" w14:textId="77777777" w:rsidR="001E4180" w:rsidRDefault="001E4180" w:rsidP="00DA3B34"/>
      </w:tc>
    </w:tr>
    <w:tr w:rsidR="001E4180" w14:paraId="6292BBB1" w14:textId="77777777" w:rsidTr="006B7885">
      <w:tc>
        <w:tcPr>
          <w:tcW w:w="10080" w:type="dxa"/>
          <w:tcBorders>
            <w:top w:val="single" w:sz="4" w:space="0" w:color="auto"/>
            <w:bottom w:val="nil"/>
          </w:tcBorders>
          <w:shd w:val="clear" w:color="auto" w:fill="000080"/>
        </w:tcPr>
        <w:p w14:paraId="0C7AEAEA" w14:textId="77777777" w:rsidR="001E4180" w:rsidRDefault="001E4180" w:rsidP="00DA3B34"/>
      </w:tc>
    </w:tr>
  </w:tbl>
  <w:p w14:paraId="32376758" w14:textId="77777777" w:rsidR="001E4180" w:rsidRDefault="001E4180" w:rsidP="006B79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E1DE0"/>
    <w:multiLevelType w:val="hybridMultilevel"/>
    <w:tmpl w:val="9BE8A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E6B46"/>
    <w:multiLevelType w:val="hybridMultilevel"/>
    <w:tmpl w:val="5F7231D0"/>
    <w:lvl w:ilvl="0" w:tplc="4F387B6E">
      <w:numFmt w:val="bullet"/>
      <w:lvlText w:val="-"/>
      <w:lvlJc w:val="left"/>
      <w:pPr>
        <w:ind w:left="1080" w:hanging="360"/>
      </w:pPr>
      <w:rPr>
        <w:rFonts w:ascii="Arial" w:eastAsia="Times New Roman" w:hAnsi="Arial" w:cs="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C30D7B"/>
    <w:multiLevelType w:val="hybridMultilevel"/>
    <w:tmpl w:val="648CB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57CF4"/>
    <w:multiLevelType w:val="hybridMultilevel"/>
    <w:tmpl w:val="3F5A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B4DD0"/>
    <w:multiLevelType w:val="hybridMultilevel"/>
    <w:tmpl w:val="D6AC14D6"/>
    <w:lvl w:ilvl="0" w:tplc="4F387B6E">
      <w:numFmt w:val="bullet"/>
      <w:lvlText w:val="-"/>
      <w:lvlJc w:val="left"/>
      <w:pPr>
        <w:ind w:left="720" w:hanging="360"/>
      </w:pPr>
      <w:rPr>
        <w:rFonts w:ascii="Arial" w:eastAsia="Times New Roman" w:hAnsi="Arial" w:cs="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05154"/>
    <w:multiLevelType w:val="hybridMultilevel"/>
    <w:tmpl w:val="F236B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11D18"/>
    <w:multiLevelType w:val="hybridMultilevel"/>
    <w:tmpl w:val="4DDED2F0"/>
    <w:lvl w:ilvl="0" w:tplc="4F387B6E">
      <w:numFmt w:val="bullet"/>
      <w:lvlText w:val="-"/>
      <w:lvlJc w:val="left"/>
      <w:pPr>
        <w:tabs>
          <w:tab w:val="num" w:pos="420"/>
        </w:tabs>
        <w:ind w:left="420" w:hanging="360"/>
      </w:pPr>
      <w:rPr>
        <w:rFonts w:ascii="Arial" w:eastAsia="Times New Roman" w:hAnsi="Arial" w:cs="Arial" w:hint="default"/>
      </w:rPr>
    </w:lvl>
    <w:lvl w:ilvl="1" w:tplc="04090001">
      <w:start w:val="1"/>
      <w:numFmt w:val="bullet"/>
      <w:lvlText w:val=""/>
      <w:lvlJc w:val="left"/>
      <w:pPr>
        <w:tabs>
          <w:tab w:val="num" w:pos="1140"/>
        </w:tabs>
        <w:ind w:left="1140" w:hanging="360"/>
      </w:pPr>
      <w:rPr>
        <w:rFonts w:ascii="Symbol" w:hAnsi="Symbol"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2D0564F4"/>
    <w:multiLevelType w:val="multilevel"/>
    <w:tmpl w:val="9E302E7E"/>
    <w:lvl w:ilvl="0">
      <w:start w:val="1"/>
      <w:numFmt w:val="decimal"/>
      <w:lvlText w:val="%1."/>
      <w:lvlJc w:val="left"/>
      <w:pPr>
        <w:ind w:left="720" w:hanging="360"/>
      </w:pPr>
    </w:lvl>
    <w:lvl w:ilvl="1">
      <w:start w:val="2"/>
      <w:numFmt w:val="decimal"/>
      <w:isLgl/>
      <w:lvlText w:val="%1.%2"/>
      <w:lvlJc w:val="left"/>
      <w:pPr>
        <w:ind w:left="720" w:hanging="360"/>
      </w:pPr>
      <w:rPr>
        <w:rFonts w:eastAsiaTheme="minorEastAsia" w:hint="default"/>
        <w:color w:val="000000" w:themeColor="text1"/>
        <w:sz w:val="18"/>
      </w:rPr>
    </w:lvl>
    <w:lvl w:ilvl="2">
      <w:start w:val="1"/>
      <w:numFmt w:val="decimal"/>
      <w:isLgl/>
      <w:lvlText w:val="%1.%2.%3"/>
      <w:lvlJc w:val="left"/>
      <w:pPr>
        <w:ind w:left="1080" w:hanging="720"/>
      </w:pPr>
      <w:rPr>
        <w:rFonts w:eastAsiaTheme="minorEastAsia" w:hint="default"/>
        <w:color w:val="000000" w:themeColor="text1"/>
        <w:sz w:val="18"/>
      </w:rPr>
    </w:lvl>
    <w:lvl w:ilvl="3">
      <w:start w:val="1"/>
      <w:numFmt w:val="decimal"/>
      <w:isLgl/>
      <w:lvlText w:val="%1.%2.%3.%4"/>
      <w:lvlJc w:val="left"/>
      <w:pPr>
        <w:ind w:left="1080" w:hanging="720"/>
      </w:pPr>
      <w:rPr>
        <w:rFonts w:eastAsiaTheme="minorEastAsia" w:hint="default"/>
        <w:color w:val="000000" w:themeColor="text1"/>
        <w:sz w:val="18"/>
      </w:rPr>
    </w:lvl>
    <w:lvl w:ilvl="4">
      <w:start w:val="1"/>
      <w:numFmt w:val="decimal"/>
      <w:isLgl/>
      <w:lvlText w:val="%1.%2.%3.%4.%5"/>
      <w:lvlJc w:val="left"/>
      <w:pPr>
        <w:ind w:left="1440" w:hanging="1080"/>
      </w:pPr>
      <w:rPr>
        <w:rFonts w:eastAsiaTheme="minorEastAsia" w:hint="default"/>
        <w:color w:val="000000" w:themeColor="text1"/>
        <w:sz w:val="18"/>
      </w:rPr>
    </w:lvl>
    <w:lvl w:ilvl="5">
      <w:start w:val="1"/>
      <w:numFmt w:val="decimal"/>
      <w:isLgl/>
      <w:lvlText w:val="%1.%2.%3.%4.%5.%6"/>
      <w:lvlJc w:val="left"/>
      <w:pPr>
        <w:ind w:left="1440" w:hanging="1080"/>
      </w:pPr>
      <w:rPr>
        <w:rFonts w:eastAsiaTheme="minorEastAsia" w:hint="default"/>
        <w:color w:val="000000" w:themeColor="text1"/>
        <w:sz w:val="18"/>
      </w:rPr>
    </w:lvl>
    <w:lvl w:ilvl="6">
      <w:start w:val="1"/>
      <w:numFmt w:val="decimal"/>
      <w:isLgl/>
      <w:lvlText w:val="%1.%2.%3.%4.%5.%6.%7"/>
      <w:lvlJc w:val="left"/>
      <w:pPr>
        <w:ind w:left="1800" w:hanging="1440"/>
      </w:pPr>
      <w:rPr>
        <w:rFonts w:eastAsiaTheme="minorEastAsia" w:hint="default"/>
        <w:color w:val="000000" w:themeColor="text1"/>
        <w:sz w:val="18"/>
      </w:rPr>
    </w:lvl>
    <w:lvl w:ilvl="7">
      <w:start w:val="1"/>
      <w:numFmt w:val="decimal"/>
      <w:isLgl/>
      <w:lvlText w:val="%1.%2.%3.%4.%5.%6.%7.%8"/>
      <w:lvlJc w:val="left"/>
      <w:pPr>
        <w:ind w:left="1800" w:hanging="1440"/>
      </w:pPr>
      <w:rPr>
        <w:rFonts w:eastAsiaTheme="minorEastAsia" w:hint="default"/>
        <w:color w:val="000000" w:themeColor="text1"/>
        <w:sz w:val="18"/>
      </w:rPr>
    </w:lvl>
    <w:lvl w:ilvl="8">
      <w:start w:val="1"/>
      <w:numFmt w:val="decimal"/>
      <w:isLgl/>
      <w:lvlText w:val="%1.%2.%3.%4.%5.%6.%7.%8.%9"/>
      <w:lvlJc w:val="left"/>
      <w:pPr>
        <w:ind w:left="2160" w:hanging="1800"/>
      </w:pPr>
      <w:rPr>
        <w:rFonts w:eastAsiaTheme="minorEastAsia" w:hint="default"/>
        <w:color w:val="000000" w:themeColor="text1"/>
        <w:sz w:val="18"/>
      </w:rPr>
    </w:lvl>
  </w:abstractNum>
  <w:abstractNum w:abstractNumId="8" w15:restartNumberingAfterBreak="0">
    <w:nsid w:val="34EC7DBB"/>
    <w:multiLevelType w:val="hybridMultilevel"/>
    <w:tmpl w:val="99003A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7401E9"/>
    <w:multiLevelType w:val="hybridMultilevel"/>
    <w:tmpl w:val="AA88D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E075A1"/>
    <w:multiLevelType w:val="hybridMultilevel"/>
    <w:tmpl w:val="00AE866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5E93592"/>
    <w:multiLevelType w:val="hybridMultilevel"/>
    <w:tmpl w:val="577EE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625A34"/>
    <w:multiLevelType w:val="hybridMultilevel"/>
    <w:tmpl w:val="B57A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547661"/>
    <w:multiLevelType w:val="hybridMultilevel"/>
    <w:tmpl w:val="7AEE6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D5E74"/>
    <w:multiLevelType w:val="multilevel"/>
    <w:tmpl w:val="ADF64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B657FC5"/>
    <w:multiLevelType w:val="hybridMultilevel"/>
    <w:tmpl w:val="EA7E7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960AAB"/>
    <w:multiLevelType w:val="multilevel"/>
    <w:tmpl w:val="A1DABB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8D4D10"/>
    <w:multiLevelType w:val="hybridMultilevel"/>
    <w:tmpl w:val="05223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7D07D0"/>
    <w:multiLevelType w:val="multilevel"/>
    <w:tmpl w:val="BF2EF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8106997">
    <w:abstractNumId w:val="6"/>
  </w:num>
  <w:num w:numId="2" w16cid:durableId="257493037">
    <w:abstractNumId w:val="4"/>
  </w:num>
  <w:num w:numId="3" w16cid:durableId="2053192695">
    <w:abstractNumId w:val="1"/>
  </w:num>
  <w:num w:numId="4" w16cid:durableId="701982060">
    <w:abstractNumId w:val="7"/>
  </w:num>
  <w:num w:numId="5" w16cid:durableId="1240284457">
    <w:abstractNumId w:val="16"/>
  </w:num>
  <w:num w:numId="6" w16cid:durableId="72433801">
    <w:abstractNumId w:val="14"/>
  </w:num>
  <w:num w:numId="7" w16cid:durableId="86967555">
    <w:abstractNumId w:val="18"/>
  </w:num>
  <w:num w:numId="8" w16cid:durableId="1726299015">
    <w:abstractNumId w:val="13"/>
  </w:num>
  <w:num w:numId="9" w16cid:durableId="1499225137">
    <w:abstractNumId w:val="11"/>
  </w:num>
  <w:num w:numId="10" w16cid:durableId="654991182">
    <w:abstractNumId w:val="5"/>
  </w:num>
  <w:num w:numId="11" w16cid:durableId="1986468860">
    <w:abstractNumId w:val="17"/>
  </w:num>
  <w:num w:numId="12" w16cid:durableId="1456947417">
    <w:abstractNumId w:val="12"/>
  </w:num>
  <w:num w:numId="13" w16cid:durableId="1081483600">
    <w:abstractNumId w:val="3"/>
  </w:num>
  <w:num w:numId="14" w16cid:durableId="1915432812">
    <w:abstractNumId w:val="9"/>
  </w:num>
  <w:num w:numId="15" w16cid:durableId="1336759102">
    <w:abstractNumId w:val="0"/>
  </w:num>
  <w:num w:numId="16" w16cid:durableId="1179664642">
    <w:abstractNumId w:val="15"/>
  </w:num>
  <w:num w:numId="17" w16cid:durableId="1750078375">
    <w:abstractNumId w:val="2"/>
  </w:num>
  <w:num w:numId="18" w16cid:durableId="1016686933">
    <w:abstractNumId w:val="8"/>
  </w:num>
  <w:num w:numId="19" w16cid:durableId="11010166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1NjQyMzA1MTYyNjVT0lEKTi0uzszPAykwNKwFALVyWqctAAAA"/>
  </w:docVars>
  <w:rsids>
    <w:rsidRoot w:val="005C1737"/>
    <w:rsid w:val="0000115E"/>
    <w:rsid w:val="00001593"/>
    <w:rsid w:val="0000162D"/>
    <w:rsid w:val="0000387F"/>
    <w:rsid w:val="00006D46"/>
    <w:rsid w:val="00007E45"/>
    <w:rsid w:val="00010519"/>
    <w:rsid w:val="00010A30"/>
    <w:rsid w:val="00010A32"/>
    <w:rsid w:val="00010CC0"/>
    <w:rsid w:val="0001106E"/>
    <w:rsid w:val="00011F6E"/>
    <w:rsid w:val="00012C33"/>
    <w:rsid w:val="000136AF"/>
    <w:rsid w:val="00014573"/>
    <w:rsid w:val="00014D31"/>
    <w:rsid w:val="0001546F"/>
    <w:rsid w:val="0001761D"/>
    <w:rsid w:val="00017749"/>
    <w:rsid w:val="00020AC9"/>
    <w:rsid w:val="0002142E"/>
    <w:rsid w:val="000224DE"/>
    <w:rsid w:val="0002538E"/>
    <w:rsid w:val="000253F0"/>
    <w:rsid w:val="00025C41"/>
    <w:rsid w:val="00027E0E"/>
    <w:rsid w:val="000304E6"/>
    <w:rsid w:val="000309A1"/>
    <w:rsid w:val="00030AFF"/>
    <w:rsid w:val="000329F0"/>
    <w:rsid w:val="000330EB"/>
    <w:rsid w:val="0003361B"/>
    <w:rsid w:val="00033862"/>
    <w:rsid w:val="00033CC4"/>
    <w:rsid w:val="00034A17"/>
    <w:rsid w:val="00034B89"/>
    <w:rsid w:val="00036555"/>
    <w:rsid w:val="00043F0A"/>
    <w:rsid w:val="0004414F"/>
    <w:rsid w:val="00044A26"/>
    <w:rsid w:val="000456AA"/>
    <w:rsid w:val="00045DAA"/>
    <w:rsid w:val="000503E6"/>
    <w:rsid w:val="000504C5"/>
    <w:rsid w:val="00050698"/>
    <w:rsid w:val="0005167E"/>
    <w:rsid w:val="00054F73"/>
    <w:rsid w:val="0005788C"/>
    <w:rsid w:val="00057DBF"/>
    <w:rsid w:val="00060659"/>
    <w:rsid w:val="0006280B"/>
    <w:rsid w:val="00063DCA"/>
    <w:rsid w:val="00065671"/>
    <w:rsid w:val="0006587F"/>
    <w:rsid w:val="00066F64"/>
    <w:rsid w:val="00073378"/>
    <w:rsid w:val="00073E17"/>
    <w:rsid w:val="0007673A"/>
    <w:rsid w:val="00077507"/>
    <w:rsid w:val="00080990"/>
    <w:rsid w:val="00080DD3"/>
    <w:rsid w:val="00082575"/>
    <w:rsid w:val="00082E7C"/>
    <w:rsid w:val="00083C99"/>
    <w:rsid w:val="000877C2"/>
    <w:rsid w:val="000903C7"/>
    <w:rsid w:val="0009053F"/>
    <w:rsid w:val="000908BB"/>
    <w:rsid w:val="00092183"/>
    <w:rsid w:val="000922D8"/>
    <w:rsid w:val="000923E9"/>
    <w:rsid w:val="00092801"/>
    <w:rsid w:val="00092B1C"/>
    <w:rsid w:val="000933F7"/>
    <w:rsid w:val="00093913"/>
    <w:rsid w:val="000944F6"/>
    <w:rsid w:val="00094DC5"/>
    <w:rsid w:val="0009541E"/>
    <w:rsid w:val="00096DC8"/>
    <w:rsid w:val="00097D60"/>
    <w:rsid w:val="000A0B6B"/>
    <w:rsid w:val="000A0DA3"/>
    <w:rsid w:val="000A122C"/>
    <w:rsid w:val="000A132E"/>
    <w:rsid w:val="000A179E"/>
    <w:rsid w:val="000A297E"/>
    <w:rsid w:val="000A335A"/>
    <w:rsid w:val="000A40E2"/>
    <w:rsid w:val="000A4D98"/>
    <w:rsid w:val="000A59D6"/>
    <w:rsid w:val="000A6F3B"/>
    <w:rsid w:val="000A7412"/>
    <w:rsid w:val="000A7BFB"/>
    <w:rsid w:val="000A7E0B"/>
    <w:rsid w:val="000B2CC2"/>
    <w:rsid w:val="000B2E90"/>
    <w:rsid w:val="000B52D8"/>
    <w:rsid w:val="000B554D"/>
    <w:rsid w:val="000C00AB"/>
    <w:rsid w:val="000C0DF2"/>
    <w:rsid w:val="000C31FE"/>
    <w:rsid w:val="000C6CDF"/>
    <w:rsid w:val="000C6D0F"/>
    <w:rsid w:val="000D13C7"/>
    <w:rsid w:val="000D2D7E"/>
    <w:rsid w:val="000D2E86"/>
    <w:rsid w:val="000D36CB"/>
    <w:rsid w:val="000D3B7F"/>
    <w:rsid w:val="000D4230"/>
    <w:rsid w:val="000D4EA4"/>
    <w:rsid w:val="000D662E"/>
    <w:rsid w:val="000D6647"/>
    <w:rsid w:val="000D79BC"/>
    <w:rsid w:val="000E0579"/>
    <w:rsid w:val="000E1C95"/>
    <w:rsid w:val="000E3FA1"/>
    <w:rsid w:val="000E4C44"/>
    <w:rsid w:val="000E571E"/>
    <w:rsid w:val="000E5F14"/>
    <w:rsid w:val="000E5F2E"/>
    <w:rsid w:val="000E6862"/>
    <w:rsid w:val="000E7976"/>
    <w:rsid w:val="000F096D"/>
    <w:rsid w:val="000F2037"/>
    <w:rsid w:val="000F20D6"/>
    <w:rsid w:val="000F3413"/>
    <w:rsid w:val="000F4F63"/>
    <w:rsid w:val="000F508B"/>
    <w:rsid w:val="000F5421"/>
    <w:rsid w:val="000F7EF5"/>
    <w:rsid w:val="001008A7"/>
    <w:rsid w:val="00100DCD"/>
    <w:rsid w:val="001012B5"/>
    <w:rsid w:val="0010197F"/>
    <w:rsid w:val="00102A26"/>
    <w:rsid w:val="001034EB"/>
    <w:rsid w:val="00103CA1"/>
    <w:rsid w:val="0010494E"/>
    <w:rsid w:val="001064AD"/>
    <w:rsid w:val="001072AD"/>
    <w:rsid w:val="00111ECA"/>
    <w:rsid w:val="001127EC"/>
    <w:rsid w:val="00112817"/>
    <w:rsid w:val="00113F5C"/>
    <w:rsid w:val="00120EAB"/>
    <w:rsid w:val="00121A0C"/>
    <w:rsid w:val="001220A7"/>
    <w:rsid w:val="0012552B"/>
    <w:rsid w:val="0013072E"/>
    <w:rsid w:val="00131EA9"/>
    <w:rsid w:val="00134026"/>
    <w:rsid w:val="00134D2E"/>
    <w:rsid w:val="001364F0"/>
    <w:rsid w:val="00136B91"/>
    <w:rsid w:val="00136F9E"/>
    <w:rsid w:val="00137694"/>
    <w:rsid w:val="00140989"/>
    <w:rsid w:val="00141751"/>
    <w:rsid w:val="00141B47"/>
    <w:rsid w:val="00142798"/>
    <w:rsid w:val="001430BB"/>
    <w:rsid w:val="0014619F"/>
    <w:rsid w:val="001468F8"/>
    <w:rsid w:val="001478FB"/>
    <w:rsid w:val="001505EC"/>
    <w:rsid w:val="00151474"/>
    <w:rsid w:val="00152B4D"/>
    <w:rsid w:val="00153672"/>
    <w:rsid w:val="001545FC"/>
    <w:rsid w:val="00154948"/>
    <w:rsid w:val="00160496"/>
    <w:rsid w:val="00160B14"/>
    <w:rsid w:val="00161E92"/>
    <w:rsid w:val="001625DD"/>
    <w:rsid w:val="001641C1"/>
    <w:rsid w:val="001646F1"/>
    <w:rsid w:val="00165D70"/>
    <w:rsid w:val="0016638B"/>
    <w:rsid w:val="00166A90"/>
    <w:rsid w:val="001674C2"/>
    <w:rsid w:val="001678F5"/>
    <w:rsid w:val="00170A77"/>
    <w:rsid w:val="00170B77"/>
    <w:rsid w:val="00172B3B"/>
    <w:rsid w:val="00174598"/>
    <w:rsid w:val="001752BC"/>
    <w:rsid w:val="001758A8"/>
    <w:rsid w:val="001762E6"/>
    <w:rsid w:val="00176EAA"/>
    <w:rsid w:val="00180CDF"/>
    <w:rsid w:val="00182F6F"/>
    <w:rsid w:val="00183103"/>
    <w:rsid w:val="00185210"/>
    <w:rsid w:val="00185479"/>
    <w:rsid w:val="0018702A"/>
    <w:rsid w:val="0019063C"/>
    <w:rsid w:val="00191DF8"/>
    <w:rsid w:val="00191F83"/>
    <w:rsid w:val="001924ED"/>
    <w:rsid w:val="00193484"/>
    <w:rsid w:val="00197EBF"/>
    <w:rsid w:val="001A1099"/>
    <w:rsid w:val="001A3330"/>
    <w:rsid w:val="001A412C"/>
    <w:rsid w:val="001A5550"/>
    <w:rsid w:val="001A57D6"/>
    <w:rsid w:val="001A6D8D"/>
    <w:rsid w:val="001A70FD"/>
    <w:rsid w:val="001A71D0"/>
    <w:rsid w:val="001B07CE"/>
    <w:rsid w:val="001B0929"/>
    <w:rsid w:val="001B352E"/>
    <w:rsid w:val="001B4AA4"/>
    <w:rsid w:val="001B6805"/>
    <w:rsid w:val="001C12BF"/>
    <w:rsid w:val="001C2551"/>
    <w:rsid w:val="001C4A52"/>
    <w:rsid w:val="001C6933"/>
    <w:rsid w:val="001C734A"/>
    <w:rsid w:val="001C7CD9"/>
    <w:rsid w:val="001D280E"/>
    <w:rsid w:val="001D2B39"/>
    <w:rsid w:val="001D3918"/>
    <w:rsid w:val="001D50CB"/>
    <w:rsid w:val="001D542E"/>
    <w:rsid w:val="001D6857"/>
    <w:rsid w:val="001D6FFD"/>
    <w:rsid w:val="001D7202"/>
    <w:rsid w:val="001D7E24"/>
    <w:rsid w:val="001E0558"/>
    <w:rsid w:val="001E0819"/>
    <w:rsid w:val="001E11C1"/>
    <w:rsid w:val="001E2A07"/>
    <w:rsid w:val="001E40D5"/>
    <w:rsid w:val="001E4180"/>
    <w:rsid w:val="001E424C"/>
    <w:rsid w:val="001E43DF"/>
    <w:rsid w:val="001E7577"/>
    <w:rsid w:val="001F0905"/>
    <w:rsid w:val="001F0B46"/>
    <w:rsid w:val="001F1725"/>
    <w:rsid w:val="001F20BC"/>
    <w:rsid w:val="001F2DEB"/>
    <w:rsid w:val="001F481F"/>
    <w:rsid w:val="001F5F5A"/>
    <w:rsid w:val="001F5F86"/>
    <w:rsid w:val="001F672F"/>
    <w:rsid w:val="001F7BC1"/>
    <w:rsid w:val="001F7E1A"/>
    <w:rsid w:val="0020196B"/>
    <w:rsid w:val="002021B0"/>
    <w:rsid w:val="002029EF"/>
    <w:rsid w:val="0020459E"/>
    <w:rsid w:val="00204BEB"/>
    <w:rsid w:val="0021125C"/>
    <w:rsid w:val="00211F9C"/>
    <w:rsid w:val="00212F4A"/>
    <w:rsid w:val="00213397"/>
    <w:rsid w:val="00213983"/>
    <w:rsid w:val="0021418B"/>
    <w:rsid w:val="00214323"/>
    <w:rsid w:val="00214E25"/>
    <w:rsid w:val="00216CD6"/>
    <w:rsid w:val="0022087E"/>
    <w:rsid w:val="002215F1"/>
    <w:rsid w:val="00221A64"/>
    <w:rsid w:val="00221BA3"/>
    <w:rsid w:val="00221DD2"/>
    <w:rsid w:val="002232BA"/>
    <w:rsid w:val="00223524"/>
    <w:rsid w:val="0022422A"/>
    <w:rsid w:val="00224323"/>
    <w:rsid w:val="002254BE"/>
    <w:rsid w:val="0022567A"/>
    <w:rsid w:val="00225D9C"/>
    <w:rsid w:val="00226559"/>
    <w:rsid w:val="00230A53"/>
    <w:rsid w:val="00230A82"/>
    <w:rsid w:val="0023121D"/>
    <w:rsid w:val="00232121"/>
    <w:rsid w:val="002332D7"/>
    <w:rsid w:val="00233988"/>
    <w:rsid w:val="00234144"/>
    <w:rsid w:val="00234982"/>
    <w:rsid w:val="00234AE8"/>
    <w:rsid w:val="00236D9E"/>
    <w:rsid w:val="00241C91"/>
    <w:rsid w:val="00243AAE"/>
    <w:rsid w:val="002445B6"/>
    <w:rsid w:val="00244D24"/>
    <w:rsid w:val="0024648E"/>
    <w:rsid w:val="002475C2"/>
    <w:rsid w:val="00247F8C"/>
    <w:rsid w:val="00250320"/>
    <w:rsid w:val="00250533"/>
    <w:rsid w:val="0025154C"/>
    <w:rsid w:val="0025243D"/>
    <w:rsid w:val="00253310"/>
    <w:rsid w:val="00254360"/>
    <w:rsid w:val="0025506B"/>
    <w:rsid w:val="002626CC"/>
    <w:rsid w:val="00262725"/>
    <w:rsid w:val="00263279"/>
    <w:rsid w:val="002634D3"/>
    <w:rsid w:val="002634D5"/>
    <w:rsid w:val="00264847"/>
    <w:rsid w:val="00265032"/>
    <w:rsid w:val="0027114B"/>
    <w:rsid w:val="00271CFE"/>
    <w:rsid w:val="00272B74"/>
    <w:rsid w:val="00273E5F"/>
    <w:rsid w:val="0027479D"/>
    <w:rsid w:val="002751DE"/>
    <w:rsid w:val="00275A5D"/>
    <w:rsid w:val="00275F10"/>
    <w:rsid w:val="00283C78"/>
    <w:rsid w:val="0028412F"/>
    <w:rsid w:val="0028465A"/>
    <w:rsid w:val="00284856"/>
    <w:rsid w:val="00284E78"/>
    <w:rsid w:val="0028797C"/>
    <w:rsid w:val="00290C0F"/>
    <w:rsid w:val="00291142"/>
    <w:rsid w:val="00291C7A"/>
    <w:rsid w:val="00293677"/>
    <w:rsid w:val="00293E28"/>
    <w:rsid w:val="002941B4"/>
    <w:rsid w:val="00294CE9"/>
    <w:rsid w:val="00295078"/>
    <w:rsid w:val="00295386"/>
    <w:rsid w:val="00296995"/>
    <w:rsid w:val="00297115"/>
    <w:rsid w:val="002A0AD8"/>
    <w:rsid w:val="002A0BE5"/>
    <w:rsid w:val="002A1B88"/>
    <w:rsid w:val="002A2A8E"/>
    <w:rsid w:val="002A35E7"/>
    <w:rsid w:val="002A3F3C"/>
    <w:rsid w:val="002A5BE3"/>
    <w:rsid w:val="002B0E69"/>
    <w:rsid w:val="002B17EF"/>
    <w:rsid w:val="002B2820"/>
    <w:rsid w:val="002B2FF1"/>
    <w:rsid w:val="002B38E5"/>
    <w:rsid w:val="002B4081"/>
    <w:rsid w:val="002B4187"/>
    <w:rsid w:val="002B470C"/>
    <w:rsid w:val="002B5899"/>
    <w:rsid w:val="002B5B17"/>
    <w:rsid w:val="002B69D5"/>
    <w:rsid w:val="002B6B47"/>
    <w:rsid w:val="002C2F90"/>
    <w:rsid w:val="002C56EF"/>
    <w:rsid w:val="002C5FDE"/>
    <w:rsid w:val="002C6E5C"/>
    <w:rsid w:val="002C71DA"/>
    <w:rsid w:val="002C7D3F"/>
    <w:rsid w:val="002D0483"/>
    <w:rsid w:val="002D1F38"/>
    <w:rsid w:val="002D2FAD"/>
    <w:rsid w:val="002D4B6C"/>
    <w:rsid w:val="002D6320"/>
    <w:rsid w:val="002E04F4"/>
    <w:rsid w:val="002E08A5"/>
    <w:rsid w:val="002E0B19"/>
    <w:rsid w:val="002E1373"/>
    <w:rsid w:val="002E25B6"/>
    <w:rsid w:val="002E4082"/>
    <w:rsid w:val="002E4E05"/>
    <w:rsid w:val="002E6017"/>
    <w:rsid w:val="002E61A9"/>
    <w:rsid w:val="002E7BDD"/>
    <w:rsid w:val="002F16EC"/>
    <w:rsid w:val="002F1E84"/>
    <w:rsid w:val="002F20DD"/>
    <w:rsid w:val="002F425A"/>
    <w:rsid w:val="002F4413"/>
    <w:rsid w:val="002F4893"/>
    <w:rsid w:val="002F580A"/>
    <w:rsid w:val="002F6971"/>
    <w:rsid w:val="002F6F2C"/>
    <w:rsid w:val="002F7358"/>
    <w:rsid w:val="003009C9"/>
    <w:rsid w:val="00301088"/>
    <w:rsid w:val="0030121E"/>
    <w:rsid w:val="003016F0"/>
    <w:rsid w:val="00303290"/>
    <w:rsid w:val="0030338F"/>
    <w:rsid w:val="003042D7"/>
    <w:rsid w:val="003046EE"/>
    <w:rsid w:val="0030612A"/>
    <w:rsid w:val="00310067"/>
    <w:rsid w:val="003111A5"/>
    <w:rsid w:val="00311294"/>
    <w:rsid w:val="00311C58"/>
    <w:rsid w:val="00311CA0"/>
    <w:rsid w:val="00311F85"/>
    <w:rsid w:val="003121FD"/>
    <w:rsid w:val="00313E48"/>
    <w:rsid w:val="00313F89"/>
    <w:rsid w:val="00316134"/>
    <w:rsid w:val="003171CC"/>
    <w:rsid w:val="00321F2E"/>
    <w:rsid w:val="003228DF"/>
    <w:rsid w:val="00322EDD"/>
    <w:rsid w:val="00324C11"/>
    <w:rsid w:val="003255DF"/>
    <w:rsid w:val="00326199"/>
    <w:rsid w:val="003304F5"/>
    <w:rsid w:val="00330668"/>
    <w:rsid w:val="00330D98"/>
    <w:rsid w:val="00331CFE"/>
    <w:rsid w:val="0033356A"/>
    <w:rsid w:val="00335881"/>
    <w:rsid w:val="00335A78"/>
    <w:rsid w:val="003369C3"/>
    <w:rsid w:val="00337A30"/>
    <w:rsid w:val="00337D54"/>
    <w:rsid w:val="00343337"/>
    <w:rsid w:val="0034336E"/>
    <w:rsid w:val="003440B5"/>
    <w:rsid w:val="003443DD"/>
    <w:rsid w:val="00344920"/>
    <w:rsid w:val="00345DAE"/>
    <w:rsid w:val="00345E15"/>
    <w:rsid w:val="003464AC"/>
    <w:rsid w:val="00347E86"/>
    <w:rsid w:val="00350FD2"/>
    <w:rsid w:val="0035106D"/>
    <w:rsid w:val="0035120E"/>
    <w:rsid w:val="00351CD3"/>
    <w:rsid w:val="00352A01"/>
    <w:rsid w:val="00353200"/>
    <w:rsid w:val="0035582D"/>
    <w:rsid w:val="0035693E"/>
    <w:rsid w:val="00360F8E"/>
    <w:rsid w:val="0036116F"/>
    <w:rsid w:val="00361BE5"/>
    <w:rsid w:val="00364BEE"/>
    <w:rsid w:val="003656B9"/>
    <w:rsid w:val="003666B4"/>
    <w:rsid w:val="00367A24"/>
    <w:rsid w:val="00367F1A"/>
    <w:rsid w:val="00371710"/>
    <w:rsid w:val="003717FF"/>
    <w:rsid w:val="00371E4B"/>
    <w:rsid w:val="0037259F"/>
    <w:rsid w:val="00372A73"/>
    <w:rsid w:val="003739FE"/>
    <w:rsid w:val="00375054"/>
    <w:rsid w:val="00375706"/>
    <w:rsid w:val="00375F23"/>
    <w:rsid w:val="003761E6"/>
    <w:rsid w:val="003768D1"/>
    <w:rsid w:val="00377B03"/>
    <w:rsid w:val="00381E0F"/>
    <w:rsid w:val="003866D4"/>
    <w:rsid w:val="0038751F"/>
    <w:rsid w:val="003878C4"/>
    <w:rsid w:val="00390781"/>
    <w:rsid w:val="00390802"/>
    <w:rsid w:val="003908EF"/>
    <w:rsid w:val="003920ED"/>
    <w:rsid w:val="0039402D"/>
    <w:rsid w:val="00394F87"/>
    <w:rsid w:val="00395B6D"/>
    <w:rsid w:val="0039602D"/>
    <w:rsid w:val="003A15D7"/>
    <w:rsid w:val="003A34D7"/>
    <w:rsid w:val="003A405F"/>
    <w:rsid w:val="003A747C"/>
    <w:rsid w:val="003A78C4"/>
    <w:rsid w:val="003A7B62"/>
    <w:rsid w:val="003B04D4"/>
    <w:rsid w:val="003B0672"/>
    <w:rsid w:val="003B08BF"/>
    <w:rsid w:val="003B4298"/>
    <w:rsid w:val="003B50A6"/>
    <w:rsid w:val="003B6C76"/>
    <w:rsid w:val="003C07BA"/>
    <w:rsid w:val="003C781B"/>
    <w:rsid w:val="003D0313"/>
    <w:rsid w:val="003D1A5A"/>
    <w:rsid w:val="003D475C"/>
    <w:rsid w:val="003D7E76"/>
    <w:rsid w:val="003E1284"/>
    <w:rsid w:val="003E21C4"/>
    <w:rsid w:val="003E3C0D"/>
    <w:rsid w:val="003E3F09"/>
    <w:rsid w:val="003E3FD5"/>
    <w:rsid w:val="003E4A43"/>
    <w:rsid w:val="003E6424"/>
    <w:rsid w:val="003E685C"/>
    <w:rsid w:val="003E6F17"/>
    <w:rsid w:val="003F1B6C"/>
    <w:rsid w:val="003F1F24"/>
    <w:rsid w:val="003F244D"/>
    <w:rsid w:val="003F3851"/>
    <w:rsid w:val="003F4B80"/>
    <w:rsid w:val="003F4FA2"/>
    <w:rsid w:val="003F50D1"/>
    <w:rsid w:val="003F5A36"/>
    <w:rsid w:val="003F5EE5"/>
    <w:rsid w:val="003F643E"/>
    <w:rsid w:val="003F788C"/>
    <w:rsid w:val="00401F23"/>
    <w:rsid w:val="00402C15"/>
    <w:rsid w:val="00403B45"/>
    <w:rsid w:val="00404362"/>
    <w:rsid w:val="00404851"/>
    <w:rsid w:val="00404AE6"/>
    <w:rsid w:val="004076E4"/>
    <w:rsid w:val="00407903"/>
    <w:rsid w:val="00407C77"/>
    <w:rsid w:val="004104C6"/>
    <w:rsid w:val="00411733"/>
    <w:rsid w:val="0041421F"/>
    <w:rsid w:val="004147A9"/>
    <w:rsid w:val="0041515C"/>
    <w:rsid w:val="00415713"/>
    <w:rsid w:val="004175F3"/>
    <w:rsid w:val="004207E6"/>
    <w:rsid w:val="00422650"/>
    <w:rsid w:val="0042310E"/>
    <w:rsid w:val="004238DF"/>
    <w:rsid w:val="004253A0"/>
    <w:rsid w:val="004267B1"/>
    <w:rsid w:val="0042689D"/>
    <w:rsid w:val="00427CD4"/>
    <w:rsid w:val="00430AD4"/>
    <w:rsid w:val="00432189"/>
    <w:rsid w:val="0043261D"/>
    <w:rsid w:val="0043319B"/>
    <w:rsid w:val="00433DB2"/>
    <w:rsid w:val="00435DF0"/>
    <w:rsid w:val="004372BA"/>
    <w:rsid w:val="00437F6F"/>
    <w:rsid w:val="0044068C"/>
    <w:rsid w:val="00441199"/>
    <w:rsid w:val="00442BF7"/>
    <w:rsid w:val="00443F64"/>
    <w:rsid w:val="00445EBD"/>
    <w:rsid w:val="00446591"/>
    <w:rsid w:val="00446B1D"/>
    <w:rsid w:val="004508C7"/>
    <w:rsid w:val="00451966"/>
    <w:rsid w:val="00451BCA"/>
    <w:rsid w:val="00452F87"/>
    <w:rsid w:val="0045323D"/>
    <w:rsid w:val="00455935"/>
    <w:rsid w:val="0045700C"/>
    <w:rsid w:val="00457DB2"/>
    <w:rsid w:val="00464A52"/>
    <w:rsid w:val="00465428"/>
    <w:rsid w:val="0046571C"/>
    <w:rsid w:val="00466252"/>
    <w:rsid w:val="00470218"/>
    <w:rsid w:val="00470689"/>
    <w:rsid w:val="00471A5E"/>
    <w:rsid w:val="00471D98"/>
    <w:rsid w:val="00472AF9"/>
    <w:rsid w:val="004756A9"/>
    <w:rsid w:val="0047591F"/>
    <w:rsid w:val="00475B4A"/>
    <w:rsid w:val="0047627A"/>
    <w:rsid w:val="004770A7"/>
    <w:rsid w:val="00477578"/>
    <w:rsid w:val="00477E83"/>
    <w:rsid w:val="004800E3"/>
    <w:rsid w:val="004808A5"/>
    <w:rsid w:val="004809A4"/>
    <w:rsid w:val="004834A9"/>
    <w:rsid w:val="00483B2D"/>
    <w:rsid w:val="00483D5C"/>
    <w:rsid w:val="00484067"/>
    <w:rsid w:val="004844A3"/>
    <w:rsid w:val="0048451E"/>
    <w:rsid w:val="0048484F"/>
    <w:rsid w:val="00485EDD"/>
    <w:rsid w:val="0048658F"/>
    <w:rsid w:val="00487102"/>
    <w:rsid w:val="00490081"/>
    <w:rsid w:val="00491487"/>
    <w:rsid w:val="00493D1F"/>
    <w:rsid w:val="004952AA"/>
    <w:rsid w:val="00495869"/>
    <w:rsid w:val="004962F7"/>
    <w:rsid w:val="00497305"/>
    <w:rsid w:val="004A0DD1"/>
    <w:rsid w:val="004A17A5"/>
    <w:rsid w:val="004A1C17"/>
    <w:rsid w:val="004A2525"/>
    <w:rsid w:val="004A30D4"/>
    <w:rsid w:val="004A388B"/>
    <w:rsid w:val="004A3CA5"/>
    <w:rsid w:val="004A45FB"/>
    <w:rsid w:val="004A4CC3"/>
    <w:rsid w:val="004A7499"/>
    <w:rsid w:val="004A75B2"/>
    <w:rsid w:val="004B0B14"/>
    <w:rsid w:val="004B14B2"/>
    <w:rsid w:val="004B15B1"/>
    <w:rsid w:val="004B37ED"/>
    <w:rsid w:val="004B3D7A"/>
    <w:rsid w:val="004B3E24"/>
    <w:rsid w:val="004B41DC"/>
    <w:rsid w:val="004B4C72"/>
    <w:rsid w:val="004B55D0"/>
    <w:rsid w:val="004B5F2E"/>
    <w:rsid w:val="004B5F5F"/>
    <w:rsid w:val="004C12C8"/>
    <w:rsid w:val="004C336E"/>
    <w:rsid w:val="004C33FC"/>
    <w:rsid w:val="004C3B08"/>
    <w:rsid w:val="004C43E0"/>
    <w:rsid w:val="004C4511"/>
    <w:rsid w:val="004C46C3"/>
    <w:rsid w:val="004C5E26"/>
    <w:rsid w:val="004C6452"/>
    <w:rsid w:val="004C6BB1"/>
    <w:rsid w:val="004C788D"/>
    <w:rsid w:val="004C79DA"/>
    <w:rsid w:val="004D0BDE"/>
    <w:rsid w:val="004D0E77"/>
    <w:rsid w:val="004D0ED2"/>
    <w:rsid w:val="004D178D"/>
    <w:rsid w:val="004D3CDB"/>
    <w:rsid w:val="004D4A60"/>
    <w:rsid w:val="004D5348"/>
    <w:rsid w:val="004D663F"/>
    <w:rsid w:val="004D6AA0"/>
    <w:rsid w:val="004D6ADD"/>
    <w:rsid w:val="004D71D0"/>
    <w:rsid w:val="004D78A1"/>
    <w:rsid w:val="004E0915"/>
    <w:rsid w:val="004E0E10"/>
    <w:rsid w:val="004E104F"/>
    <w:rsid w:val="004E1B69"/>
    <w:rsid w:val="004E3573"/>
    <w:rsid w:val="004E3FD3"/>
    <w:rsid w:val="004E45D9"/>
    <w:rsid w:val="004E4E21"/>
    <w:rsid w:val="004E51AE"/>
    <w:rsid w:val="004E5963"/>
    <w:rsid w:val="004E5D84"/>
    <w:rsid w:val="004E5DAD"/>
    <w:rsid w:val="004E5E2D"/>
    <w:rsid w:val="004E6F9A"/>
    <w:rsid w:val="004F09B2"/>
    <w:rsid w:val="004F1E70"/>
    <w:rsid w:val="004F2468"/>
    <w:rsid w:val="004F2FE8"/>
    <w:rsid w:val="004F4095"/>
    <w:rsid w:val="004F4D01"/>
    <w:rsid w:val="004F5E4E"/>
    <w:rsid w:val="004F62AF"/>
    <w:rsid w:val="004F6C22"/>
    <w:rsid w:val="004F6CD3"/>
    <w:rsid w:val="004F744A"/>
    <w:rsid w:val="004F7AE7"/>
    <w:rsid w:val="005007C4"/>
    <w:rsid w:val="005022DC"/>
    <w:rsid w:val="00506F36"/>
    <w:rsid w:val="005104A6"/>
    <w:rsid w:val="00512025"/>
    <w:rsid w:val="00512D17"/>
    <w:rsid w:val="00513B10"/>
    <w:rsid w:val="00513BB5"/>
    <w:rsid w:val="0051425E"/>
    <w:rsid w:val="00514D69"/>
    <w:rsid w:val="00515399"/>
    <w:rsid w:val="00515409"/>
    <w:rsid w:val="005155DA"/>
    <w:rsid w:val="005158E9"/>
    <w:rsid w:val="005166A9"/>
    <w:rsid w:val="005177BA"/>
    <w:rsid w:val="00520C97"/>
    <w:rsid w:val="005219DB"/>
    <w:rsid w:val="00521B09"/>
    <w:rsid w:val="00522098"/>
    <w:rsid w:val="00522AC7"/>
    <w:rsid w:val="00524EA6"/>
    <w:rsid w:val="0052677A"/>
    <w:rsid w:val="00527204"/>
    <w:rsid w:val="0053237E"/>
    <w:rsid w:val="00532549"/>
    <w:rsid w:val="00532E9E"/>
    <w:rsid w:val="005331BE"/>
    <w:rsid w:val="005351AF"/>
    <w:rsid w:val="005355F3"/>
    <w:rsid w:val="00537AC5"/>
    <w:rsid w:val="005403A1"/>
    <w:rsid w:val="00540EE3"/>
    <w:rsid w:val="00541D9D"/>
    <w:rsid w:val="00542146"/>
    <w:rsid w:val="00542DE9"/>
    <w:rsid w:val="005432CA"/>
    <w:rsid w:val="00544B6E"/>
    <w:rsid w:val="00545048"/>
    <w:rsid w:val="005453C6"/>
    <w:rsid w:val="00545FBF"/>
    <w:rsid w:val="00546076"/>
    <w:rsid w:val="00546E06"/>
    <w:rsid w:val="00550F80"/>
    <w:rsid w:val="00550FA9"/>
    <w:rsid w:val="00552537"/>
    <w:rsid w:val="00552734"/>
    <w:rsid w:val="005527BB"/>
    <w:rsid w:val="00555567"/>
    <w:rsid w:val="0055609A"/>
    <w:rsid w:val="00556FF2"/>
    <w:rsid w:val="00557867"/>
    <w:rsid w:val="00557DC4"/>
    <w:rsid w:val="005607C8"/>
    <w:rsid w:val="00560B27"/>
    <w:rsid w:val="00560D73"/>
    <w:rsid w:val="00562463"/>
    <w:rsid w:val="00564283"/>
    <w:rsid w:val="00564CEA"/>
    <w:rsid w:val="005654B9"/>
    <w:rsid w:val="00565D0F"/>
    <w:rsid w:val="00567195"/>
    <w:rsid w:val="00567A0F"/>
    <w:rsid w:val="00572581"/>
    <w:rsid w:val="00573B93"/>
    <w:rsid w:val="005753E1"/>
    <w:rsid w:val="00575B0C"/>
    <w:rsid w:val="00575DFD"/>
    <w:rsid w:val="00576F46"/>
    <w:rsid w:val="00577146"/>
    <w:rsid w:val="00580DBE"/>
    <w:rsid w:val="00581C27"/>
    <w:rsid w:val="00581D37"/>
    <w:rsid w:val="00581FF3"/>
    <w:rsid w:val="00583046"/>
    <w:rsid w:val="005874E9"/>
    <w:rsid w:val="00587824"/>
    <w:rsid w:val="005900EE"/>
    <w:rsid w:val="00590842"/>
    <w:rsid w:val="005913D3"/>
    <w:rsid w:val="00591941"/>
    <w:rsid w:val="005924A4"/>
    <w:rsid w:val="005928EF"/>
    <w:rsid w:val="00592A03"/>
    <w:rsid w:val="005939B2"/>
    <w:rsid w:val="00595E4A"/>
    <w:rsid w:val="00595F92"/>
    <w:rsid w:val="00597376"/>
    <w:rsid w:val="00597879"/>
    <w:rsid w:val="005A49B1"/>
    <w:rsid w:val="005A4EFA"/>
    <w:rsid w:val="005A5A28"/>
    <w:rsid w:val="005A5D39"/>
    <w:rsid w:val="005A6530"/>
    <w:rsid w:val="005A6656"/>
    <w:rsid w:val="005B05EE"/>
    <w:rsid w:val="005B0DD7"/>
    <w:rsid w:val="005B27ED"/>
    <w:rsid w:val="005B41D5"/>
    <w:rsid w:val="005B44D5"/>
    <w:rsid w:val="005B736B"/>
    <w:rsid w:val="005B7AF4"/>
    <w:rsid w:val="005C0CCF"/>
    <w:rsid w:val="005C1737"/>
    <w:rsid w:val="005C3F1D"/>
    <w:rsid w:val="005C6391"/>
    <w:rsid w:val="005C6936"/>
    <w:rsid w:val="005C6C20"/>
    <w:rsid w:val="005C739A"/>
    <w:rsid w:val="005C73C0"/>
    <w:rsid w:val="005C747C"/>
    <w:rsid w:val="005C76AA"/>
    <w:rsid w:val="005C7801"/>
    <w:rsid w:val="005C7CD5"/>
    <w:rsid w:val="005D0347"/>
    <w:rsid w:val="005D097C"/>
    <w:rsid w:val="005D1085"/>
    <w:rsid w:val="005D12E5"/>
    <w:rsid w:val="005D1D35"/>
    <w:rsid w:val="005D2CAB"/>
    <w:rsid w:val="005D3563"/>
    <w:rsid w:val="005D5D66"/>
    <w:rsid w:val="005D5F9B"/>
    <w:rsid w:val="005D5FE1"/>
    <w:rsid w:val="005E0ED8"/>
    <w:rsid w:val="005E2E8C"/>
    <w:rsid w:val="005E4336"/>
    <w:rsid w:val="005E644C"/>
    <w:rsid w:val="005E66E1"/>
    <w:rsid w:val="005E7B16"/>
    <w:rsid w:val="005E7D8B"/>
    <w:rsid w:val="005F0A7D"/>
    <w:rsid w:val="005F107E"/>
    <w:rsid w:val="005F27E1"/>
    <w:rsid w:val="005F40DB"/>
    <w:rsid w:val="005F4771"/>
    <w:rsid w:val="005F4EEC"/>
    <w:rsid w:val="005F5279"/>
    <w:rsid w:val="005F5EFE"/>
    <w:rsid w:val="005F6334"/>
    <w:rsid w:val="005F770B"/>
    <w:rsid w:val="00601A4D"/>
    <w:rsid w:val="00603BA6"/>
    <w:rsid w:val="006047D5"/>
    <w:rsid w:val="00605B29"/>
    <w:rsid w:val="00606066"/>
    <w:rsid w:val="00606446"/>
    <w:rsid w:val="00606B45"/>
    <w:rsid w:val="0061022E"/>
    <w:rsid w:val="00610B08"/>
    <w:rsid w:val="00611D95"/>
    <w:rsid w:val="00612F4C"/>
    <w:rsid w:val="006133F1"/>
    <w:rsid w:val="006141DF"/>
    <w:rsid w:val="006144EB"/>
    <w:rsid w:val="006148A6"/>
    <w:rsid w:val="006170E0"/>
    <w:rsid w:val="006172C6"/>
    <w:rsid w:val="0062105C"/>
    <w:rsid w:val="00623162"/>
    <w:rsid w:val="006263BB"/>
    <w:rsid w:val="0062759A"/>
    <w:rsid w:val="00630392"/>
    <w:rsid w:val="00631EAC"/>
    <w:rsid w:val="00632351"/>
    <w:rsid w:val="006325B9"/>
    <w:rsid w:val="00633D38"/>
    <w:rsid w:val="00634525"/>
    <w:rsid w:val="0063476A"/>
    <w:rsid w:val="006365C1"/>
    <w:rsid w:val="006401A1"/>
    <w:rsid w:val="00640DB8"/>
    <w:rsid w:val="006413FC"/>
    <w:rsid w:val="006414B6"/>
    <w:rsid w:val="006429E1"/>
    <w:rsid w:val="00643402"/>
    <w:rsid w:val="0064410E"/>
    <w:rsid w:val="0064459E"/>
    <w:rsid w:val="00644B7B"/>
    <w:rsid w:val="00644C09"/>
    <w:rsid w:val="006477B0"/>
    <w:rsid w:val="006477B3"/>
    <w:rsid w:val="00650246"/>
    <w:rsid w:val="00650432"/>
    <w:rsid w:val="00652726"/>
    <w:rsid w:val="00652E1F"/>
    <w:rsid w:val="00654710"/>
    <w:rsid w:val="00655507"/>
    <w:rsid w:val="006557AE"/>
    <w:rsid w:val="00655BB5"/>
    <w:rsid w:val="006562B3"/>
    <w:rsid w:val="006606F9"/>
    <w:rsid w:val="0066182C"/>
    <w:rsid w:val="00662275"/>
    <w:rsid w:val="00662E43"/>
    <w:rsid w:val="0066396C"/>
    <w:rsid w:val="00663A63"/>
    <w:rsid w:val="00665E47"/>
    <w:rsid w:val="00666D7C"/>
    <w:rsid w:val="00670352"/>
    <w:rsid w:val="00670748"/>
    <w:rsid w:val="006707B6"/>
    <w:rsid w:val="00671E49"/>
    <w:rsid w:val="006729B8"/>
    <w:rsid w:val="0067490E"/>
    <w:rsid w:val="00674980"/>
    <w:rsid w:val="006761B9"/>
    <w:rsid w:val="006769AB"/>
    <w:rsid w:val="0068095A"/>
    <w:rsid w:val="00680C74"/>
    <w:rsid w:val="006819BC"/>
    <w:rsid w:val="006828A3"/>
    <w:rsid w:val="00682DCC"/>
    <w:rsid w:val="00682F37"/>
    <w:rsid w:val="006851AF"/>
    <w:rsid w:val="00685F4E"/>
    <w:rsid w:val="006902E8"/>
    <w:rsid w:val="00690683"/>
    <w:rsid w:val="00690804"/>
    <w:rsid w:val="006912A4"/>
    <w:rsid w:val="0069164F"/>
    <w:rsid w:val="006932B5"/>
    <w:rsid w:val="00695A1E"/>
    <w:rsid w:val="0069723F"/>
    <w:rsid w:val="006A0D75"/>
    <w:rsid w:val="006A1637"/>
    <w:rsid w:val="006A2551"/>
    <w:rsid w:val="006A2C5B"/>
    <w:rsid w:val="006A31E7"/>
    <w:rsid w:val="006A390A"/>
    <w:rsid w:val="006A4A66"/>
    <w:rsid w:val="006A5114"/>
    <w:rsid w:val="006A5115"/>
    <w:rsid w:val="006A5B3A"/>
    <w:rsid w:val="006A5B6B"/>
    <w:rsid w:val="006A720E"/>
    <w:rsid w:val="006B062B"/>
    <w:rsid w:val="006B279D"/>
    <w:rsid w:val="006B2B57"/>
    <w:rsid w:val="006B32CC"/>
    <w:rsid w:val="006B3F70"/>
    <w:rsid w:val="006B50BE"/>
    <w:rsid w:val="006B5E8B"/>
    <w:rsid w:val="006B7885"/>
    <w:rsid w:val="006B78D9"/>
    <w:rsid w:val="006B7969"/>
    <w:rsid w:val="006B7D32"/>
    <w:rsid w:val="006C0E1C"/>
    <w:rsid w:val="006C1CD2"/>
    <w:rsid w:val="006C1CE4"/>
    <w:rsid w:val="006C2744"/>
    <w:rsid w:val="006C3990"/>
    <w:rsid w:val="006C47EB"/>
    <w:rsid w:val="006C652F"/>
    <w:rsid w:val="006C6A79"/>
    <w:rsid w:val="006D031F"/>
    <w:rsid w:val="006D0ED1"/>
    <w:rsid w:val="006D1A34"/>
    <w:rsid w:val="006D2CDE"/>
    <w:rsid w:val="006D3BA9"/>
    <w:rsid w:val="006D3D09"/>
    <w:rsid w:val="006D491C"/>
    <w:rsid w:val="006D645E"/>
    <w:rsid w:val="006D6505"/>
    <w:rsid w:val="006D6ED8"/>
    <w:rsid w:val="006E0185"/>
    <w:rsid w:val="006E1F36"/>
    <w:rsid w:val="006E31B1"/>
    <w:rsid w:val="006E3E8A"/>
    <w:rsid w:val="006E4166"/>
    <w:rsid w:val="006E4BA9"/>
    <w:rsid w:val="006E6E63"/>
    <w:rsid w:val="006F076A"/>
    <w:rsid w:val="006F19B0"/>
    <w:rsid w:val="006F1E16"/>
    <w:rsid w:val="006F3EB4"/>
    <w:rsid w:val="006F4504"/>
    <w:rsid w:val="006F4C4F"/>
    <w:rsid w:val="006F5A1A"/>
    <w:rsid w:val="006F6DE4"/>
    <w:rsid w:val="006F7269"/>
    <w:rsid w:val="00700313"/>
    <w:rsid w:val="00700A16"/>
    <w:rsid w:val="0070113B"/>
    <w:rsid w:val="007015B1"/>
    <w:rsid w:val="00701F90"/>
    <w:rsid w:val="00702B54"/>
    <w:rsid w:val="00702D89"/>
    <w:rsid w:val="0070332A"/>
    <w:rsid w:val="00704112"/>
    <w:rsid w:val="007045CC"/>
    <w:rsid w:val="00707769"/>
    <w:rsid w:val="007104B7"/>
    <w:rsid w:val="007115F6"/>
    <w:rsid w:val="00711931"/>
    <w:rsid w:val="00711B95"/>
    <w:rsid w:val="00711BCA"/>
    <w:rsid w:val="007140EB"/>
    <w:rsid w:val="00716E7E"/>
    <w:rsid w:val="00717F2C"/>
    <w:rsid w:val="007230E5"/>
    <w:rsid w:val="007234DD"/>
    <w:rsid w:val="00725471"/>
    <w:rsid w:val="00726432"/>
    <w:rsid w:val="00726672"/>
    <w:rsid w:val="007267F8"/>
    <w:rsid w:val="0072682D"/>
    <w:rsid w:val="0073085A"/>
    <w:rsid w:val="00733B73"/>
    <w:rsid w:val="00733BEF"/>
    <w:rsid w:val="0073633D"/>
    <w:rsid w:val="00742CA6"/>
    <w:rsid w:val="00744B29"/>
    <w:rsid w:val="00744D98"/>
    <w:rsid w:val="00744F26"/>
    <w:rsid w:val="007461AD"/>
    <w:rsid w:val="0074776D"/>
    <w:rsid w:val="00747D11"/>
    <w:rsid w:val="00750895"/>
    <w:rsid w:val="00751723"/>
    <w:rsid w:val="00751C85"/>
    <w:rsid w:val="0075363F"/>
    <w:rsid w:val="00755C81"/>
    <w:rsid w:val="00756057"/>
    <w:rsid w:val="0076286C"/>
    <w:rsid w:val="00764966"/>
    <w:rsid w:val="00766526"/>
    <w:rsid w:val="007670A5"/>
    <w:rsid w:val="0077006C"/>
    <w:rsid w:val="007716B0"/>
    <w:rsid w:val="00771E1F"/>
    <w:rsid w:val="00772154"/>
    <w:rsid w:val="00772923"/>
    <w:rsid w:val="00774252"/>
    <w:rsid w:val="00776326"/>
    <w:rsid w:val="00776BA0"/>
    <w:rsid w:val="00777124"/>
    <w:rsid w:val="007771B2"/>
    <w:rsid w:val="00777BAD"/>
    <w:rsid w:val="00777FE4"/>
    <w:rsid w:val="007802B0"/>
    <w:rsid w:val="00780746"/>
    <w:rsid w:val="00780A4C"/>
    <w:rsid w:val="00781411"/>
    <w:rsid w:val="00783BCE"/>
    <w:rsid w:val="007854DD"/>
    <w:rsid w:val="0078572D"/>
    <w:rsid w:val="0078607D"/>
    <w:rsid w:val="00790B6A"/>
    <w:rsid w:val="0079102E"/>
    <w:rsid w:val="00791A6D"/>
    <w:rsid w:val="00792367"/>
    <w:rsid w:val="007940E2"/>
    <w:rsid w:val="007945C0"/>
    <w:rsid w:val="00794801"/>
    <w:rsid w:val="00794F82"/>
    <w:rsid w:val="007971FB"/>
    <w:rsid w:val="0079759D"/>
    <w:rsid w:val="007975E8"/>
    <w:rsid w:val="007A0222"/>
    <w:rsid w:val="007A0FBB"/>
    <w:rsid w:val="007A24BB"/>
    <w:rsid w:val="007A2F0E"/>
    <w:rsid w:val="007A3446"/>
    <w:rsid w:val="007A3AB7"/>
    <w:rsid w:val="007A4819"/>
    <w:rsid w:val="007A5D7C"/>
    <w:rsid w:val="007A7870"/>
    <w:rsid w:val="007B05F2"/>
    <w:rsid w:val="007B12ED"/>
    <w:rsid w:val="007B1B9E"/>
    <w:rsid w:val="007B2428"/>
    <w:rsid w:val="007B29A6"/>
    <w:rsid w:val="007B2E42"/>
    <w:rsid w:val="007B3132"/>
    <w:rsid w:val="007B6057"/>
    <w:rsid w:val="007B6E7F"/>
    <w:rsid w:val="007B77A5"/>
    <w:rsid w:val="007B7D1D"/>
    <w:rsid w:val="007B7FC5"/>
    <w:rsid w:val="007C10B6"/>
    <w:rsid w:val="007C28E2"/>
    <w:rsid w:val="007C2C2E"/>
    <w:rsid w:val="007C3CB4"/>
    <w:rsid w:val="007C3F58"/>
    <w:rsid w:val="007C404C"/>
    <w:rsid w:val="007C4E60"/>
    <w:rsid w:val="007C550B"/>
    <w:rsid w:val="007C6563"/>
    <w:rsid w:val="007C70AA"/>
    <w:rsid w:val="007D0072"/>
    <w:rsid w:val="007D034C"/>
    <w:rsid w:val="007D33E2"/>
    <w:rsid w:val="007D3D01"/>
    <w:rsid w:val="007D6741"/>
    <w:rsid w:val="007D6CD9"/>
    <w:rsid w:val="007D6EFC"/>
    <w:rsid w:val="007D721A"/>
    <w:rsid w:val="007D751F"/>
    <w:rsid w:val="007D7FB3"/>
    <w:rsid w:val="007E0564"/>
    <w:rsid w:val="007E0D2D"/>
    <w:rsid w:val="007E13B4"/>
    <w:rsid w:val="007E186D"/>
    <w:rsid w:val="007E287D"/>
    <w:rsid w:val="007E2C91"/>
    <w:rsid w:val="007E3F49"/>
    <w:rsid w:val="007E40A0"/>
    <w:rsid w:val="007E632B"/>
    <w:rsid w:val="007E773B"/>
    <w:rsid w:val="007E78B1"/>
    <w:rsid w:val="007E7D0E"/>
    <w:rsid w:val="007E7DC1"/>
    <w:rsid w:val="007F5875"/>
    <w:rsid w:val="007F6FA0"/>
    <w:rsid w:val="007F77D3"/>
    <w:rsid w:val="00801763"/>
    <w:rsid w:val="00803194"/>
    <w:rsid w:val="008059A0"/>
    <w:rsid w:val="008062A9"/>
    <w:rsid w:val="00806464"/>
    <w:rsid w:val="00806763"/>
    <w:rsid w:val="00810F29"/>
    <w:rsid w:val="008119FA"/>
    <w:rsid w:val="008133F7"/>
    <w:rsid w:val="0081472F"/>
    <w:rsid w:val="00815719"/>
    <w:rsid w:val="00815D0C"/>
    <w:rsid w:val="0081627F"/>
    <w:rsid w:val="00816C02"/>
    <w:rsid w:val="00817849"/>
    <w:rsid w:val="00820E91"/>
    <w:rsid w:val="00821614"/>
    <w:rsid w:val="00821DEC"/>
    <w:rsid w:val="00823743"/>
    <w:rsid w:val="0082506B"/>
    <w:rsid w:val="00825AF4"/>
    <w:rsid w:val="00825F85"/>
    <w:rsid w:val="00826A88"/>
    <w:rsid w:val="008276BE"/>
    <w:rsid w:val="00830DC5"/>
    <w:rsid w:val="00832213"/>
    <w:rsid w:val="0083417B"/>
    <w:rsid w:val="00835FA1"/>
    <w:rsid w:val="00836CE3"/>
    <w:rsid w:val="0084107B"/>
    <w:rsid w:val="0084179E"/>
    <w:rsid w:val="00841CB5"/>
    <w:rsid w:val="008420AB"/>
    <w:rsid w:val="00842C78"/>
    <w:rsid w:val="00843C8D"/>
    <w:rsid w:val="008471FE"/>
    <w:rsid w:val="00847E54"/>
    <w:rsid w:val="00852FD6"/>
    <w:rsid w:val="0085314D"/>
    <w:rsid w:val="00853B5A"/>
    <w:rsid w:val="008544AF"/>
    <w:rsid w:val="00855E1F"/>
    <w:rsid w:val="008561A1"/>
    <w:rsid w:val="00860247"/>
    <w:rsid w:val="008602BB"/>
    <w:rsid w:val="00860301"/>
    <w:rsid w:val="008607F9"/>
    <w:rsid w:val="00860FA4"/>
    <w:rsid w:val="00864236"/>
    <w:rsid w:val="00865A66"/>
    <w:rsid w:val="00865AD4"/>
    <w:rsid w:val="0087028D"/>
    <w:rsid w:val="008713D0"/>
    <w:rsid w:val="0087316B"/>
    <w:rsid w:val="00873255"/>
    <w:rsid w:val="00873D52"/>
    <w:rsid w:val="0087426B"/>
    <w:rsid w:val="00876B24"/>
    <w:rsid w:val="00880237"/>
    <w:rsid w:val="00880AA0"/>
    <w:rsid w:val="008813B7"/>
    <w:rsid w:val="0088160E"/>
    <w:rsid w:val="0088193C"/>
    <w:rsid w:val="008826CF"/>
    <w:rsid w:val="00882916"/>
    <w:rsid w:val="008837B1"/>
    <w:rsid w:val="0088452E"/>
    <w:rsid w:val="008873D0"/>
    <w:rsid w:val="00890146"/>
    <w:rsid w:val="00890726"/>
    <w:rsid w:val="00892595"/>
    <w:rsid w:val="00894032"/>
    <w:rsid w:val="008958A4"/>
    <w:rsid w:val="0089607E"/>
    <w:rsid w:val="00896803"/>
    <w:rsid w:val="008A0BEE"/>
    <w:rsid w:val="008A2A63"/>
    <w:rsid w:val="008A3A89"/>
    <w:rsid w:val="008A4598"/>
    <w:rsid w:val="008A4EB1"/>
    <w:rsid w:val="008A569B"/>
    <w:rsid w:val="008A5F50"/>
    <w:rsid w:val="008A6B2F"/>
    <w:rsid w:val="008A7180"/>
    <w:rsid w:val="008B0B52"/>
    <w:rsid w:val="008B2107"/>
    <w:rsid w:val="008B2702"/>
    <w:rsid w:val="008B38BE"/>
    <w:rsid w:val="008B5225"/>
    <w:rsid w:val="008B5609"/>
    <w:rsid w:val="008B78CE"/>
    <w:rsid w:val="008B78EE"/>
    <w:rsid w:val="008C0226"/>
    <w:rsid w:val="008C0C9E"/>
    <w:rsid w:val="008C2775"/>
    <w:rsid w:val="008C2EAC"/>
    <w:rsid w:val="008C323F"/>
    <w:rsid w:val="008C5B15"/>
    <w:rsid w:val="008C5DD7"/>
    <w:rsid w:val="008C7A2E"/>
    <w:rsid w:val="008D0E25"/>
    <w:rsid w:val="008D11EF"/>
    <w:rsid w:val="008D1D44"/>
    <w:rsid w:val="008D1EF1"/>
    <w:rsid w:val="008D2683"/>
    <w:rsid w:val="008D26DF"/>
    <w:rsid w:val="008D380A"/>
    <w:rsid w:val="008D38D7"/>
    <w:rsid w:val="008D40AD"/>
    <w:rsid w:val="008D7B86"/>
    <w:rsid w:val="008E1675"/>
    <w:rsid w:val="008E6222"/>
    <w:rsid w:val="008E7A9D"/>
    <w:rsid w:val="008E7F80"/>
    <w:rsid w:val="008F1F3A"/>
    <w:rsid w:val="008F2AD5"/>
    <w:rsid w:val="008F2FCF"/>
    <w:rsid w:val="008F508E"/>
    <w:rsid w:val="008F566A"/>
    <w:rsid w:val="008F5D59"/>
    <w:rsid w:val="008F61D1"/>
    <w:rsid w:val="008F6EA1"/>
    <w:rsid w:val="008F6F56"/>
    <w:rsid w:val="008F7E19"/>
    <w:rsid w:val="00900A72"/>
    <w:rsid w:val="00900B95"/>
    <w:rsid w:val="00901843"/>
    <w:rsid w:val="0090459B"/>
    <w:rsid w:val="00906367"/>
    <w:rsid w:val="00906710"/>
    <w:rsid w:val="009138AD"/>
    <w:rsid w:val="0091407F"/>
    <w:rsid w:val="00914733"/>
    <w:rsid w:val="00916669"/>
    <w:rsid w:val="009169EA"/>
    <w:rsid w:val="00916CF4"/>
    <w:rsid w:val="00916D1D"/>
    <w:rsid w:val="00917315"/>
    <w:rsid w:val="009173B2"/>
    <w:rsid w:val="00917543"/>
    <w:rsid w:val="00920CF1"/>
    <w:rsid w:val="00920FF9"/>
    <w:rsid w:val="0092109E"/>
    <w:rsid w:val="00922DB5"/>
    <w:rsid w:val="00924DD4"/>
    <w:rsid w:val="0092626C"/>
    <w:rsid w:val="0092626D"/>
    <w:rsid w:val="00927C35"/>
    <w:rsid w:val="00927CC6"/>
    <w:rsid w:val="009308AC"/>
    <w:rsid w:val="00932781"/>
    <w:rsid w:val="00933934"/>
    <w:rsid w:val="0093476D"/>
    <w:rsid w:val="0093688D"/>
    <w:rsid w:val="00936C63"/>
    <w:rsid w:val="0093746A"/>
    <w:rsid w:val="009377E2"/>
    <w:rsid w:val="00937AD2"/>
    <w:rsid w:val="00937F8D"/>
    <w:rsid w:val="00940419"/>
    <w:rsid w:val="009409A1"/>
    <w:rsid w:val="00940C13"/>
    <w:rsid w:val="009410C0"/>
    <w:rsid w:val="009412D6"/>
    <w:rsid w:val="00941690"/>
    <w:rsid w:val="009416EB"/>
    <w:rsid w:val="00942A58"/>
    <w:rsid w:val="00942F44"/>
    <w:rsid w:val="00946E00"/>
    <w:rsid w:val="00947B72"/>
    <w:rsid w:val="009501A0"/>
    <w:rsid w:val="009504B6"/>
    <w:rsid w:val="009508E0"/>
    <w:rsid w:val="00952C64"/>
    <w:rsid w:val="00952E8F"/>
    <w:rsid w:val="00954C26"/>
    <w:rsid w:val="009571E8"/>
    <w:rsid w:val="00962733"/>
    <w:rsid w:val="0096291F"/>
    <w:rsid w:val="009657E0"/>
    <w:rsid w:val="00965864"/>
    <w:rsid w:val="00965EB8"/>
    <w:rsid w:val="00966773"/>
    <w:rsid w:val="0096682B"/>
    <w:rsid w:val="00967402"/>
    <w:rsid w:val="00971F0F"/>
    <w:rsid w:val="00973601"/>
    <w:rsid w:val="00973994"/>
    <w:rsid w:val="00973AC1"/>
    <w:rsid w:val="00975AE2"/>
    <w:rsid w:val="00975C31"/>
    <w:rsid w:val="00975D52"/>
    <w:rsid w:val="00976176"/>
    <w:rsid w:val="009775AF"/>
    <w:rsid w:val="009802CE"/>
    <w:rsid w:val="00981BA8"/>
    <w:rsid w:val="00981DDF"/>
    <w:rsid w:val="00982CC8"/>
    <w:rsid w:val="009835F0"/>
    <w:rsid w:val="00983FAA"/>
    <w:rsid w:val="0098556C"/>
    <w:rsid w:val="00985D36"/>
    <w:rsid w:val="0098679A"/>
    <w:rsid w:val="00990EC7"/>
    <w:rsid w:val="0099118B"/>
    <w:rsid w:val="009923AC"/>
    <w:rsid w:val="00992869"/>
    <w:rsid w:val="00993186"/>
    <w:rsid w:val="00993D29"/>
    <w:rsid w:val="00995F32"/>
    <w:rsid w:val="00996149"/>
    <w:rsid w:val="009963D2"/>
    <w:rsid w:val="009A1449"/>
    <w:rsid w:val="009A25DC"/>
    <w:rsid w:val="009A292C"/>
    <w:rsid w:val="009A3424"/>
    <w:rsid w:val="009A3F06"/>
    <w:rsid w:val="009A472A"/>
    <w:rsid w:val="009A58BA"/>
    <w:rsid w:val="009A5CA8"/>
    <w:rsid w:val="009A5F46"/>
    <w:rsid w:val="009A7510"/>
    <w:rsid w:val="009A7633"/>
    <w:rsid w:val="009B00B6"/>
    <w:rsid w:val="009B1783"/>
    <w:rsid w:val="009B1A35"/>
    <w:rsid w:val="009B37A7"/>
    <w:rsid w:val="009B3914"/>
    <w:rsid w:val="009B3F74"/>
    <w:rsid w:val="009B4289"/>
    <w:rsid w:val="009B4727"/>
    <w:rsid w:val="009C0713"/>
    <w:rsid w:val="009C1CC4"/>
    <w:rsid w:val="009C2E12"/>
    <w:rsid w:val="009C5B5A"/>
    <w:rsid w:val="009C5F69"/>
    <w:rsid w:val="009C67E7"/>
    <w:rsid w:val="009C7CA0"/>
    <w:rsid w:val="009D04AC"/>
    <w:rsid w:val="009D2592"/>
    <w:rsid w:val="009D2CCB"/>
    <w:rsid w:val="009D335F"/>
    <w:rsid w:val="009D3CDF"/>
    <w:rsid w:val="009D46E9"/>
    <w:rsid w:val="009D476A"/>
    <w:rsid w:val="009D60DF"/>
    <w:rsid w:val="009D743F"/>
    <w:rsid w:val="009E001B"/>
    <w:rsid w:val="009E0704"/>
    <w:rsid w:val="009E13A5"/>
    <w:rsid w:val="009E1AB6"/>
    <w:rsid w:val="009E1FCB"/>
    <w:rsid w:val="009E270E"/>
    <w:rsid w:val="009E3111"/>
    <w:rsid w:val="009F06F6"/>
    <w:rsid w:val="009F07EB"/>
    <w:rsid w:val="009F0954"/>
    <w:rsid w:val="009F0CB8"/>
    <w:rsid w:val="009F11BB"/>
    <w:rsid w:val="009F11D8"/>
    <w:rsid w:val="009F188A"/>
    <w:rsid w:val="009F1EC2"/>
    <w:rsid w:val="009F2228"/>
    <w:rsid w:val="009F2BB6"/>
    <w:rsid w:val="009F2C58"/>
    <w:rsid w:val="009F4031"/>
    <w:rsid w:val="009F4F83"/>
    <w:rsid w:val="009F6509"/>
    <w:rsid w:val="009F6F8A"/>
    <w:rsid w:val="00A00513"/>
    <w:rsid w:val="00A02916"/>
    <w:rsid w:val="00A03498"/>
    <w:rsid w:val="00A0357C"/>
    <w:rsid w:val="00A03D72"/>
    <w:rsid w:val="00A05208"/>
    <w:rsid w:val="00A0575B"/>
    <w:rsid w:val="00A059CD"/>
    <w:rsid w:val="00A061AE"/>
    <w:rsid w:val="00A06294"/>
    <w:rsid w:val="00A103EA"/>
    <w:rsid w:val="00A1060C"/>
    <w:rsid w:val="00A13283"/>
    <w:rsid w:val="00A15D50"/>
    <w:rsid w:val="00A16D4D"/>
    <w:rsid w:val="00A205D8"/>
    <w:rsid w:val="00A20E3D"/>
    <w:rsid w:val="00A2212E"/>
    <w:rsid w:val="00A231E1"/>
    <w:rsid w:val="00A232E8"/>
    <w:rsid w:val="00A23A25"/>
    <w:rsid w:val="00A24222"/>
    <w:rsid w:val="00A26D22"/>
    <w:rsid w:val="00A30E65"/>
    <w:rsid w:val="00A310C7"/>
    <w:rsid w:val="00A315E3"/>
    <w:rsid w:val="00A32337"/>
    <w:rsid w:val="00A3238A"/>
    <w:rsid w:val="00A35E09"/>
    <w:rsid w:val="00A36DF0"/>
    <w:rsid w:val="00A40057"/>
    <w:rsid w:val="00A40A4A"/>
    <w:rsid w:val="00A41587"/>
    <w:rsid w:val="00A41881"/>
    <w:rsid w:val="00A42DC5"/>
    <w:rsid w:val="00A433D8"/>
    <w:rsid w:val="00A435AA"/>
    <w:rsid w:val="00A46B6B"/>
    <w:rsid w:val="00A50035"/>
    <w:rsid w:val="00A5033E"/>
    <w:rsid w:val="00A51CE5"/>
    <w:rsid w:val="00A579E3"/>
    <w:rsid w:val="00A57E24"/>
    <w:rsid w:val="00A60740"/>
    <w:rsid w:val="00A6088B"/>
    <w:rsid w:val="00A60BC0"/>
    <w:rsid w:val="00A62BFB"/>
    <w:rsid w:val="00A62E33"/>
    <w:rsid w:val="00A64F09"/>
    <w:rsid w:val="00A6529A"/>
    <w:rsid w:val="00A6581B"/>
    <w:rsid w:val="00A65F67"/>
    <w:rsid w:val="00A65FE0"/>
    <w:rsid w:val="00A66385"/>
    <w:rsid w:val="00A6655B"/>
    <w:rsid w:val="00A67E46"/>
    <w:rsid w:val="00A704C1"/>
    <w:rsid w:val="00A718B1"/>
    <w:rsid w:val="00A71A70"/>
    <w:rsid w:val="00A71F57"/>
    <w:rsid w:val="00A76227"/>
    <w:rsid w:val="00A770DA"/>
    <w:rsid w:val="00A80E41"/>
    <w:rsid w:val="00A8128B"/>
    <w:rsid w:val="00A819A6"/>
    <w:rsid w:val="00A81D49"/>
    <w:rsid w:val="00A83083"/>
    <w:rsid w:val="00A845E2"/>
    <w:rsid w:val="00A852BE"/>
    <w:rsid w:val="00A85E12"/>
    <w:rsid w:val="00A86096"/>
    <w:rsid w:val="00A86621"/>
    <w:rsid w:val="00A90BD5"/>
    <w:rsid w:val="00A90C47"/>
    <w:rsid w:val="00A919E5"/>
    <w:rsid w:val="00A931CB"/>
    <w:rsid w:val="00A94954"/>
    <w:rsid w:val="00A95717"/>
    <w:rsid w:val="00A96948"/>
    <w:rsid w:val="00AA1AA8"/>
    <w:rsid w:val="00AA1AC4"/>
    <w:rsid w:val="00AA3390"/>
    <w:rsid w:val="00AA3441"/>
    <w:rsid w:val="00AA3B83"/>
    <w:rsid w:val="00AA3F60"/>
    <w:rsid w:val="00AA4038"/>
    <w:rsid w:val="00AA4AFB"/>
    <w:rsid w:val="00AA5431"/>
    <w:rsid w:val="00AA59AC"/>
    <w:rsid w:val="00AA6680"/>
    <w:rsid w:val="00AA6ACE"/>
    <w:rsid w:val="00AA7751"/>
    <w:rsid w:val="00AA7E2A"/>
    <w:rsid w:val="00AB00F0"/>
    <w:rsid w:val="00AB0ED1"/>
    <w:rsid w:val="00AB1B34"/>
    <w:rsid w:val="00AB2890"/>
    <w:rsid w:val="00AB2C22"/>
    <w:rsid w:val="00AB3E47"/>
    <w:rsid w:val="00AB3E55"/>
    <w:rsid w:val="00AB41B5"/>
    <w:rsid w:val="00AB5144"/>
    <w:rsid w:val="00AB5FEC"/>
    <w:rsid w:val="00AB712C"/>
    <w:rsid w:val="00AB785C"/>
    <w:rsid w:val="00AB7EA5"/>
    <w:rsid w:val="00AC03E0"/>
    <w:rsid w:val="00AC299A"/>
    <w:rsid w:val="00AC2CD5"/>
    <w:rsid w:val="00AC2E31"/>
    <w:rsid w:val="00AC3EBE"/>
    <w:rsid w:val="00AC4772"/>
    <w:rsid w:val="00AC5DD3"/>
    <w:rsid w:val="00AC6B1B"/>
    <w:rsid w:val="00AC6E51"/>
    <w:rsid w:val="00AC7D5A"/>
    <w:rsid w:val="00AD00AD"/>
    <w:rsid w:val="00AD114E"/>
    <w:rsid w:val="00AD4187"/>
    <w:rsid w:val="00AD42C1"/>
    <w:rsid w:val="00AD47D2"/>
    <w:rsid w:val="00AD4C19"/>
    <w:rsid w:val="00AD5838"/>
    <w:rsid w:val="00AD592E"/>
    <w:rsid w:val="00AD61C6"/>
    <w:rsid w:val="00AD6520"/>
    <w:rsid w:val="00AE5F6B"/>
    <w:rsid w:val="00AE6ED3"/>
    <w:rsid w:val="00AF0F1F"/>
    <w:rsid w:val="00AF2B91"/>
    <w:rsid w:val="00AF4074"/>
    <w:rsid w:val="00AF5607"/>
    <w:rsid w:val="00AF5D04"/>
    <w:rsid w:val="00AF64AC"/>
    <w:rsid w:val="00AF6A4E"/>
    <w:rsid w:val="00B002B4"/>
    <w:rsid w:val="00B030F1"/>
    <w:rsid w:val="00B04A13"/>
    <w:rsid w:val="00B04A17"/>
    <w:rsid w:val="00B04CF5"/>
    <w:rsid w:val="00B04D14"/>
    <w:rsid w:val="00B05A3E"/>
    <w:rsid w:val="00B06D63"/>
    <w:rsid w:val="00B07D78"/>
    <w:rsid w:val="00B10EB4"/>
    <w:rsid w:val="00B1141F"/>
    <w:rsid w:val="00B132A8"/>
    <w:rsid w:val="00B13341"/>
    <w:rsid w:val="00B14E6E"/>
    <w:rsid w:val="00B16557"/>
    <w:rsid w:val="00B201D2"/>
    <w:rsid w:val="00B20575"/>
    <w:rsid w:val="00B20945"/>
    <w:rsid w:val="00B216A8"/>
    <w:rsid w:val="00B216A9"/>
    <w:rsid w:val="00B22232"/>
    <w:rsid w:val="00B23E0B"/>
    <w:rsid w:val="00B24052"/>
    <w:rsid w:val="00B24207"/>
    <w:rsid w:val="00B24FF1"/>
    <w:rsid w:val="00B250E0"/>
    <w:rsid w:val="00B25236"/>
    <w:rsid w:val="00B26D34"/>
    <w:rsid w:val="00B270BE"/>
    <w:rsid w:val="00B276C3"/>
    <w:rsid w:val="00B277DD"/>
    <w:rsid w:val="00B27A5D"/>
    <w:rsid w:val="00B31180"/>
    <w:rsid w:val="00B338D3"/>
    <w:rsid w:val="00B341C4"/>
    <w:rsid w:val="00B347AA"/>
    <w:rsid w:val="00B35B7F"/>
    <w:rsid w:val="00B36979"/>
    <w:rsid w:val="00B40276"/>
    <w:rsid w:val="00B408AC"/>
    <w:rsid w:val="00B41CCC"/>
    <w:rsid w:val="00B42127"/>
    <w:rsid w:val="00B42DEC"/>
    <w:rsid w:val="00B433CA"/>
    <w:rsid w:val="00B44F95"/>
    <w:rsid w:val="00B45C97"/>
    <w:rsid w:val="00B50E67"/>
    <w:rsid w:val="00B5161E"/>
    <w:rsid w:val="00B53045"/>
    <w:rsid w:val="00B5319C"/>
    <w:rsid w:val="00B54CAC"/>
    <w:rsid w:val="00B5611B"/>
    <w:rsid w:val="00B57697"/>
    <w:rsid w:val="00B609B2"/>
    <w:rsid w:val="00B60C3A"/>
    <w:rsid w:val="00B60D7F"/>
    <w:rsid w:val="00B62F90"/>
    <w:rsid w:val="00B642CC"/>
    <w:rsid w:val="00B66FE4"/>
    <w:rsid w:val="00B70963"/>
    <w:rsid w:val="00B71117"/>
    <w:rsid w:val="00B716FB"/>
    <w:rsid w:val="00B71BB3"/>
    <w:rsid w:val="00B72823"/>
    <w:rsid w:val="00B7285D"/>
    <w:rsid w:val="00B730B0"/>
    <w:rsid w:val="00B745B8"/>
    <w:rsid w:val="00B746B0"/>
    <w:rsid w:val="00B7483E"/>
    <w:rsid w:val="00B75269"/>
    <w:rsid w:val="00B7562C"/>
    <w:rsid w:val="00B7598A"/>
    <w:rsid w:val="00B76CF5"/>
    <w:rsid w:val="00B771BB"/>
    <w:rsid w:val="00B77AE8"/>
    <w:rsid w:val="00B82DC2"/>
    <w:rsid w:val="00B8328A"/>
    <w:rsid w:val="00B84464"/>
    <w:rsid w:val="00B85364"/>
    <w:rsid w:val="00B8696E"/>
    <w:rsid w:val="00B86E64"/>
    <w:rsid w:val="00B874A9"/>
    <w:rsid w:val="00B906ED"/>
    <w:rsid w:val="00B908BC"/>
    <w:rsid w:val="00B913D7"/>
    <w:rsid w:val="00B92771"/>
    <w:rsid w:val="00B94017"/>
    <w:rsid w:val="00B9429C"/>
    <w:rsid w:val="00B953A6"/>
    <w:rsid w:val="00B96093"/>
    <w:rsid w:val="00B973F2"/>
    <w:rsid w:val="00BA011F"/>
    <w:rsid w:val="00BA0E09"/>
    <w:rsid w:val="00BA1B97"/>
    <w:rsid w:val="00BA2634"/>
    <w:rsid w:val="00BA30E7"/>
    <w:rsid w:val="00BA34B6"/>
    <w:rsid w:val="00BA3AA2"/>
    <w:rsid w:val="00BA48D6"/>
    <w:rsid w:val="00BA6192"/>
    <w:rsid w:val="00BB09D4"/>
    <w:rsid w:val="00BB18A3"/>
    <w:rsid w:val="00BB1AA3"/>
    <w:rsid w:val="00BB2B79"/>
    <w:rsid w:val="00BB4AAA"/>
    <w:rsid w:val="00BB4ABE"/>
    <w:rsid w:val="00BB5C97"/>
    <w:rsid w:val="00BB5CE1"/>
    <w:rsid w:val="00BB5EDB"/>
    <w:rsid w:val="00BB6B8F"/>
    <w:rsid w:val="00BB7685"/>
    <w:rsid w:val="00BC0F37"/>
    <w:rsid w:val="00BC1E8A"/>
    <w:rsid w:val="00BC22FF"/>
    <w:rsid w:val="00BC26EA"/>
    <w:rsid w:val="00BC2754"/>
    <w:rsid w:val="00BC37FC"/>
    <w:rsid w:val="00BC46B5"/>
    <w:rsid w:val="00BC4981"/>
    <w:rsid w:val="00BC62D0"/>
    <w:rsid w:val="00BC75F6"/>
    <w:rsid w:val="00BC76BE"/>
    <w:rsid w:val="00BC7E90"/>
    <w:rsid w:val="00BD05E5"/>
    <w:rsid w:val="00BD1009"/>
    <w:rsid w:val="00BD1AC5"/>
    <w:rsid w:val="00BD1DA0"/>
    <w:rsid w:val="00BD332C"/>
    <w:rsid w:val="00BD381B"/>
    <w:rsid w:val="00BD42DE"/>
    <w:rsid w:val="00BD56DE"/>
    <w:rsid w:val="00BD5C4B"/>
    <w:rsid w:val="00BD5F12"/>
    <w:rsid w:val="00BD656F"/>
    <w:rsid w:val="00BD79D9"/>
    <w:rsid w:val="00BE01FF"/>
    <w:rsid w:val="00BE201D"/>
    <w:rsid w:val="00BE24CA"/>
    <w:rsid w:val="00BE2B1F"/>
    <w:rsid w:val="00BE2BC1"/>
    <w:rsid w:val="00BE305A"/>
    <w:rsid w:val="00BE32FF"/>
    <w:rsid w:val="00BE4A42"/>
    <w:rsid w:val="00BE5382"/>
    <w:rsid w:val="00BE58DF"/>
    <w:rsid w:val="00BE6C87"/>
    <w:rsid w:val="00BE7807"/>
    <w:rsid w:val="00BF2E81"/>
    <w:rsid w:val="00BF5FA0"/>
    <w:rsid w:val="00BF637D"/>
    <w:rsid w:val="00BF6389"/>
    <w:rsid w:val="00C00EBE"/>
    <w:rsid w:val="00C02FBD"/>
    <w:rsid w:val="00C0314A"/>
    <w:rsid w:val="00C04AA6"/>
    <w:rsid w:val="00C06158"/>
    <w:rsid w:val="00C06EB9"/>
    <w:rsid w:val="00C107D6"/>
    <w:rsid w:val="00C11A3A"/>
    <w:rsid w:val="00C11E74"/>
    <w:rsid w:val="00C1211C"/>
    <w:rsid w:val="00C127B0"/>
    <w:rsid w:val="00C13914"/>
    <w:rsid w:val="00C13AF8"/>
    <w:rsid w:val="00C13E82"/>
    <w:rsid w:val="00C1782C"/>
    <w:rsid w:val="00C17FEA"/>
    <w:rsid w:val="00C20DF7"/>
    <w:rsid w:val="00C2247A"/>
    <w:rsid w:val="00C23C79"/>
    <w:rsid w:val="00C23F44"/>
    <w:rsid w:val="00C245C2"/>
    <w:rsid w:val="00C262E7"/>
    <w:rsid w:val="00C26878"/>
    <w:rsid w:val="00C26BAA"/>
    <w:rsid w:val="00C26F59"/>
    <w:rsid w:val="00C27FF0"/>
    <w:rsid w:val="00C30727"/>
    <w:rsid w:val="00C317EC"/>
    <w:rsid w:val="00C31989"/>
    <w:rsid w:val="00C32A22"/>
    <w:rsid w:val="00C33348"/>
    <w:rsid w:val="00C33E8A"/>
    <w:rsid w:val="00C354D9"/>
    <w:rsid w:val="00C35873"/>
    <w:rsid w:val="00C364D7"/>
    <w:rsid w:val="00C37489"/>
    <w:rsid w:val="00C374DE"/>
    <w:rsid w:val="00C44787"/>
    <w:rsid w:val="00C45977"/>
    <w:rsid w:val="00C46649"/>
    <w:rsid w:val="00C475F1"/>
    <w:rsid w:val="00C51550"/>
    <w:rsid w:val="00C52776"/>
    <w:rsid w:val="00C53D25"/>
    <w:rsid w:val="00C54140"/>
    <w:rsid w:val="00C556DD"/>
    <w:rsid w:val="00C55B8B"/>
    <w:rsid w:val="00C578DC"/>
    <w:rsid w:val="00C600DD"/>
    <w:rsid w:val="00C60EA2"/>
    <w:rsid w:val="00C62E1E"/>
    <w:rsid w:val="00C633A6"/>
    <w:rsid w:val="00C63879"/>
    <w:rsid w:val="00C64D16"/>
    <w:rsid w:val="00C65EE0"/>
    <w:rsid w:val="00C66871"/>
    <w:rsid w:val="00C67B62"/>
    <w:rsid w:val="00C67ED7"/>
    <w:rsid w:val="00C7000B"/>
    <w:rsid w:val="00C711D6"/>
    <w:rsid w:val="00C71215"/>
    <w:rsid w:val="00C719A5"/>
    <w:rsid w:val="00C760E2"/>
    <w:rsid w:val="00C77A09"/>
    <w:rsid w:val="00C77A2E"/>
    <w:rsid w:val="00C800E6"/>
    <w:rsid w:val="00C80ACF"/>
    <w:rsid w:val="00C81FAE"/>
    <w:rsid w:val="00C82493"/>
    <w:rsid w:val="00C84163"/>
    <w:rsid w:val="00C84C5F"/>
    <w:rsid w:val="00C854FE"/>
    <w:rsid w:val="00C85F7F"/>
    <w:rsid w:val="00C8639B"/>
    <w:rsid w:val="00C86C8D"/>
    <w:rsid w:val="00C86F57"/>
    <w:rsid w:val="00C87D1D"/>
    <w:rsid w:val="00C90C5C"/>
    <w:rsid w:val="00C90DFB"/>
    <w:rsid w:val="00C91BC1"/>
    <w:rsid w:val="00C934F9"/>
    <w:rsid w:val="00C949CD"/>
    <w:rsid w:val="00C960EE"/>
    <w:rsid w:val="00C96A04"/>
    <w:rsid w:val="00C96B1E"/>
    <w:rsid w:val="00C9746E"/>
    <w:rsid w:val="00CA0826"/>
    <w:rsid w:val="00CA0F93"/>
    <w:rsid w:val="00CA1A0D"/>
    <w:rsid w:val="00CA21A5"/>
    <w:rsid w:val="00CA2D3A"/>
    <w:rsid w:val="00CA41EA"/>
    <w:rsid w:val="00CA50C9"/>
    <w:rsid w:val="00CA5986"/>
    <w:rsid w:val="00CA5A17"/>
    <w:rsid w:val="00CA5A31"/>
    <w:rsid w:val="00CA6E29"/>
    <w:rsid w:val="00CA7534"/>
    <w:rsid w:val="00CB073E"/>
    <w:rsid w:val="00CB13BE"/>
    <w:rsid w:val="00CB16B6"/>
    <w:rsid w:val="00CB2532"/>
    <w:rsid w:val="00CB277B"/>
    <w:rsid w:val="00CB3BB5"/>
    <w:rsid w:val="00CB4E6E"/>
    <w:rsid w:val="00CB6176"/>
    <w:rsid w:val="00CB6528"/>
    <w:rsid w:val="00CC14E4"/>
    <w:rsid w:val="00CC19F8"/>
    <w:rsid w:val="00CC2990"/>
    <w:rsid w:val="00CC394B"/>
    <w:rsid w:val="00CC3C10"/>
    <w:rsid w:val="00CC5B04"/>
    <w:rsid w:val="00CC5CC4"/>
    <w:rsid w:val="00CC64DB"/>
    <w:rsid w:val="00CC6910"/>
    <w:rsid w:val="00CD17A1"/>
    <w:rsid w:val="00CD1D1F"/>
    <w:rsid w:val="00CD20E2"/>
    <w:rsid w:val="00CD25DA"/>
    <w:rsid w:val="00CD282B"/>
    <w:rsid w:val="00CD2C88"/>
    <w:rsid w:val="00CD382F"/>
    <w:rsid w:val="00CD6FC1"/>
    <w:rsid w:val="00CD7E23"/>
    <w:rsid w:val="00CE0599"/>
    <w:rsid w:val="00CE0B4A"/>
    <w:rsid w:val="00CE10AF"/>
    <w:rsid w:val="00CE1710"/>
    <w:rsid w:val="00CE34C5"/>
    <w:rsid w:val="00CE40E2"/>
    <w:rsid w:val="00CE471C"/>
    <w:rsid w:val="00CE568B"/>
    <w:rsid w:val="00CE5FEF"/>
    <w:rsid w:val="00CE7153"/>
    <w:rsid w:val="00CF0F28"/>
    <w:rsid w:val="00CF1D0F"/>
    <w:rsid w:val="00CF22C5"/>
    <w:rsid w:val="00CF2DEF"/>
    <w:rsid w:val="00CF2E73"/>
    <w:rsid w:val="00CF39E2"/>
    <w:rsid w:val="00CF59A1"/>
    <w:rsid w:val="00CF6318"/>
    <w:rsid w:val="00D01803"/>
    <w:rsid w:val="00D01B46"/>
    <w:rsid w:val="00D0376E"/>
    <w:rsid w:val="00D046EE"/>
    <w:rsid w:val="00D04CE2"/>
    <w:rsid w:val="00D04DE6"/>
    <w:rsid w:val="00D0687D"/>
    <w:rsid w:val="00D06FF0"/>
    <w:rsid w:val="00D07790"/>
    <w:rsid w:val="00D077C6"/>
    <w:rsid w:val="00D10772"/>
    <w:rsid w:val="00D13ECC"/>
    <w:rsid w:val="00D148EA"/>
    <w:rsid w:val="00D155A9"/>
    <w:rsid w:val="00D16F45"/>
    <w:rsid w:val="00D17FA6"/>
    <w:rsid w:val="00D20AD7"/>
    <w:rsid w:val="00D215B9"/>
    <w:rsid w:val="00D23E4B"/>
    <w:rsid w:val="00D24191"/>
    <w:rsid w:val="00D245E4"/>
    <w:rsid w:val="00D24A5A"/>
    <w:rsid w:val="00D26EC4"/>
    <w:rsid w:val="00D274D6"/>
    <w:rsid w:val="00D2764E"/>
    <w:rsid w:val="00D3043C"/>
    <w:rsid w:val="00D307A2"/>
    <w:rsid w:val="00D31E9F"/>
    <w:rsid w:val="00D31FD2"/>
    <w:rsid w:val="00D32DAC"/>
    <w:rsid w:val="00D33476"/>
    <w:rsid w:val="00D339AF"/>
    <w:rsid w:val="00D35C31"/>
    <w:rsid w:val="00D363DB"/>
    <w:rsid w:val="00D368E4"/>
    <w:rsid w:val="00D37433"/>
    <w:rsid w:val="00D37FA6"/>
    <w:rsid w:val="00D40781"/>
    <w:rsid w:val="00D409EE"/>
    <w:rsid w:val="00D41236"/>
    <w:rsid w:val="00D41F35"/>
    <w:rsid w:val="00D42996"/>
    <w:rsid w:val="00D42FCD"/>
    <w:rsid w:val="00D44B7D"/>
    <w:rsid w:val="00D465EA"/>
    <w:rsid w:val="00D468D7"/>
    <w:rsid w:val="00D51100"/>
    <w:rsid w:val="00D51D08"/>
    <w:rsid w:val="00D51E29"/>
    <w:rsid w:val="00D52EA1"/>
    <w:rsid w:val="00D54666"/>
    <w:rsid w:val="00D6003F"/>
    <w:rsid w:val="00D6052A"/>
    <w:rsid w:val="00D62295"/>
    <w:rsid w:val="00D63DC9"/>
    <w:rsid w:val="00D642EC"/>
    <w:rsid w:val="00D64ECA"/>
    <w:rsid w:val="00D65105"/>
    <w:rsid w:val="00D66A50"/>
    <w:rsid w:val="00D7054A"/>
    <w:rsid w:val="00D72463"/>
    <w:rsid w:val="00D73FCE"/>
    <w:rsid w:val="00D74364"/>
    <w:rsid w:val="00D74639"/>
    <w:rsid w:val="00D7534A"/>
    <w:rsid w:val="00D7583D"/>
    <w:rsid w:val="00D75B78"/>
    <w:rsid w:val="00D76C7B"/>
    <w:rsid w:val="00D800BF"/>
    <w:rsid w:val="00D809E3"/>
    <w:rsid w:val="00D80FA1"/>
    <w:rsid w:val="00D8163D"/>
    <w:rsid w:val="00D8188E"/>
    <w:rsid w:val="00D81B1E"/>
    <w:rsid w:val="00D82E56"/>
    <w:rsid w:val="00D8344E"/>
    <w:rsid w:val="00D835B5"/>
    <w:rsid w:val="00D847A3"/>
    <w:rsid w:val="00D854F8"/>
    <w:rsid w:val="00D8605D"/>
    <w:rsid w:val="00D86F7D"/>
    <w:rsid w:val="00D878F5"/>
    <w:rsid w:val="00D91012"/>
    <w:rsid w:val="00D92C31"/>
    <w:rsid w:val="00D92CB5"/>
    <w:rsid w:val="00D93680"/>
    <w:rsid w:val="00D96190"/>
    <w:rsid w:val="00D9686B"/>
    <w:rsid w:val="00D97D2F"/>
    <w:rsid w:val="00DA0D57"/>
    <w:rsid w:val="00DA189B"/>
    <w:rsid w:val="00DA3B34"/>
    <w:rsid w:val="00DA724A"/>
    <w:rsid w:val="00DB07B4"/>
    <w:rsid w:val="00DB190A"/>
    <w:rsid w:val="00DB2BEC"/>
    <w:rsid w:val="00DB3F76"/>
    <w:rsid w:val="00DB520E"/>
    <w:rsid w:val="00DB5BE8"/>
    <w:rsid w:val="00DB62D7"/>
    <w:rsid w:val="00DB66DB"/>
    <w:rsid w:val="00DB6EF8"/>
    <w:rsid w:val="00DB6F62"/>
    <w:rsid w:val="00DB7A49"/>
    <w:rsid w:val="00DB7C62"/>
    <w:rsid w:val="00DC064E"/>
    <w:rsid w:val="00DC12F3"/>
    <w:rsid w:val="00DC18A5"/>
    <w:rsid w:val="00DC19ED"/>
    <w:rsid w:val="00DC3DE0"/>
    <w:rsid w:val="00DC4523"/>
    <w:rsid w:val="00DC4A29"/>
    <w:rsid w:val="00DC6A39"/>
    <w:rsid w:val="00DC7710"/>
    <w:rsid w:val="00DD1199"/>
    <w:rsid w:val="00DD3432"/>
    <w:rsid w:val="00DD4333"/>
    <w:rsid w:val="00DD49CB"/>
    <w:rsid w:val="00DD4B40"/>
    <w:rsid w:val="00DD5771"/>
    <w:rsid w:val="00DD5A3D"/>
    <w:rsid w:val="00DD61E8"/>
    <w:rsid w:val="00DD77FA"/>
    <w:rsid w:val="00DE0066"/>
    <w:rsid w:val="00DE02A8"/>
    <w:rsid w:val="00DE0469"/>
    <w:rsid w:val="00DE179E"/>
    <w:rsid w:val="00DE274B"/>
    <w:rsid w:val="00DE3BB6"/>
    <w:rsid w:val="00DE43D5"/>
    <w:rsid w:val="00DE64BA"/>
    <w:rsid w:val="00DF0015"/>
    <w:rsid w:val="00DF00EE"/>
    <w:rsid w:val="00DF0C22"/>
    <w:rsid w:val="00DF0D23"/>
    <w:rsid w:val="00DF1F52"/>
    <w:rsid w:val="00DF206F"/>
    <w:rsid w:val="00DF20B9"/>
    <w:rsid w:val="00DF51FF"/>
    <w:rsid w:val="00DF578C"/>
    <w:rsid w:val="00DF57CF"/>
    <w:rsid w:val="00DF6F0B"/>
    <w:rsid w:val="00DF7B5B"/>
    <w:rsid w:val="00E01048"/>
    <w:rsid w:val="00E018F6"/>
    <w:rsid w:val="00E02B94"/>
    <w:rsid w:val="00E02BFB"/>
    <w:rsid w:val="00E04016"/>
    <w:rsid w:val="00E055E2"/>
    <w:rsid w:val="00E1254D"/>
    <w:rsid w:val="00E12D1C"/>
    <w:rsid w:val="00E14165"/>
    <w:rsid w:val="00E146BD"/>
    <w:rsid w:val="00E14DC5"/>
    <w:rsid w:val="00E15210"/>
    <w:rsid w:val="00E16C51"/>
    <w:rsid w:val="00E21B4C"/>
    <w:rsid w:val="00E232FD"/>
    <w:rsid w:val="00E234CE"/>
    <w:rsid w:val="00E2376E"/>
    <w:rsid w:val="00E23ECC"/>
    <w:rsid w:val="00E251B4"/>
    <w:rsid w:val="00E25C1D"/>
    <w:rsid w:val="00E26B36"/>
    <w:rsid w:val="00E26C3D"/>
    <w:rsid w:val="00E3066D"/>
    <w:rsid w:val="00E30B83"/>
    <w:rsid w:val="00E3141B"/>
    <w:rsid w:val="00E31793"/>
    <w:rsid w:val="00E31BBC"/>
    <w:rsid w:val="00E33904"/>
    <w:rsid w:val="00E34506"/>
    <w:rsid w:val="00E36270"/>
    <w:rsid w:val="00E36E05"/>
    <w:rsid w:val="00E40166"/>
    <w:rsid w:val="00E40EDE"/>
    <w:rsid w:val="00E40F20"/>
    <w:rsid w:val="00E4120E"/>
    <w:rsid w:val="00E413A0"/>
    <w:rsid w:val="00E41C8E"/>
    <w:rsid w:val="00E43D1F"/>
    <w:rsid w:val="00E456E8"/>
    <w:rsid w:val="00E47547"/>
    <w:rsid w:val="00E50EAC"/>
    <w:rsid w:val="00E519E7"/>
    <w:rsid w:val="00E5297D"/>
    <w:rsid w:val="00E541CF"/>
    <w:rsid w:val="00E54CC3"/>
    <w:rsid w:val="00E54FEC"/>
    <w:rsid w:val="00E57AD6"/>
    <w:rsid w:val="00E614A3"/>
    <w:rsid w:val="00E6208A"/>
    <w:rsid w:val="00E62D03"/>
    <w:rsid w:val="00E63721"/>
    <w:rsid w:val="00E64197"/>
    <w:rsid w:val="00E64ED3"/>
    <w:rsid w:val="00E65FAB"/>
    <w:rsid w:val="00E669FF"/>
    <w:rsid w:val="00E66B60"/>
    <w:rsid w:val="00E67801"/>
    <w:rsid w:val="00E705BD"/>
    <w:rsid w:val="00E70659"/>
    <w:rsid w:val="00E71190"/>
    <w:rsid w:val="00E71A72"/>
    <w:rsid w:val="00E71BDE"/>
    <w:rsid w:val="00E72315"/>
    <w:rsid w:val="00E72FD0"/>
    <w:rsid w:val="00E73742"/>
    <w:rsid w:val="00E750A6"/>
    <w:rsid w:val="00E75463"/>
    <w:rsid w:val="00E803AB"/>
    <w:rsid w:val="00E80664"/>
    <w:rsid w:val="00E81533"/>
    <w:rsid w:val="00E819C5"/>
    <w:rsid w:val="00E82F9E"/>
    <w:rsid w:val="00E84C12"/>
    <w:rsid w:val="00E85C99"/>
    <w:rsid w:val="00E867D5"/>
    <w:rsid w:val="00E87E77"/>
    <w:rsid w:val="00E9190B"/>
    <w:rsid w:val="00E91C42"/>
    <w:rsid w:val="00E934B0"/>
    <w:rsid w:val="00E935D6"/>
    <w:rsid w:val="00E93669"/>
    <w:rsid w:val="00E93796"/>
    <w:rsid w:val="00E94639"/>
    <w:rsid w:val="00E947BB"/>
    <w:rsid w:val="00E965AE"/>
    <w:rsid w:val="00E979E2"/>
    <w:rsid w:val="00EA128C"/>
    <w:rsid w:val="00EA1670"/>
    <w:rsid w:val="00EA2976"/>
    <w:rsid w:val="00EA33F1"/>
    <w:rsid w:val="00EA4986"/>
    <w:rsid w:val="00EA4D8D"/>
    <w:rsid w:val="00EA5B0F"/>
    <w:rsid w:val="00EA5E6E"/>
    <w:rsid w:val="00EB1D5C"/>
    <w:rsid w:val="00EB3516"/>
    <w:rsid w:val="00EB3A19"/>
    <w:rsid w:val="00EB3BE2"/>
    <w:rsid w:val="00EB4EF0"/>
    <w:rsid w:val="00EB582C"/>
    <w:rsid w:val="00EB641C"/>
    <w:rsid w:val="00EB6548"/>
    <w:rsid w:val="00EC1D19"/>
    <w:rsid w:val="00EC29E1"/>
    <w:rsid w:val="00EC30A2"/>
    <w:rsid w:val="00EC70B1"/>
    <w:rsid w:val="00EC711C"/>
    <w:rsid w:val="00EC71DE"/>
    <w:rsid w:val="00EC7B37"/>
    <w:rsid w:val="00ED15C8"/>
    <w:rsid w:val="00ED16E4"/>
    <w:rsid w:val="00ED1BA8"/>
    <w:rsid w:val="00ED5760"/>
    <w:rsid w:val="00ED6461"/>
    <w:rsid w:val="00ED6652"/>
    <w:rsid w:val="00ED7AE6"/>
    <w:rsid w:val="00ED7BE4"/>
    <w:rsid w:val="00EE074D"/>
    <w:rsid w:val="00EE191D"/>
    <w:rsid w:val="00EE3C85"/>
    <w:rsid w:val="00EE3F0D"/>
    <w:rsid w:val="00EE4181"/>
    <w:rsid w:val="00EE539C"/>
    <w:rsid w:val="00EE5AEE"/>
    <w:rsid w:val="00EE5FC4"/>
    <w:rsid w:val="00EF2E3B"/>
    <w:rsid w:val="00EF4641"/>
    <w:rsid w:val="00EF46DB"/>
    <w:rsid w:val="00F01E10"/>
    <w:rsid w:val="00F02A4A"/>
    <w:rsid w:val="00F0371E"/>
    <w:rsid w:val="00F0403B"/>
    <w:rsid w:val="00F04B00"/>
    <w:rsid w:val="00F058EF"/>
    <w:rsid w:val="00F069E4"/>
    <w:rsid w:val="00F10875"/>
    <w:rsid w:val="00F11120"/>
    <w:rsid w:val="00F11CED"/>
    <w:rsid w:val="00F1412C"/>
    <w:rsid w:val="00F159B4"/>
    <w:rsid w:val="00F16D54"/>
    <w:rsid w:val="00F175B3"/>
    <w:rsid w:val="00F20A88"/>
    <w:rsid w:val="00F21FCB"/>
    <w:rsid w:val="00F22113"/>
    <w:rsid w:val="00F239E9"/>
    <w:rsid w:val="00F23FDF"/>
    <w:rsid w:val="00F24B65"/>
    <w:rsid w:val="00F25570"/>
    <w:rsid w:val="00F25B70"/>
    <w:rsid w:val="00F26313"/>
    <w:rsid w:val="00F26428"/>
    <w:rsid w:val="00F2731E"/>
    <w:rsid w:val="00F27560"/>
    <w:rsid w:val="00F27BE6"/>
    <w:rsid w:val="00F30F01"/>
    <w:rsid w:val="00F31E4E"/>
    <w:rsid w:val="00F32907"/>
    <w:rsid w:val="00F33EE0"/>
    <w:rsid w:val="00F34EFD"/>
    <w:rsid w:val="00F35684"/>
    <w:rsid w:val="00F36C5C"/>
    <w:rsid w:val="00F40A0F"/>
    <w:rsid w:val="00F4268C"/>
    <w:rsid w:val="00F42E50"/>
    <w:rsid w:val="00F464A1"/>
    <w:rsid w:val="00F469F8"/>
    <w:rsid w:val="00F46E6D"/>
    <w:rsid w:val="00F50E9B"/>
    <w:rsid w:val="00F50ED2"/>
    <w:rsid w:val="00F5105D"/>
    <w:rsid w:val="00F516DE"/>
    <w:rsid w:val="00F51800"/>
    <w:rsid w:val="00F51A7C"/>
    <w:rsid w:val="00F52FEF"/>
    <w:rsid w:val="00F53018"/>
    <w:rsid w:val="00F537CC"/>
    <w:rsid w:val="00F54C90"/>
    <w:rsid w:val="00F55286"/>
    <w:rsid w:val="00F56AB3"/>
    <w:rsid w:val="00F604F9"/>
    <w:rsid w:val="00F6080D"/>
    <w:rsid w:val="00F60AE3"/>
    <w:rsid w:val="00F60BD1"/>
    <w:rsid w:val="00F61462"/>
    <w:rsid w:val="00F62472"/>
    <w:rsid w:val="00F62571"/>
    <w:rsid w:val="00F625F2"/>
    <w:rsid w:val="00F62D82"/>
    <w:rsid w:val="00F63426"/>
    <w:rsid w:val="00F64317"/>
    <w:rsid w:val="00F65B65"/>
    <w:rsid w:val="00F67F6C"/>
    <w:rsid w:val="00F70182"/>
    <w:rsid w:val="00F7028E"/>
    <w:rsid w:val="00F70471"/>
    <w:rsid w:val="00F7052D"/>
    <w:rsid w:val="00F70DE9"/>
    <w:rsid w:val="00F711DA"/>
    <w:rsid w:val="00F71E16"/>
    <w:rsid w:val="00F71F1D"/>
    <w:rsid w:val="00F7369E"/>
    <w:rsid w:val="00F74136"/>
    <w:rsid w:val="00F7574C"/>
    <w:rsid w:val="00F75BDB"/>
    <w:rsid w:val="00F76D0E"/>
    <w:rsid w:val="00F802FE"/>
    <w:rsid w:val="00F80D6B"/>
    <w:rsid w:val="00F82F43"/>
    <w:rsid w:val="00F834E6"/>
    <w:rsid w:val="00F838F7"/>
    <w:rsid w:val="00F83B41"/>
    <w:rsid w:val="00F848DF"/>
    <w:rsid w:val="00F85794"/>
    <w:rsid w:val="00F8599F"/>
    <w:rsid w:val="00F85E6C"/>
    <w:rsid w:val="00F860C6"/>
    <w:rsid w:val="00F8639E"/>
    <w:rsid w:val="00F86CF7"/>
    <w:rsid w:val="00F8770B"/>
    <w:rsid w:val="00F90282"/>
    <w:rsid w:val="00F90388"/>
    <w:rsid w:val="00F90395"/>
    <w:rsid w:val="00F9168A"/>
    <w:rsid w:val="00F9378F"/>
    <w:rsid w:val="00F93CC8"/>
    <w:rsid w:val="00F955F8"/>
    <w:rsid w:val="00F957C0"/>
    <w:rsid w:val="00F9584A"/>
    <w:rsid w:val="00F95BB4"/>
    <w:rsid w:val="00F96575"/>
    <w:rsid w:val="00FA006B"/>
    <w:rsid w:val="00FA0847"/>
    <w:rsid w:val="00FA0BF5"/>
    <w:rsid w:val="00FA2575"/>
    <w:rsid w:val="00FA5670"/>
    <w:rsid w:val="00FA6A2C"/>
    <w:rsid w:val="00FA6EF5"/>
    <w:rsid w:val="00FA7817"/>
    <w:rsid w:val="00FB18B1"/>
    <w:rsid w:val="00FB205A"/>
    <w:rsid w:val="00FB3198"/>
    <w:rsid w:val="00FB5D25"/>
    <w:rsid w:val="00FB66FA"/>
    <w:rsid w:val="00FB6F16"/>
    <w:rsid w:val="00FB7A68"/>
    <w:rsid w:val="00FC2FF5"/>
    <w:rsid w:val="00FC3314"/>
    <w:rsid w:val="00FC40A2"/>
    <w:rsid w:val="00FC5456"/>
    <w:rsid w:val="00FD0ED1"/>
    <w:rsid w:val="00FD0FC1"/>
    <w:rsid w:val="00FD11ED"/>
    <w:rsid w:val="00FD4557"/>
    <w:rsid w:val="00FD4991"/>
    <w:rsid w:val="00FD5557"/>
    <w:rsid w:val="00FD72B7"/>
    <w:rsid w:val="00FE0907"/>
    <w:rsid w:val="00FE2EFA"/>
    <w:rsid w:val="00FE3A87"/>
    <w:rsid w:val="00FE44D3"/>
    <w:rsid w:val="00FE6555"/>
    <w:rsid w:val="00FF0552"/>
    <w:rsid w:val="00FF0C7F"/>
    <w:rsid w:val="00FF2202"/>
    <w:rsid w:val="00FF298F"/>
    <w:rsid w:val="00FF3118"/>
    <w:rsid w:val="00FF3B1B"/>
    <w:rsid w:val="00FF3FED"/>
    <w:rsid w:val="00FF4942"/>
    <w:rsid w:val="00FF532D"/>
    <w:rsid w:val="00FF76BC"/>
    <w:rsid w:val="00FF7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7F945BA"/>
  <w15:docId w15:val="{4B7E089D-7093-43DA-B04F-6AD30060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61D"/>
    <w:rPr>
      <w:sz w:val="24"/>
      <w:szCs w:val="24"/>
    </w:rPr>
  </w:style>
  <w:style w:type="paragraph" w:styleId="Heading1">
    <w:name w:val="heading 1"/>
    <w:basedOn w:val="Normal"/>
    <w:next w:val="Normal"/>
    <w:link w:val="Heading1Char"/>
    <w:qFormat/>
    <w:rsid w:val="008062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5C173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CE5FE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25D9C"/>
    <w:pPr>
      <w:framePr w:w="7920" w:h="1980" w:hRule="exact" w:hSpace="180" w:wrap="auto" w:hAnchor="page" w:xAlign="center" w:yAlign="bottom"/>
      <w:ind w:left="2880"/>
    </w:pPr>
    <w:rPr>
      <w:rFonts w:ascii="Courier New" w:hAnsi="Courier New" w:cs="Arial"/>
      <w:caps/>
    </w:rPr>
  </w:style>
  <w:style w:type="paragraph" w:styleId="Header">
    <w:name w:val="header"/>
    <w:basedOn w:val="Normal"/>
    <w:rsid w:val="00225D9C"/>
    <w:pPr>
      <w:tabs>
        <w:tab w:val="center" w:pos="4320"/>
        <w:tab w:val="right" w:pos="8640"/>
      </w:tabs>
    </w:pPr>
  </w:style>
  <w:style w:type="paragraph" w:styleId="Footer">
    <w:name w:val="footer"/>
    <w:basedOn w:val="Normal"/>
    <w:link w:val="FooterChar"/>
    <w:uiPriority w:val="99"/>
    <w:rsid w:val="00225D9C"/>
    <w:pPr>
      <w:tabs>
        <w:tab w:val="center" w:pos="4320"/>
        <w:tab w:val="right" w:pos="8640"/>
      </w:tabs>
    </w:pPr>
  </w:style>
  <w:style w:type="character" w:styleId="PageNumber">
    <w:name w:val="page number"/>
    <w:basedOn w:val="DefaultParagraphFont"/>
    <w:rsid w:val="00225D9C"/>
  </w:style>
  <w:style w:type="paragraph" w:styleId="NormalWeb">
    <w:name w:val="Normal (Web)"/>
    <w:basedOn w:val="Normal"/>
    <w:uiPriority w:val="99"/>
    <w:rsid w:val="00225D9C"/>
    <w:pPr>
      <w:spacing w:before="100" w:beforeAutospacing="1" w:after="100" w:afterAutospacing="1"/>
    </w:pPr>
    <w:rPr>
      <w:color w:val="CCCCCC"/>
    </w:rPr>
  </w:style>
  <w:style w:type="paragraph" w:styleId="HTMLPreformatted">
    <w:name w:val="HTML Preformatted"/>
    <w:basedOn w:val="Normal"/>
    <w:rsid w:val="0022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rsid w:val="00345DAE"/>
    <w:rPr>
      <w:color w:val="0000FF"/>
      <w:u w:val="single"/>
    </w:rPr>
  </w:style>
  <w:style w:type="paragraph" w:styleId="BalloonText">
    <w:name w:val="Balloon Text"/>
    <w:basedOn w:val="Normal"/>
    <w:link w:val="BalloonTextChar"/>
    <w:uiPriority w:val="99"/>
    <w:semiHidden/>
    <w:rsid w:val="00A66385"/>
    <w:rPr>
      <w:rFonts w:ascii="Tahoma" w:hAnsi="Tahoma" w:cs="Tahoma"/>
      <w:sz w:val="16"/>
      <w:szCs w:val="16"/>
    </w:rPr>
  </w:style>
  <w:style w:type="paragraph" w:styleId="FootnoteText">
    <w:name w:val="footnote text"/>
    <w:basedOn w:val="Normal"/>
    <w:semiHidden/>
    <w:rsid w:val="008D1EF1"/>
    <w:rPr>
      <w:sz w:val="20"/>
      <w:szCs w:val="20"/>
    </w:rPr>
  </w:style>
  <w:style w:type="character" w:styleId="FootnoteReference">
    <w:name w:val="footnote reference"/>
    <w:basedOn w:val="DefaultParagraphFont"/>
    <w:semiHidden/>
    <w:rsid w:val="008D1EF1"/>
    <w:rPr>
      <w:vertAlign w:val="superscript"/>
    </w:rPr>
  </w:style>
  <w:style w:type="character" w:customStyle="1" w:styleId="FooterChar">
    <w:name w:val="Footer Char"/>
    <w:basedOn w:val="DefaultParagraphFont"/>
    <w:link w:val="Footer"/>
    <w:uiPriority w:val="99"/>
    <w:rsid w:val="00BC4981"/>
    <w:rPr>
      <w:sz w:val="24"/>
      <w:szCs w:val="24"/>
    </w:rPr>
  </w:style>
  <w:style w:type="paragraph" w:styleId="ListParagraph">
    <w:name w:val="List Paragraph"/>
    <w:basedOn w:val="Normal"/>
    <w:uiPriority w:val="34"/>
    <w:qFormat/>
    <w:rsid w:val="00F516DE"/>
    <w:pPr>
      <w:ind w:left="720"/>
      <w:contextualSpacing/>
    </w:pPr>
  </w:style>
  <w:style w:type="paragraph" w:styleId="EndnoteText">
    <w:name w:val="endnote text"/>
    <w:basedOn w:val="Normal"/>
    <w:link w:val="EndnoteTextChar"/>
    <w:rsid w:val="00BE2BC1"/>
    <w:rPr>
      <w:sz w:val="20"/>
      <w:szCs w:val="20"/>
    </w:rPr>
  </w:style>
  <w:style w:type="character" w:customStyle="1" w:styleId="EndnoteTextChar">
    <w:name w:val="Endnote Text Char"/>
    <w:basedOn w:val="DefaultParagraphFont"/>
    <w:link w:val="EndnoteText"/>
    <w:rsid w:val="00BE2BC1"/>
  </w:style>
  <w:style w:type="character" w:styleId="EndnoteReference">
    <w:name w:val="endnote reference"/>
    <w:basedOn w:val="DefaultParagraphFont"/>
    <w:rsid w:val="00BE2BC1"/>
    <w:rPr>
      <w:vertAlign w:val="superscript"/>
    </w:rPr>
  </w:style>
  <w:style w:type="paragraph" w:styleId="BodyText">
    <w:name w:val="Body Text"/>
    <w:aliases w:val="bt"/>
    <w:basedOn w:val="Normal"/>
    <w:link w:val="BodyTextChar"/>
    <w:rsid w:val="00643402"/>
    <w:pPr>
      <w:spacing w:after="120"/>
    </w:pPr>
    <w:rPr>
      <w:rFonts w:ascii="Arial" w:hAnsi="Arial"/>
    </w:rPr>
  </w:style>
  <w:style w:type="character" w:customStyle="1" w:styleId="BodyTextChar">
    <w:name w:val="Body Text Char"/>
    <w:aliases w:val="bt Char"/>
    <w:basedOn w:val="DefaultParagraphFont"/>
    <w:link w:val="BodyText"/>
    <w:rsid w:val="00643402"/>
    <w:rPr>
      <w:rFonts w:ascii="Arial" w:hAnsi="Arial"/>
      <w:sz w:val="24"/>
      <w:szCs w:val="24"/>
    </w:rPr>
  </w:style>
  <w:style w:type="paragraph" w:customStyle="1" w:styleId="Default">
    <w:name w:val="Default"/>
    <w:rsid w:val="005D097C"/>
    <w:pPr>
      <w:autoSpaceDE w:val="0"/>
      <w:autoSpaceDN w:val="0"/>
      <w:adjustRightInd w:val="0"/>
    </w:pPr>
    <w:rPr>
      <w:rFonts w:ascii="Arial" w:hAnsi="Arial" w:cs="Arial"/>
      <w:color w:val="000000"/>
      <w:sz w:val="24"/>
      <w:szCs w:val="24"/>
    </w:rPr>
  </w:style>
  <w:style w:type="character" w:customStyle="1" w:styleId="BalloonTextChar">
    <w:name w:val="Balloon Text Char"/>
    <w:basedOn w:val="DefaultParagraphFont"/>
    <w:link w:val="BalloonText"/>
    <w:uiPriority w:val="99"/>
    <w:semiHidden/>
    <w:rsid w:val="00803194"/>
    <w:rPr>
      <w:rFonts w:ascii="Tahoma" w:hAnsi="Tahoma" w:cs="Tahoma"/>
      <w:sz w:val="16"/>
      <w:szCs w:val="16"/>
    </w:rPr>
  </w:style>
  <w:style w:type="character" w:styleId="CommentReference">
    <w:name w:val="annotation reference"/>
    <w:basedOn w:val="DefaultParagraphFont"/>
    <w:unhideWhenUsed/>
    <w:rsid w:val="00B20575"/>
    <w:rPr>
      <w:sz w:val="16"/>
      <w:szCs w:val="16"/>
    </w:rPr>
  </w:style>
  <w:style w:type="paragraph" w:styleId="CommentText">
    <w:name w:val="annotation text"/>
    <w:basedOn w:val="Normal"/>
    <w:link w:val="CommentTextChar"/>
    <w:unhideWhenUsed/>
    <w:rsid w:val="00B20575"/>
    <w:rPr>
      <w:sz w:val="20"/>
      <w:szCs w:val="20"/>
    </w:rPr>
  </w:style>
  <w:style w:type="character" w:customStyle="1" w:styleId="CommentTextChar">
    <w:name w:val="Comment Text Char"/>
    <w:basedOn w:val="DefaultParagraphFont"/>
    <w:link w:val="CommentText"/>
    <w:rsid w:val="00B20575"/>
  </w:style>
  <w:style w:type="paragraph" w:styleId="CommentSubject">
    <w:name w:val="annotation subject"/>
    <w:basedOn w:val="CommentText"/>
    <w:next w:val="CommentText"/>
    <w:link w:val="CommentSubjectChar"/>
    <w:semiHidden/>
    <w:unhideWhenUsed/>
    <w:rsid w:val="00B20575"/>
    <w:rPr>
      <w:b/>
      <w:bCs/>
    </w:rPr>
  </w:style>
  <w:style w:type="character" w:customStyle="1" w:styleId="CommentSubjectChar">
    <w:name w:val="Comment Subject Char"/>
    <w:basedOn w:val="CommentTextChar"/>
    <w:link w:val="CommentSubject"/>
    <w:semiHidden/>
    <w:rsid w:val="00B20575"/>
    <w:rPr>
      <w:b/>
      <w:bCs/>
    </w:rPr>
  </w:style>
  <w:style w:type="character" w:customStyle="1" w:styleId="Heading1Char">
    <w:name w:val="Heading 1 Char"/>
    <w:basedOn w:val="DefaultParagraphFont"/>
    <w:link w:val="Heading1"/>
    <w:rsid w:val="008062A9"/>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060659"/>
    <w:pPr>
      <w:widowControl w:val="0"/>
      <w:autoSpaceDE w:val="0"/>
      <w:autoSpaceDN w:val="0"/>
      <w:ind w:left="103"/>
    </w:pPr>
    <w:rPr>
      <w:rFonts w:ascii="Arial" w:eastAsia="Arial" w:hAnsi="Arial" w:cs="Arial"/>
      <w:sz w:val="22"/>
      <w:szCs w:val="22"/>
    </w:rPr>
  </w:style>
  <w:style w:type="character" w:customStyle="1" w:styleId="Heading3Char">
    <w:name w:val="Heading 3 Char"/>
    <w:basedOn w:val="DefaultParagraphFont"/>
    <w:link w:val="Heading3"/>
    <w:rsid w:val="00CE5FEF"/>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1E424C"/>
    <w:rPr>
      <w:color w:val="808080"/>
      <w:shd w:val="clear" w:color="auto" w:fill="E6E6E6"/>
    </w:rPr>
  </w:style>
  <w:style w:type="character" w:styleId="FollowedHyperlink">
    <w:name w:val="FollowedHyperlink"/>
    <w:basedOn w:val="DefaultParagraphFont"/>
    <w:semiHidden/>
    <w:unhideWhenUsed/>
    <w:rsid w:val="00BB4AAA"/>
    <w:rPr>
      <w:color w:val="800080" w:themeColor="followedHyperlink"/>
      <w:u w:val="single"/>
    </w:rPr>
  </w:style>
  <w:style w:type="character" w:customStyle="1" w:styleId="gmaildefault">
    <w:name w:val="gmail_default"/>
    <w:basedOn w:val="DefaultParagraphFont"/>
    <w:rsid w:val="008713D0"/>
  </w:style>
  <w:style w:type="paragraph" w:styleId="NoSpacing">
    <w:name w:val="No Spacing"/>
    <w:uiPriority w:val="1"/>
    <w:qFormat/>
    <w:rsid w:val="00AA5431"/>
    <w:rPr>
      <w:rFonts w:asciiTheme="minorHAnsi" w:eastAsiaTheme="minorHAnsi" w:hAnsiTheme="minorHAnsi" w:cstheme="minorBidi"/>
      <w:sz w:val="22"/>
      <w:szCs w:val="22"/>
    </w:rPr>
  </w:style>
  <w:style w:type="character" w:customStyle="1" w:styleId="cf01">
    <w:name w:val="cf01"/>
    <w:basedOn w:val="DefaultParagraphFont"/>
    <w:rsid w:val="0014098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55613">
      <w:bodyDiv w:val="1"/>
      <w:marLeft w:val="0"/>
      <w:marRight w:val="0"/>
      <w:marTop w:val="0"/>
      <w:marBottom w:val="0"/>
      <w:divBdr>
        <w:top w:val="none" w:sz="0" w:space="0" w:color="auto"/>
        <w:left w:val="none" w:sz="0" w:space="0" w:color="auto"/>
        <w:bottom w:val="none" w:sz="0" w:space="0" w:color="auto"/>
        <w:right w:val="none" w:sz="0" w:space="0" w:color="auto"/>
      </w:divBdr>
    </w:div>
    <w:div w:id="52315733">
      <w:bodyDiv w:val="1"/>
      <w:marLeft w:val="0"/>
      <w:marRight w:val="0"/>
      <w:marTop w:val="0"/>
      <w:marBottom w:val="0"/>
      <w:divBdr>
        <w:top w:val="none" w:sz="0" w:space="0" w:color="auto"/>
        <w:left w:val="none" w:sz="0" w:space="0" w:color="auto"/>
        <w:bottom w:val="none" w:sz="0" w:space="0" w:color="auto"/>
        <w:right w:val="none" w:sz="0" w:space="0" w:color="auto"/>
      </w:divBdr>
    </w:div>
    <w:div w:id="93597285">
      <w:bodyDiv w:val="1"/>
      <w:marLeft w:val="0"/>
      <w:marRight w:val="0"/>
      <w:marTop w:val="0"/>
      <w:marBottom w:val="0"/>
      <w:divBdr>
        <w:top w:val="none" w:sz="0" w:space="0" w:color="auto"/>
        <w:left w:val="none" w:sz="0" w:space="0" w:color="auto"/>
        <w:bottom w:val="none" w:sz="0" w:space="0" w:color="auto"/>
        <w:right w:val="none" w:sz="0" w:space="0" w:color="auto"/>
      </w:divBdr>
    </w:div>
    <w:div w:id="108815534">
      <w:bodyDiv w:val="1"/>
      <w:marLeft w:val="0"/>
      <w:marRight w:val="0"/>
      <w:marTop w:val="0"/>
      <w:marBottom w:val="0"/>
      <w:divBdr>
        <w:top w:val="none" w:sz="0" w:space="0" w:color="auto"/>
        <w:left w:val="none" w:sz="0" w:space="0" w:color="auto"/>
        <w:bottom w:val="none" w:sz="0" w:space="0" w:color="auto"/>
        <w:right w:val="none" w:sz="0" w:space="0" w:color="auto"/>
      </w:divBdr>
    </w:div>
    <w:div w:id="109402625">
      <w:bodyDiv w:val="1"/>
      <w:marLeft w:val="0"/>
      <w:marRight w:val="0"/>
      <w:marTop w:val="0"/>
      <w:marBottom w:val="0"/>
      <w:divBdr>
        <w:top w:val="none" w:sz="0" w:space="0" w:color="auto"/>
        <w:left w:val="none" w:sz="0" w:space="0" w:color="auto"/>
        <w:bottom w:val="none" w:sz="0" w:space="0" w:color="auto"/>
        <w:right w:val="none" w:sz="0" w:space="0" w:color="auto"/>
      </w:divBdr>
    </w:div>
    <w:div w:id="134373148">
      <w:bodyDiv w:val="1"/>
      <w:marLeft w:val="0"/>
      <w:marRight w:val="0"/>
      <w:marTop w:val="0"/>
      <w:marBottom w:val="0"/>
      <w:divBdr>
        <w:top w:val="none" w:sz="0" w:space="0" w:color="auto"/>
        <w:left w:val="none" w:sz="0" w:space="0" w:color="auto"/>
        <w:bottom w:val="none" w:sz="0" w:space="0" w:color="auto"/>
        <w:right w:val="none" w:sz="0" w:space="0" w:color="auto"/>
      </w:divBdr>
    </w:div>
    <w:div w:id="151412468">
      <w:bodyDiv w:val="1"/>
      <w:marLeft w:val="0"/>
      <w:marRight w:val="0"/>
      <w:marTop w:val="0"/>
      <w:marBottom w:val="0"/>
      <w:divBdr>
        <w:top w:val="none" w:sz="0" w:space="0" w:color="auto"/>
        <w:left w:val="none" w:sz="0" w:space="0" w:color="auto"/>
        <w:bottom w:val="none" w:sz="0" w:space="0" w:color="auto"/>
        <w:right w:val="none" w:sz="0" w:space="0" w:color="auto"/>
      </w:divBdr>
    </w:div>
    <w:div w:id="211157688">
      <w:bodyDiv w:val="1"/>
      <w:marLeft w:val="0"/>
      <w:marRight w:val="0"/>
      <w:marTop w:val="0"/>
      <w:marBottom w:val="0"/>
      <w:divBdr>
        <w:top w:val="none" w:sz="0" w:space="0" w:color="auto"/>
        <w:left w:val="none" w:sz="0" w:space="0" w:color="auto"/>
        <w:bottom w:val="none" w:sz="0" w:space="0" w:color="auto"/>
        <w:right w:val="none" w:sz="0" w:space="0" w:color="auto"/>
      </w:divBdr>
    </w:div>
    <w:div w:id="226187657">
      <w:bodyDiv w:val="1"/>
      <w:marLeft w:val="0"/>
      <w:marRight w:val="0"/>
      <w:marTop w:val="0"/>
      <w:marBottom w:val="0"/>
      <w:divBdr>
        <w:top w:val="none" w:sz="0" w:space="0" w:color="auto"/>
        <w:left w:val="none" w:sz="0" w:space="0" w:color="auto"/>
        <w:bottom w:val="none" w:sz="0" w:space="0" w:color="auto"/>
        <w:right w:val="none" w:sz="0" w:space="0" w:color="auto"/>
      </w:divBdr>
    </w:div>
    <w:div w:id="267279364">
      <w:bodyDiv w:val="1"/>
      <w:marLeft w:val="0"/>
      <w:marRight w:val="0"/>
      <w:marTop w:val="0"/>
      <w:marBottom w:val="0"/>
      <w:divBdr>
        <w:top w:val="none" w:sz="0" w:space="0" w:color="auto"/>
        <w:left w:val="none" w:sz="0" w:space="0" w:color="auto"/>
        <w:bottom w:val="none" w:sz="0" w:space="0" w:color="auto"/>
        <w:right w:val="none" w:sz="0" w:space="0" w:color="auto"/>
      </w:divBdr>
    </w:div>
    <w:div w:id="271325081">
      <w:bodyDiv w:val="1"/>
      <w:marLeft w:val="0"/>
      <w:marRight w:val="0"/>
      <w:marTop w:val="0"/>
      <w:marBottom w:val="0"/>
      <w:divBdr>
        <w:top w:val="none" w:sz="0" w:space="0" w:color="auto"/>
        <w:left w:val="none" w:sz="0" w:space="0" w:color="auto"/>
        <w:bottom w:val="none" w:sz="0" w:space="0" w:color="auto"/>
        <w:right w:val="none" w:sz="0" w:space="0" w:color="auto"/>
      </w:divBdr>
    </w:div>
    <w:div w:id="295110931">
      <w:bodyDiv w:val="1"/>
      <w:marLeft w:val="0"/>
      <w:marRight w:val="0"/>
      <w:marTop w:val="0"/>
      <w:marBottom w:val="0"/>
      <w:divBdr>
        <w:top w:val="none" w:sz="0" w:space="0" w:color="auto"/>
        <w:left w:val="none" w:sz="0" w:space="0" w:color="auto"/>
        <w:bottom w:val="none" w:sz="0" w:space="0" w:color="auto"/>
        <w:right w:val="none" w:sz="0" w:space="0" w:color="auto"/>
      </w:divBdr>
    </w:div>
    <w:div w:id="307167696">
      <w:bodyDiv w:val="1"/>
      <w:marLeft w:val="0"/>
      <w:marRight w:val="0"/>
      <w:marTop w:val="0"/>
      <w:marBottom w:val="0"/>
      <w:divBdr>
        <w:top w:val="none" w:sz="0" w:space="0" w:color="auto"/>
        <w:left w:val="none" w:sz="0" w:space="0" w:color="auto"/>
        <w:bottom w:val="none" w:sz="0" w:space="0" w:color="auto"/>
        <w:right w:val="none" w:sz="0" w:space="0" w:color="auto"/>
      </w:divBdr>
    </w:div>
    <w:div w:id="334574481">
      <w:bodyDiv w:val="1"/>
      <w:marLeft w:val="0"/>
      <w:marRight w:val="0"/>
      <w:marTop w:val="0"/>
      <w:marBottom w:val="0"/>
      <w:divBdr>
        <w:top w:val="none" w:sz="0" w:space="0" w:color="auto"/>
        <w:left w:val="none" w:sz="0" w:space="0" w:color="auto"/>
        <w:bottom w:val="none" w:sz="0" w:space="0" w:color="auto"/>
        <w:right w:val="none" w:sz="0" w:space="0" w:color="auto"/>
      </w:divBdr>
    </w:div>
    <w:div w:id="444858484">
      <w:bodyDiv w:val="1"/>
      <w:marLeft w:val="0"/>
      <w:marRight w:val="0"/>
      <w:marTop w:val="0"/>
      <w:marBottom w:val="0"/>
      <w:divBdr>
        <w:top w:val="none" w:sz="0" w:space="0" w:color="auto"/>
        <w:left w:val="none" w:sz="0" w:space="0" w:color="auto"/>
        <w:bottom w:val="none" w:sz="0" w:space="0" w:color="auto"/>
        <w:right w:val="none" w:sz="0" w:space="0" w:color="auto"/>
      </w:divBdr>
    </w:div>
    <w:div w:id="453981748">
      <w:bodyDiv w:val="1"/>
      <w:marLeft w:val="0"/>
      <w:marRight w:val="0"/>
      <w:marTop w:val="0"/>
      <w:marBottom w:val="0"/>
      <w:divBdr>
        <w:top w:val="none" w:sz="0" w:space="0" w:color="auto"/>
        <w:left w:val="none" w:sz="0" w:space="0" w:color="auto"/>
        <w:bottom w:val="none" w:sz="0" w:space="0" w:color="auto"/>
        <w:right w:val="none" w:sz="0" w:space="0" w:color="auto"/>
      </w:divBdr>
    </w:div>
    <w:div w:id="475799953">
      <w:bodyDiv w:val="1"/>
      <w:marLeft w:val="0"/>
      <w:marRight w:val="0"/>
      <w:marTop w:val="0"/>
      <w:marBottom w:val="0"/>
      <w:divBdr>
        <w:top w:val="none" w:sz="0" w:space="0" w:color="auto"/>
        <w:left w:val="none" w:sz="0" w:space="0" w:color="auto"/>
        <w:bottom w:val="none" w:sz="0" w:space="0" w:color="auto"/>
        <w:right w:val="none" w:sz="0" w:space="0" w:color="auto"/>
      </w:divBdr>
    </w:div>
    <w:div w:id="497581164">
      <w:bodyDiv w:val="1"/>
      <w:marLeft w:val="0"/>
      <w:marRight w:val="0"/>
      <w:marTop w:val="0"/>
      <w:marBottom w:val="0"/>
      <w:divBdr>
        <w:top w:val="none" w:sz="0" w:space="0" w:color="auto"/>
        <w:left w:val="none" w:sz="0" w:space="0" w:color="auto"/>
        <w:bottom w:val="none" w:sz="0" w:space="0" w:color="auto"/>
        <w:right w:val="none" w:sz="0" w:space="0" w:color="auto"/>
      </w:divBdr>
    </w:div>
    <w:div w:id="538274501">
      <w:bodyDiv w:val="1"/>
      <w:marLeft w:val="0"/>
      <w:marRight w:val="0"/>
      <w:marTop w:val="0"/>
      <w:marBottom w:val="0"/>
      <w:divBdr>
        <w:top w:val="none" w:sz="0" w:space="0" w:color="auto"/>
        <w:left w:val="none" w:sz="0" w:space="0" w:color="auto"/>
        <w:bottom w:val="none" w:sz="0" w:space="0" w:color="auto"/>
        <w:right w:val="none" w:sz="0" w:space="0" w:color="auto"/>
      </w:divBdr>
    </w:div>
    <w:div w:id="543567354">
      <w:bodyDiv w:val="1"/>
      <w:marLeft w:val="0"/>
      <w:marRight w:val="0"/>
      <w:marTop w:val="0"/>
      <w:marBottom w:val="0"/>
      <w:divBdr>
        <w:top w:val="none" w:sz="0" w:space="0" w:color="auto"/>
        <w:left w:val="none" w:sz="0" w:space="0" w:color="auto"/>
        <w:bottom w:val="none" w:sz="0" w:space="0" w:color="auto"/>
        <w:right w:val="none" w:sz="0" w:space="0" w:color="auto"/>
      </w:divBdr>
    </w:div>
    <w:div w:id="545220415">
      <w:bodyDiv w:val="1"/>
      <w:marLeft w:val="0"/>
      <w:marRight w:val="0"/>
      <w:marTop w:val="0"/>
      <w:marBottom w:val="0"/>
      <w:divBdr>
        <w:top w:val="none" w:sz="0" w:space="0" w:color="auto"/>
        <w:left w:val="none" w:sz="0" w:space="0" w:color="auto"/>
        <w:bottom w:val="none" w:sz="0" w:space="0" w:color="auto"/>
        <w:right w:val="none" w:sz="0" w:space="0" w:color="auto"/>
      </w:divBdr>
    </w:div>
    <w:div w:id="559562356">
      <w:bodyDiv w:val="1"/>
      <w:marLeft w:val="0"/>
      <w:marRight w:val="0"/>
      <w:marTop w:val="0"/>
      <w:marBottom w:val="0"/>
      <w:divBdr>
        <w:top w:val="none" w:sz="0" w:space="0" w:color="auto"/>
        <w:left w:val="none" w:sz="0" w:space="0" w:color="auto"/>
        <w:bottom w:val="none" w:sz="0" w:space="0" w:color="auto"/>
        <w:right w:val="none" w:sz="0" w:space="0" w:color="auto"/>
      </w:divBdr>
    </w:div>
    <w:div w:id="593363444">
      <w:bodyDiv w:val="1"/>
      <w:marLeft w:val="0"/>
      <w:marRight w:val="0"/>
      <w:marTop w:val="0"/>
      <w:marBottom w:val="0"/>
      <w:divBdr>
        <w:top w:val="none" w:sz="0" w:space="0" w:color="auto"/>
        <w:left w:val="none" w:sz="0" w:space="0" w:color="auto"/>
        <w:bottom w:val="none" w:sz="0" w:space="0" w:color="auto"/>
        <w:right w:val="none" w:sz="0" w:space="0" w:color="auto"/>
      </w:divBdr>
    </w:div>
    <w:div w:id="652682379">
      <w:bodyDiv w:val="1"/>
      <w:marLeft w:val="0"/>
      <w:marRight w:val="0"/>
      <w:marTop w:val="0"/>
      <w:marBottom w:val="0"/>
      <w:divBdr>
        <w:top w:val="none" w:sz="0" w:space="0" w:color="auto"/>
        <w:left w:val="none" w:sz="0" w:space="0" w:color="auto"/>
        <w:bottom w:val="none" w:sz="0" w:space="0" w:color="auto"/>
        <w:right w:val="none" w:sz="0" w:space="0" w:color="auto"/>
      </w:divBdr>
    </w:div>
    <w:div w:id="653531667">
      <w:bodyDiv w:val="1"/>
      <w:marLeft w:val="0"/>
      <w:marRight w:val="0"/>
      <w:marTop w:val="0"/>
      <w:marBottom w:val="0"/>
      <w:divBdr>
        <w:top w:val="none" w:sz="0" w:space="0" w:color="auto"/>
        <w:left w:val="none" w:sz="0" w:space="0" w:color="auto"/>
        <w:bottom w:val="none" w:sz="0" w:space="0" w:color="auto"/>
        <w:right w:val="none" w:sz="0" w:space="0" w:color="auto"/>
      </w:divBdr>
    </w:div>
    <w:div w:id="729959010">
      <w:bodyDiv w:val="1"/>
      <w:marLeft w:val="0"/>
      <w:marRight w:val="0"/>
      <w:marTop w:val="0"/>
      <w:marBottom w:val="0"/>
      <w:divBdr>
        <w:top w:val="none" w:sz="0" w:space="0" w:color="auto"/>
        <w:left w:val="none" w:sz="0" w:space="0" w:color="auto"/>
        <w:bottom w:val="none" w:sz="0" w:space="0" w:color="auto"/>
        <w:right w:val="none" w:sz="0" w:space="0" w:color="auto"/>
      </w:divBdr>
    </w:div>
    <w:div w:id="771900414">
      <w:bodyDiv w:val="1"/>
      <w:marLeft w:val="0"/>
      <w:marRight w:val="0"/>
      <w:marTop w:val="0"/>
      <w:marBottom w:val="0"/>
      <w:divBdr>
        <w:top w:val="none" w:sz="0" w:space="0" w:color="auto"/>
        <w:left w:val="none" w:sz="0" w:space="0" w:color="auto"/>
        <w:bottom w:val="none" w:sz="0" w:space="0" w:color="auto"/>
        <w:right w:val="none" w:sz="0" w:space="0" w:color="auto"/>
      </w:divBdr>
    </w:div>
    <w:div w:id="777942370">
      <w:bodyDiv w:val="1"/>
      <w:marLeft w:val="0"/>
      <w:marRight w:val="0"/>
      <w:marTop w:val="0"/>
      <w:marBottom w:val="0"/>
      <w:divBdr>
        <w:top w:val="none" w:sz="0" w:space="0" w:color="auto"/>
        <w:left w:val="none" w:sz="0" w:space="0" w:color="auto"/>
        <w:bottom w:val="none" w:sz="0" w:space="0" w:color="auto"/>
        <w:right w:val="none" w:sz="0" w:space="0" w:color="auto"/>
      </w:divBdr>
    </w:div>
    <w:div w:id="846015781">
      <w:bodyDiv w:val="1"/>
      <w:marLeft w:val="0"/>
      <w:marRight w:val="0"/>
      <w:marTop w:val="0"/>
      <w:marBottom w:val="0"/>
      <w:divBdr>
        <w:top w:val="none" w:sz="0" w:space="0" w:color="auto"/>
        <w:left w:val="none" w:sz="0" w:space="0" w:color="auto"/>
        <w:bottom w:val="none" w:sz="0" w:space="0" w:color="auto"/>
        <w:right w:val="none" w:sz="0" w:space="0" w:color="auto"/>
      </w:divBdr>
    </w:div>
    <w:div w:id="882134774">
      <w:bodyDiv w:val="1"/>
      <w:marLeft w:val="0"/>
      <w:marRight w:val="0"/>
      <w:marTop w:val="0"/>
      <w:marBottom w:val="0"/>
      <w:divBdr>
        <w:top w:val="none" w:sz="0" w:space="0" w:color="auto"/>
        <w:left w:val="none" w:sz="0" w:space="0" w:color="auto"/>
        <w:bottom w:val="none" w:sz="0" w:space="0" w:color="auto"/>
        <w:right w:val="none" w:sz="0" w:space="0" w:color="auto"/>
      </w:divBdr>
    </w:div>
    <w:div w:id="896814979">
      <w:bodyDiv w:val="1"/>
      <w:marLeft w:val="0"/>
      <w:marRight w:val="0"/>
      <w:marTop w:val="0"/>
      <w:marBottom w:val="0"/>
      <w:divBdr>
        <w:top w:val="none" w:sz="0" w:space="0" w:color="auto"/>
        <w:left w:val="none" w:sz="0" w:space="0" w:color="auto"/>
        <w:bottom w:val="none" w:sz="0" w:space="0" w:color="auto"/>
        <w:right w:val="none" w:sz="0" w:space="0" w:color="auto"/>
      </w:divBdr>
      <w:divsChild>
        <w:div w:id="2124373512">
          <w:marLeft w:val="0"/>
          <w:marRight w:val="0"/>
          <w:marTop w:val="0"/>
          <w:marBottom w:val="0"/>
          <w:divBdr>
            <w:top w:val="none" w:sz="0" w:space="0" w:color="auto"/>
            <w:left w:val="none" w:sz="0" w:space="0" w:color="auto"/>
            <w:bottom w:val="none" w:sz="0" w:space="0" w:color="auto"/>
            <w:right w:val="none" w:sz="0" w:space="0" w:color="auto"/>
          </w:divBdr>
        </w:div>
        <w:div w:id="1325953">
          <w:marLeft w:val="0"/>
          <w:marRight w:val="0"/>
          <w:marTop w:val="0"/>
          <w:marBottom w:val="0"/>
          <w:divBdr>
            <w:top w:val="none" w:sz="0" w:space="0" w:color="auto"/>
            <w:left w:val="none" w:sz="0" w:space="0" w:color="auto"/>
            <w:bottom w:val="none" w:sz="0" w:space="0" w:color="auto"/>
            <w:right w:val="none" w:sz="0" w:space="0" w:color="auto"/>
          </w:divBdr>
        </w:div>
        <w:div w:id="1821579920">
          <w:marLeft w:val="0"/>
          <w:marRight w:val="0"/>
          <w:marTop w:val="0"/>
          <w:marBottom w:val="0"/>
          <w:divBdr>
            <w:top w:val="none" w:sz="0" w:space="0" w:color="auto"/>
            <w:left w:val="none" w:sz="0" w:space="0" w:color="auto"/>
            <w:bottom w:val="none" w:sz="0" w:space="0" w:color="auto"/>
            <w:right w:val="none" w:sz="0" w:space="0" w:color="auto"/>
          </w:divBdr>
        </w:div>
        <w:div w:id="499350268">
          <w:marLeft w:val="0"/>
          <w:marRight w:val="0"/>
          <w:marTop w:val="0"/>
          <w:marBottom w:val="0"/>
          <w:divBdr>
            <w:top w:val="none" w:sz="0" w:space="0" w:color="auto"/>
            <w:left w:val="none" w:sz="0" w:space="0" w:color="auto"/>
            <w:bottom w:val="none" w:sz="0" w:space="0" w:color="auto"/>
            <w:right w:val="none" w:sz="0" w:space="0" w:color="auto"/>
          </w:divBdr>
        </w:div>
      </w:divsChild>
    </w:div>
    <w:div w:id="914978249">
      <w:bodyDiv w:val="1"/>
      <w:marLeft w:val="0"/>
      <w:marRight w:val="0"/>
      <w:marTop w:val="0"/>
      <w:marBottom w:val="0"/>
      <w:divBdr>
        <w:top w:val="none" w:sz="0" w:space="0" w:color="auto"/>
        <w:left w:val="none" w:sz="0" w:space="0" w:color="auto"/>
        <w:bottom w:val="none" w:sz="0" w:space="0" w:color="auto"/>
        <w:right w:val="none" w:sz="0" w:space="0" w:color="auto"/>
      </w:divBdr>
    </w:div>
    <w:div w:id="931427307">
      <w:bodyDiv w:val="1"/>
      <w:marLeft w:val="0"/>
      <w:marRight w:val="0"/>
      <w:marTop w:val="0"/>
      <w:marBottom w:val="0"/>
      <w:divBdr>
        <w:top w:val="none" w:sz="0" w:space="0" w:color="auto"/>
        <w:left w:val="none" w:sz="0" w:space="0" w:color="auto"/>
        <w:bottom w:val="none" w:sz="0" w:space="0" w:color="auto"/>
        <w:right w:val="none" w:sz="0" w:space="0" w:color="auto"/>
      </w:divBdr>
    </w:div>
    <w:div w:id="936602075">
      <w:bodyDiv w:val="1"/>
      <w:marLeft w:val="0"/>
      <w:marRight w:val="0"/>
      <w:marTop w:val="0"/>
      <w:marBottom w:val="0"/>
      <w:divBdr>
        <w:top w:val="none" w:sz="0" w:space="0" w:color="auto"/>
        <w:left w:val="none" w:sz="0" w:space="0" w:color="auto"/>
        <w:bottom w:val="none" w:sz="0" w:space="0" w:color="auto"/>
        <w:right w:val="none" w:sz="0" w:space="0" w:color="auto"/>
      </w:divBdr>
    </w:div>
    <w:div w:id="946811756">
      <w:bodyDiv w:val="1"/>
      <w:marLeft w:val="0"/>
      <w:marRight w:val="0"/>
      <w:marTop w:val="0"/>
      <w:marBottom w:val="0"/>
      <w:divBdr>
        <w:top w:val="none" w:sz="0" w:space="0" w:color="auto"/>
        <w:left w:val="none" w:sz="0" w:space="0" w:color="auto"/>
        <w:bottom w:val="none" w:sz="0" w:space="0" w:color="auto"/>
        <w:right w:val="none" w:sz="0" w:space="0" w:color="auto"/>
      </w:divBdr>
    </w:div>
    <w:div w:id="957955846">
      <w:bodyDiv w:val="1"/>
      <w:marLeft w:val="0"/>
      <w:marRight w:val="0"/>
      <w:marTop w:val="0"/>
      <w:marBottom w:val="0"/>
      <w:divBdr>
        <w:top w:val="none" w:sz="0" w:space="0" w:color="auto"/>
        <w:left w:val="none" w:sz="0" w:space="0" w:color="auto"/>
        <w:bottom w:val="none" w:sz="0" w:space="0" w:color="auto"/>
        <w:right w:val="none" w:sz="0" w:space="0" w:color="auto"/>
      </w:divBdr>
    </w:div>
    <w:div w:id="958872729">
      <w:bodyDiv w:val="1"/>
      <w:marLeft w:val="0"/>
      <w:marRight w:val="0"/>
      <w:marTop w:val="0"/>
      <w:marBottom w:val="0"/>
      <w:divBdr>
        <w:top w:val="none" w:sz="0" w:space="0" w:color="auto"/>
        <w:left w:val="none" w:sz="0" w:space="0" w:color="auto"/>
        <w:bottom w:val="none" w:sz="0" w:space="0" w:color="auto"/>
        <w:right w:val="none" w:sz="0" w:space="0" w:color="auto"/>
      </w:divBdr>
    </w:div>
    <w:div w:id="974414574">
      <w:bodyDiv w:val="1"/>
      <w:marLeft w:val="0"/>
      <w:marRight w:val="0"/>
      <w:marTop w:val="0"/>
      <w:marBottom w:val="0"/>
      <w:divBdr>
        <w:top w:val="none" w:sz="0" w:space="0" w:color="auto"/>
        <w:left w:val="none" w:sz="0" w:space="0" w:color="auto"/>
        <w:bottom w:val="none" w:sz="0" w:space="0" w:color="auto"/>
        <w:right w:val="none" w:sz="0" w:space="0" w:color="auto"/>
      </w:divBdr>
      <w:divsChild>
        <w:div w:id="211701265">
          <w:marLeft w:val="0"/>
          <w:marRight w:val="0"/>
          <w:marTop w:val="0"/>
          <w:marBottom w:val="0"/>
          <w:divBdr>
            <w:top w:val="none" w:sz="0" w:space="0" w:color="auto"/>
            <w:left w:val="none" w:sz="0" w:space="0" w:color="auto"/>
            <w:bottom w:val="none" w:sz="0" w:space="0" w:color="auto"/>
            <w:right w:val="none" w:sz="0" w:space="0" w:color="auto"/>
          </w:divBdr>
        </w:div>
        <w:div w:id="216550094">
          <w:marLeft w:val="0"/>
          <w:marRight w:val="0"/>
          <w:marTop w:val="0"/>
          <w:marBottom w:val="0"/>
          <w:divBdr>
            <w:top w:val="none" w:sz="0" w:space="0" w:color="auto"/>
            <w:left w:val="none" w:sz="0" w:space="0" w:color="auto"/>
            <w:bottom w:val="none" w:sz="0" w:space="0" w:color="auto"/>
            <w:right w:val="none" w:sz="0" w:space="0" w:color="auto"/>
          </w:divBdr>
        </w:div>
        <w:div w:id="1314069727">
          <w:marLeft w:val="0"/>
          <w:marRight w:val="0"/>
          <w:marTop w:val="0"/>
          <w:marBottom w:val="0"/>
          <w:divBdr>
            <w:top w:val="none" w:sz="0" w:space="0" w:color="auto"/>
            <w:left w:val="none" w:sz="0" w:space="0" w:color="auto"/>
            <w:bottom w:val="none" w:sz="0" w:space="0" w:color="auto"/>
            <w:right w:val="none" w:sz="0" w:space="0" w:color="auto"/>
          </w:divBdr>
        </w:div>
      </w:divsChild>
    </w:div>
    <w:div w:id="1063408457">
      <w:bodyDiv w:val="1"/>
      <w:marLeft w:val="0"/>
      <w:marRight w:val="0"/>
      <w:marTop w:val="0"/>
      <w:marBottom w:val="0"/>
      <w:divBdr>
        <w:top w:val="none" w:sz="0" w:space="0" w:color="auto"/>
        <w:left w:val="none" w:sz="0" w:space="0" w:color="auto"/>
        <w:bottom w:val="none" w:sz="0" w:space="0" w:color="auto"/>
        <w:right w:val="none" w:sz="0" w:space="0" w:color="auto"/>
      </w:divBdr>
    </w:div>
    <w:div w:id="1085807685">
      <w:bodyDiv w:val="1"/>
      <w:marLeft w:val="0"/>
      <w:marRight w:val="0"/>
      <w:marTop w:val="0"/>
      <w:marBottom w:val="0"/>
      <w:divBdr>
        <w:top w:val="none" w:sz="0" w:space="0" w:color="auto"/>
        <w:left w:val="none" w:sz="0" w:space="0" w:color="auto"/>
        <w:bottom w:val="none" w:sz="0" w:space="0" w:color="auto"/>
        <w:right w:val="none" w:sz="0" w:space="0" w:color="auto"/>
      </w:divBdr>
    </w:div>
    <w:div w:id="1088579725">
      <w:bodyDiv w:val="1"/>
      <w:marLeft w:val="0"/>
      <w:marRight w:val="0"/>
      <w:marTop w:val="0"/>
      <w:marBottom w:val="0"/>
      <w:divBdr>
        <w:top w:val="none" w:sz="0" w:space="0" w:color="auto"/>
        <w:left w:val="none" w:sz="0" w:space="0" w:color="auto"/>
        <w:bottom w:val="none" w:sz="0" w:space="0" w:color="auto"/>
        <w:right w:val="none" w:sz="0" w:space="0" w:color="auto"/>
      </w:divBdr>
    </w:div>
    <w:div w:id="1103455513">
      <w:bodyDiv w:val="1"/>
      <w:marLeft w:val="0"/>
      <w:marRight w:val="0"/>
      <w:marTop w:val="0"/>
      <w:marBottom w:val="0"/>
      <w:divBdr>
        <w:top w:val="none" w:sz="0" w:space="0" w:color="auto"/>
        <w:left w:val="none" w:sz="0" w:space="0" w:color="auto"/>
        <w:bottom w:val="none" w:sz="0" w:space="0" w:color="auto"/>
        <w:right w:val="none" w:sz="0" w:space="0" w:color="auto"/>
      </w:divBdr>
    </w:div>
    <w:div w:id="1137912395">
      <w:bodyDiv w:val="1"/>
      <w:marLeft w:val="0"/>
      <w:marRight w:val="0"/>
      <w:marTop w:val="0"/>
      <w:marBottom w:val="0"/>
      <w:divBdr>
        <w:top w:val="none" w:sz="0" w:space="0" w:color="auto"/>
        <w:left w:val="none" w:sz="0" w:space="0" w:color="auto"/>
        <w:bottom w:val="none" w:sz="0" w:space="0" w:color="auto"/>
        <w:right w:val="none" w:sz="0" w:space="0" w:color="auto"/>
      </w:divBdr>
    </w:div>
    <w:div w:id="1141927415">
      <w:bodyDiv w:val="1"/>
      <w:marLeft w:val="0"/>
      <w:marRight w:val="0"/>
      <w:marTop w:val="0"/>
      <w:marBottom w:val="0"/>
      <w:divBdr>
        <w:top w:val="none" w:sz="0" w:space="0" w:color="auto"/>
        <w:left w:val="none" w:sz="0" w:space="0" w:color="auto"/>
        <w:bottom w:val="none" w:sz="0" w:space="0" w:color="auto"/>
        <w:right w:val="none" w:sz="0" w:space="0" w:color="auto"/>
      </w:divBdr>
    </w:div>
    <w:div w:id="1179929968">
      <w:bodyDiv w:val="1"/>
      <w:marLeft w:val="0"/>
      <w:marRight w:val="0"/>
      <w:marTop w:val="0"/>
      <w:marBottom w:val="0"/>
      <w:divBdr>
        <w:top w:val="none" w:sz="0" w:space="0" w:color="auto"/>
        <w:left w:val="none" w:sz="0" w:space="0" w:color="auto"/>
        <w:bottom w:val="none" w:sz="0" w:space="0" w:color="auto"/>
        <w:right w:val="none" w:sz="0" w:space="0" w:color="auto"/>
      </w:divBdr>
    </w:div>
    <w:div w:id="1203711785">
      <w:bodyDiv w:val="1"/>
      <w:marLeft w:val="0"/>
      <w:marRight w:val="0"/>
      <w:marTop w:val="0"/>
      <w:marBottom w:val="0"/>
      <w:divBdr>
        <w:top w:val="none" w:sz="0" w:space="0" w:color="auto"/>
        <w:left w:val="none" w:sz="0" w:space="0" w:color="auto"/>
        <w:bottom w:val="none" w:sz="0" w:space="0" w:color="auto"/>
        <w:right w:val="none" w:sz="0" w:space="0" w:color="auto"/>
      </w:divBdr>
    </w:div>
    <w:div w:id="1221744045">
      <w:bodyDiv w:val="1"/>
      <w:marLeft w:val="0"/>
      <w:marRight w:val="0"/>
      <w:marTop w:val="0"/>
      <w:marBottom w:val="0"/>
      <w:divBdr>
        <w:top w:val="none" w:sz="0" w:space="0" w:color="auto"/>
        <w:left w:val="none" w:sz="0" w:space="0" w:color="auto"/>
        <w:bottom w:val="none" w:sz="0" w:space="0" w:color="auto"/>
        <w:right w:val="none" w:sz="0" w:space="0" w:color="auto"/>
      </w:divBdr>
    </w:div>
    <w:div w:id="1294553196">
      <w:bodyDiv w:val="1"/>
      <w:marLeft w:val="0"/>
      <w:marRight w:val="0"/>
      <w:marTop w:val="0"/>
      <w:marBottom w:val="0"/>
      <w:divBdr>
        <w:top w:val="none" w:sz="0" w:space="0" w:color="auto"/>
        <w:left w:val="none" w:sz="0" w:space="0" w:color="auto"/>
        <w:bottom w:val="none" w:sz="0" w:space="0" w:color="auto"/>
        <w:right w:val="none" w:sz="0" w:space="0" w:color="auto"/>
      </w:divBdr>
    </w:div>
    <w:div w:id="1318068586">
      <w:bodyDiv w:val="1"/>
      <w:marLeft w:val="0"/>
      <w:marRight w:val="0"/>
      <w:marTop w:val="0"/>
      <w:marBottom w:val="0"/>
      <w:divBdr>
        <w:top w:val="none" w:sz="0" w:space="0" w:color="auto"/>
        <w:left w:val="none" w:sz="0" w:space="0" w:color="auto"/>
        <w:bottom w:val="none" w:sz="0" w:space="0" w:color="auto"/>
        <w:right w:val="none" w:sz="0" w:space="0" w:color="auto"/>
      </w:divBdr>
    </w:div>
    <w:div w:id="1340304744">
      <w:bodyDiv w:val="1"/>
      <w:marLeft w:val="0"/>
      <w:marRight w:val="0"/>
      <w:marTop w:val="0"/>
      <w:marBottom w:val="0"/>
      <w:divBdr>
        <w:top w:val="none" w:sz="0" w:space="0" w:color="auto"/>
        <w:left w:val="none" w:sz="0" w:space="0" w:color="auto"/>
        <w:bottom w:val="none" w:sz="0" w:space="0" w:color="auto"/>
        <w:right w:val="none" w:sz="0" w:space="0" w:color="auto"/>
      </w:divBdr>
    </w:div>
    <w:div w:id="1340504637">
      <w:bodyDiv w:val="1"/>
      <w:marLeft w:val="0"/>
      <w:marRight w:val="0"/>
      <w:marTop w:val="0"/>
      <w:marBottom w:val="0"/>
      <w:divBdr>
        <w:top w:val="none" w:sz="0" w:space="0" w:color="auto"/>
        <w:left w:val="none" w:sz="0" w:space="0" w:color="auto"/>
        <w:bottom w:val="none" w:sz="0" w:space="0" w:color="auto"/>
        <w:right w:val="none" w:sz="0" w:space="0" w:color="auto"/>
      </w:divBdr>
    </w:div>
    <w:div w:id="1340932844">
      <w:bodyDiv w:val="1"/>
      <w:marLeft w:val="0"/>
      <w:marRight w:val="0"/>
      <w:marTop w:val="0"/>
      <w:marBottom w:val="0"/>
      <w:divBdr>
        <w:top w:val="none" w:sz="0" w:space="0" w:color="auto"/>
        <w:left w:val="none" w:sz="0" w:space="0" w:color="auto"/>
        <w:bottom w:val="none" w:sz="0" w:space="0" w:color="auto"/>
        <w:right w:val="none" w:sz="0" w:space="0" w:color="auto"/>
      </w:divBdr>
    </w:div>
    <w:div w:id="1368480716">
      <w:bodyDiv w:val="1"/>
      <w:marLeft w:val="0"/>
      <w:marRight w:val="0"/>
      <w:marTop w:val="0"/>
      <w:marBottom w:val="0"/>
      <w:divBdr>
        <w:top w:val="none" w:sz="0" w:space="0" w:color="auto"/>
        <w:left w:val="none" w:sz="0" w:space="0" w:color="auto"/>
        <w:bottom w:val="none" w:sz="0" w:space="0" w:color="auto"/>
        <w:right w:val="none" w:sz="0" w:space="0" w:color="auto"/>
      </w:divBdr>
    </w:div>
    <w:div w:id="1385370104">
      <w:bodyDiv w:val="1"/>
      <w:marLeft w:val="0"/>
      <w:marRight w:val="0"/>
      <w:marTop w:val="0"/>
      <w:marBottom w:val="0"/>
      <w:divBdr>
        <w:top w:val="none" w:sz="0" w:space="0" w:color="auto"/>
        <w:left w:val="none" w:sz="0" w:space="0" w:color="auto"/>
        <w:bottom w:val="none" w:sz="0" w:space="0" w:color="auto"/>
        <w:right w:val="none" w:sz="0" w:space="0" w:color="auto"/>
      </w:divBdr>
    </w:div>
    <w:div w:id="1396005191">
      <w:bodyDiv w:val="1"/>
      <w:marLeft w:val="0"/>
      <w:marRight w:val="0"/>
      <w:marTop w:val="0"/>
      <w:marBottom w:val="0"/>
      <w:divBdr>
        <w:top w:val="none" w:sz="0" w:space="0" w:color="auto"/>
        <w:left w:val="none" w:sz="0" w:space="0" w:color="auto"/>
        <w:bottom w:val="none" w:sz="0" w:space="0" w:color="auto"/>
        <w:right w:val="none" w:sz="0" w:space="0" w:color="auto"/>
      </w:divBdr>
    </w:div>
    <w:div w:id="1408847118">
      <w:bodyDiv w:val="1"/>
      <w:marLeft w:val="0"/>
      <w:marRight w:val="0"/>
      <w:marTop w:val="0"/>
      <w:marBottom w:val="0"/>
      <w:divBdr>
        <w:top w:val="none" w:sz="0" w:space="0" w:color="auto"/>
        <w:left w:val="none" w:sz="0" w:space="0" w:color="auto"/>
        <w:bottom w:val="none" w:sz="0" w:space="0" w:color="auto"/>
        <w:right w:val="none" w:sz="0" w:space="0" w:color="auto"/>
      </w:divBdr>
      <w:divsChild>
        <w:div w:id="822816956">
          <w:marLeft w:val="0"/>
          <w:marRight w:val="0"/>
          <w:marTop w:val="0"/>
          <w:marBottom w:val="0"/>
          <w:divBdr>
            <w:top w:val="none" w:sz="0" w:space="0" w:color="auto"/>
            <w:left w:val="none" w:sz="0" w:space="0" w:color="auto"/>
            <w:bottom w:val="none" w:sz="0" w:space="0" w:color="auto"/>
            <w:right w:val="none" w:sz="0" w:space="0" w:color="auto"/>
          </w:divBdr>
        </w:div>
        <w:div w:id="1103040090">
          <w:marLeft w:val="0"/>
          <w:marRight w:val="0"/>
          <w:marTop w:val="0"/>
          <w:marBottom w:val="0"/>
          <w:divBdr>
            <w:top w:val="none" w:sz="0" w:space="0" w:color="auto"/>
            <w:left w:val="none" w:sz="0" w:space="0" w:color="auto"/>
            <w:bottom w:val="none" w:sz="0" w:space="0" w:color="auto"/>
            <w:right w:val="none" w:sz="0" w:space="0" w:color="auto"/>
          </w:divBdr>
        </w:div>
        <w:div w:id="634066591">
          <w:marLeft w:val="0"/>
          <w:marRight w:val="0"/>
          <w:marTop w:val="0"/>
          <w:marBottom w:val="0"/>
          <w:divBdr>
            <w:top w:val="none" w:sz="0" w:space="0" w:color="auto"/>
            <w:left w:val="none" w:sz="0" w:space="0" w:color="auto"/>
            <w:bottom w:val="none" w:sz="0" w:space="0" w:color="auto"/>
            <w:right w:val="none" w:sz="0" w:space="0" w:color="auto"/>
          </w:divBdr>
        </w:div>
      </w:divsChild>
    </w:div>
    <w:div w:id="1419669837">
      <w:bodyDiv w:val="1"/>
      <w:marLeft w:val="0"/>
      <w:marRight w:val="0"/>
      <w:marTop w:val="0"/>
      <w:marBottom w:val="0"/>
      <w:divBdr>
        <w:top w:val="none" w:sz="0" w:space="0" w:color="auto"/>
        <w:left w:val="none" w:sz="0" w:space="0" w:color="auto"/>
        <w:bottom w:val="none" w:sz="0" w:space="0" w:color="auto"/>
        <w:right w:val="none" w:sz="0" w:space="0" w:color="auto"/>
      </w:divBdr>
    </w:div>
    <w:div w:id="1436292697">
      <w:bodyDiv w:val="1"/>
      <w:marLeft w:val="0"/>
      <w:marRight w:val="0"/>
      <w:marTop w:val="0"/>
      <w:marBottom w:val="0"/>
      <w:divBdr>
        <w:top w:val="none" w:sz="0" w:space="0" w:color="auto"/>
        <w:left w:val="none" w:sz="0" w:space="0" w:color="auto"/>
        <w:bottom w:val="none" w:sz="0" w:space="0" w:color="auto"/>
        <w:right w:val="none" w:sz="0" w:space="0" w:color="auto"/>
      </w:divBdr>
    </w:div>
    <w:div w:id="1436558174">
      <w:bodyDiv w:val="1"/>
      <w:marLeft w:val="0"/>
      <w:marRight w:val="0"/>
      <w:marTop w:val="0"/>
      <w:marBottom w:val="0"/>
      <w:divBdr>
        <w:top w:val="none" w:sz="0" w:space="0" w:color="auto"/>
        <w:left w:val="none" w:sz="0" w:space="0" w:color="auto"/>
        <w:bottom w:val="none" w:sz="0" w:space="0" w:color="auto"/>
        <w:right w:val="none" w:sz="0" w:space="0" w:color="auto"/>
      </w:divBdr>
    </w:div>
    <w:div w:id="1450735124">
      <w:bodyDiv w:val="1"/>
      <w:marLeft w:val="0"/>
      <w:marRight w:val="0"/>
      <w:marTop w:val="0"/>
      <w:marBottom w:val="0"/>
      <w:divBdr>
        <w:top w:val="none" w:sz="0" w:space="0" w:color="auto"/>
        <w:left w:val="none" w:sz="0" w:space="0" w:color="auto"/>
        <w:bottom w:val="none" w:sz="0" w:space="0" w:color="auto"/>
        <w:right w:val="none" w:sz="0" w:space="0" w:color="auto"/>
      </w:divBdr>
    </w:div>
    <w:div w:id="1466004581">
      <w:bodyDiv w:val="1"/>
      <w:marLeft w:val="0"/>
      <w:marRight w:val="0"/>
      <w:marTop w:val="0"/>
      <w:marBottom w:val="0"/>
      <w:divBdr>
        <w:top w:val="none" w:sz="0" w:space="0" w:color="auto"/>
        <w:left w:val="none" w:sz="0" w:space="0" w:color="auto"/>
        <w:bottom w:val="none" w:sz="0" w:space="0" w:color="auto"/>
        <w:right w:val="none" w:sz="0" w:space="0" w:color="auto"/>
      </w:divBdr>
    </w:div>
    <w:div w:id="1542355984">
      <w:bodyDiv w:val="1"/>
      <w:marLeft w:val="0"/>
      <w:marRight w:val="0"/>
      <w:marTop w:val="0"/>
      <w:marBottom w:val="0"/>
      <w:divBdr>
        <w:top w:val="none" w:sz="0" w:space="0" w:color="auto"/>
        <w:left w:val="none" w:sz="0" w:space="0" w:color="auto"/>
        <w:bottom w:val="none" w:sz="0" w:space="0" w:color="auto"/>
        <w:right w:val="none" w:sz="0" w:space="0" w:color="auto"/>
      </w:divBdr>
    </w:div>
    <w:div w:id="1575093406">
      <w:bodyDiv w:val="1"/>
      <w:marLeft w:val="0"/>
      <w:marRight w:val="0"/>
      <w:marTop w:val="0"/>
      <w:marBottom w:val="0"/>
      <w:divBdr>
        <w:top w:val="none" w:sz="0" w:space="0" w:color="auto"/>
        <w:left w:val="none" w:sz="0" w:space="0" w:color="auto"/>
        <w:bottom w:val="none" w:sz="0" w:space="0" w:color="auto"/>
        <w:right w:val="none" w:sz="0" w:space="0" w:color="auto"/>
      </w:divBdr>
    </w:div>
    <w:div w:id="1612055395">
      <w:bodyDiv w:val="1"/>
      <w:marLeft w:val="0"/>
      <w:marRight w:val="0"/>
      <w:marTop w:val="0"/>
      <w:marBottom w:val="0"/>
      <w:divBdr>
        <w:top w:val="none" w:sz="0" w:space="0" w:color="auto"/>
        <w:left w:val="none" w:sz="0" w:space="0" w:color="auto"/>
        <w:bottom w:val="none" w:sz="0" w:space="0" w:color="auto"/>
        <w:right w:val="none" w:sz="0" w:space="0" w:color="auto"/>
      </w:divBdr>
    </w:div>
    <w:div w:id="1615136667">
      <w:bodyDiv w:val="1"/>
      <w:marLeft w:val="0"/>
      <w:marRight w:val="0"/>
      <w:marTop w:val="0"/>
      <w:marBottom w:val="0"/>
      <w:divBdr>
        <w:top w:val="none" w:sz="0" w:space="0" w:color="auto"/>
        <w:left w:val="none" w:sz="0" w:space="0" w:color="auto"/>
        <w:bottom w:val="none" w:sz="0" w:space="0" w:color="auto"/>
        <w:right w:val="none" w:sz="0" w:space="0" w:color="auto"/>
      </w:divBdr>
    </w:div>
    <w:div w:id="1637637156">
      <w:bodyDiv w:val="1"/>
      <w:marLeft w:val="0"/>
      <w:marRight w:val="0"/>
      <w:marTop w:val="0"/>
      <w:marBottom w:val="0"/>
      <w:divBdr>
        <w:top w:val="none" w:sz="0" w:space="0" w:color="auto"/>
        <w:left w:val="none" w:sz="0" w:space="0" w:color="auto"/>
        <w:bottom w:val="none" w:sz="0" w:space="0" w:color="auto"/>
        <w:right w:val="none" w:sz="0" w:space="0" w:color="auto"/>
      </w:divBdr>
    </w:div>
    <w:div w:id="1776753655">
      <w:bodyDiv w:val="1"/>
      <w:marLeft w:val="0"/>
      <w:marRight w:val="0"/>
      <w:marTop w:val="0"/>
      <w:marBottom w:val="0"/>
      <w:divBdr>
        <w:top w:val="none" w:sz="0" w:space="0" w:color="auto"/>
        <w:left w:val="none" w:sz="0" w:space="0" w:color="auto"/>
        <w:bottom w:val="none" w:sz="0" w:space="0" w:color="auto"/>
        <w:right w:val="none" w:sz="0" w:space="0" w:color="auto"/>
      </w:divBdr>
    </w:div>
    <w:div w:id="1779181083">
      <w:bodyDiv w:val="1"/>
      <w:marLeft w:val="0"/>
      <w:marRight w:val="0"/>
      <w:marTop w:val="0"/>
      <w:marBottom w:val="0"/>
      <w:divBdr>
        <w:top w:val="none" w:sz="0" w:space="0" w:color="auto"/>
        <w:left w:val="none" w:sz="0" w:space="0" w:color="auto"/>
        <w:bottom w:val="none" w:sz="0" w:space="0" w:color="auto"/>
        <w:right w:val="none" w:sz="0" w:space="0" w:color="auto"/>
      </w:divBdr>
    </w:div>
    <w:div w:id="1817841405">
      <w:bodyDiv w:val="1"/>
      <w:marLeft w:val="0"/>
      <w:marRight w:val="0"/>
      <w:marTop w:val="0"/>
      <w:marBottom w:val="0"/>
      <w:divBdr>
        <w:top w:val="none" w:sz="0" w:space="0" w:color="auto"/>
        <w:left w:val="none" w:sz="0" w:space="0" w:color="auto"/>
        <w:bottom w:val="none" w:sz="0" w:space="0" w:color="auto"/>
        <w:right w:val="none" w:sz="0" w:space="0" w:color="auto"/>
      </w:divBdr>
    </w:div>
    <w:div w:id="1954287770">
      <w:bodyDiv w:val="1"/>
      <w:marLeft w:val="0"/>
      <w:marRight w:val="0"/>
      <w:marTop w:val="0"/>
      <w:marBottom w:val="0"/>
      <w:divBdr>
        <w:top w:val="none" w:sz="0" w:space="0" w:color="auto"/>
        <w:left w:val="none" w:sz="0" w:space="0" w:color="auto"/>
        <w:bottom w:val="none" w:sz="0" w:space="0" w:color="auto"/>
        <w:right w:val="none" w:sz="0" w:space="0" w:color="auto"/>
      </w:divBdr>
    </w:div>
    <w:div w:id="1963723974">
      <w:bodyDiv w:val="1"/>
      <w:marLeft w:val="0"/>
      <w:marRight w:val="0"/>
      <w:marTop w:val="0"/>
      <w:marBottom w:val="0"/>
      <w:divBdr>
        <w:top w:val="none" w:sz="0" w:space="0" w:color="auto"/>
        <w:left w:val="none" w:sz="0" w:space="0" w:color="auto"/>
        <w:bottom w:val="none" w:sz="0" w:space="0" w:color="auto"/>
        <w:right w:val="none" w:sz="0" w:space="0" w:color="auto"/>
      </w:divBdr>
    </w:div>
    <w:div w:id="1971395694">
      <w:bodyDiv w:val="1"/>
      <w:marLeft w:val="0"/>
      <w:marRight w:val="0"/>
      <w:marTop w:val="0"/>
      <w:marBottom w:val="0"/>
      <w:divBdr>
        <w:top w:val="none" w:sz="0" w:space="0" w:color="auto"/>
        <w:left w:val="none" w:sz="0" w:space="0" w:color="auto"/>
        <w:bottom w:val="none" w:sz="0" w:space="0" w:color="auto"/>
        <w:right w:val="none" w:sz="0" w:space="0" w:color="auto"/>
      </w:divBdr>
      <w:divsChild>
        <w:div w:id="267083702">
          <w:marLeft w:val="0"/>
          <w:marRight w:val="0"/>
          <w:marTop w:val="0"/>
          <w:marBottom w:val="0"/>
          <w:divBdr>
            <w:top w:val="none" w:sz="0" w:space="0" w:color="auto"/>
            <w:left w:val="none" w:sz="0" w:space="0" w:color="auto"/>
            <w:bottom w:val="none" w:sz="0" w:space="0" w:color="auto"/>
            <w:right w:val="none" w:sz="0" w:space="0" w:color="auto"/>
          </w:divBdr>
        </w:div>
      </w:divsChild>
    </w:div>
    <w:div w:id="1973821816">
      <w:bodyDiv w:val="1"/>
      <w:marLeft w:val="0"/>
      <w:marRight w:val="0"/>
      <w:marTop w:val="0"/>
      <w:marBottom w:val="0"/>
      <w:divBdr>
        <w:top w:val="none" w:sz="0" w:space="0" w:color="auto"/>
        <w:left w:val="none" w:sz="0" w:space="0" w:color="auto"/>
        <w:bottom w:val="none" w:sz="0" w:space="0" w:color="auto"/>
        <w:right w:val="none" w:sz="0" w:space="0" w:color="auto"/>
      </w:divBdr>
    </w:div>
    <w:div w:id="1987006241">
      <w:bodyDiv w:val="1"/>
      <w:marLeft w:val="0"/>
      <w:marRight w:val="0"/>
      <w:marTop w:val="0"/>
      <w:marBottom w:val="0"/>
      <w:divBdr>
        <w:top w:val="none" w:sz="0" w:space="0" w:color="auto"/>
        <w:left w:val="none" w:sz="0" w:space="0" w:color="auto"/>
        <w:bottom w:val="none" w:sz="0" w:space="0" w:color="auto"/>
        <w:right w:val="none" w:sz="0" w:space="0" w:color="auto"/>
      </w:divBdr>
    </w:div>
    <w:div w:id="2002929941">
      <w:bodyDiv w:val="1"/>
      <w:marLeft w:val="0"/>
      <w:marRight w:val="0"/>
      <w:marTop w:val="0"/>
      <w:marBottom w:val="0"/>
      <w:divBdr>
        <w:top w:val="none" w:sz="0" w:space="0" w:color="auto"/>
        <w:left w:val="none" w:sz="0" w:space="0" w:color="auto"/>
        <w:bottom w:val="none" w:sz="0" w:space="0" w:color="auto"/>
        <w:right w:val="none" w:sz="0" w:space="0" w:color="auto"/>
      </w:divBdr>
    </w:div>
    <w:div w:id="2038773337">
      <w:bodyDiv w:val="1"/>
      <w:marLeft w:val="0"/>
      <w:marRight w:val="0"/>
      <w:marTop w:val="0"/>
      <w:marBottom w:val="0"/>
      <w:divBdr>
        <w:top w:val="none" w:sz="0" w:space="0" w:color="auto"/>
        <w:left w:val="none" w:sz="0" w:space="0" w:color="auto"/>
        <w:bottom w:val="none" w:sz="0" w:space="0" w:color="auto"/>
        <w:right w:val="none" w:sz="0" w:space="0" w:color="auto"/>
      </w:divBdr>
    </w:div>
    <w:div w:id="2052225994">
      <w:bodyDiv w:val="1"/>
      <w:marLeft w:val="0"/>
      <w:marRight w:val="0"/>
      <w:marTop w:val="0"/>
      <w:marBottom w:val="0"/>
      <w:divBdr>
        <w:top w:val="none" w:sz="0" w:space="0" w:color="auto"/>
        <w:left w:val="none" w:sz="0" w:space="0" w:color="auto"/>
        <w:bottom w:val="none" w:sz="0" w:space="0" w:color="auto"/>
        <w:right w:val="none" w:sz="0" w:space="0" w:color="auto"/>
      </w:divBdr>
    </w:div>
    <w:div w:id="2066753408">
      <w:bodyDiv w:val="1"/>
      <w:marLeft w:val="0"/>
      <w:marRight w:val="0"/>
      <w:marTop w:val="0"/>
      <w:marBottom w:val="0"/>
      <w:divBdr>
        <w:top w:val="none" w:sz="0" w:space="0" w:color="auto"/>
        <w:left w:val="none" w:sz="0" w:space="0" w:color="auto"/>
        <w:bottom w:val="none" w:sz="0" w:space="0" w:color="auto"/>
        <w:right w:val="none" w:sz="0" w:space="0" w:color="auto"/>
      </w:divBdr>
    </w:div>
    <w:div w:id="2072382321">
      <w:bodyDiv w:val="1"/>
      <w:marLeft w:val="0"/>
      <w:marRight w:val="0"/>
      <w:marTop w:val="0"/>
      <w:marBottom w:val="0"/>
      <w:divBdr>
        <w:top w:val="none" w:sz="0" w:space="0" w:color="auto"/>
        <w:left w:val="none" w:sz="0" w:space="0" w:color="auto"/>
        <w:bottom w:val="none" w:sz="0" w:space="0" w:color="auto"/>
        <w:right w:val="none" w:sz="0" w:space="0" w:color="auto"/>
      </w:divBdr>
    </w:div>
    <w:div w:id="2090538682">
      <w:bodyDiv w:val="1"/>
      <w:marLeft w:val="0"/>
      <w:marRight w:val="0"/>
      <w:marTop w:val="0"/>
      <w:marBottom w:val="0"/>
      <w:divBdr>
        <w:top w:val="none" w:sz="0" w:space="0" w:color="auto"/>
        <w:left w:val="none" w:sz="0" w:space="0" w:color="auto"/>
        <w:bottom w:val="none" w:sz="0" w:space="0" w:color="auto"/>
        <w:right w:val="none" w:sz="0" w:space="0" w:color="auto"/>
      </w:divBdr>
    </w:div>
    <w:div w:id="2110078910">
      <w:bodyDiv w:val="1"/>
      <w:marLeft w:val="0"/>
      <w:marRight w:val="0"/>
      <w:marTop w:val="0"/>
      <w:marBottom w:val="0"/>
      <w:divBdr>
        <w:top w:val="none" w:sz="0" w:space="0" w:color="auto"/>
        <w:left w:val="none" w:sz="0" w:space="0" w:color="auto"/>
        <w:bottom w:val="none" w:sz="0" w:space="0" w:color="auto"/>
        <w:right w:val="none" w:sz="0" w:space="0" w:color="auto"/>
      </w:divBdr>
    </w:div>
    <w:div w:id="2123917189">
      <w:bodyDiv w:val="1"/>
      <w:marLeft w:val="0"/>
      <w:marRight w:val="0"/>
      <w:marTop w:val="0"/>
      <w:marBottom w:val="0"/>
      <w:divBdr>
        <w:top w:val="none" w:sz="0" w:space="0" w:color="auto"/>
        <w:left w:val="none" w:sz="0" w:space="0" w:color="auto"/>
        <w:bottom w:val="none" w:sz="0" w:space="0" w:color="auto"/>
        <w:right w:val="none" w:sz="0" w:space="0" w:color="auto"/>
      </w:divBdr>
    </w:div>
    <w:div w:id="213975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rsecat.isu.edu/search/?P=ENGL%2011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oursecat.isu.edu/search/?P=ENGL%201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C0717-C9CF-4846-96DC-3C45B6BE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13</Pages>
  <Words>4892</Words>
  <Characters>28952</Characters>
  <Application>Microsoft Office Word</Application>
  <DocSecurity>0</DocSecurity>
  <Lines>1316</Lines>
  <Paragraphs>867</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32977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subject/>
  <dc:creator>Anita Hamann</dc:creator>
  <cp:keywords/>
  <dc:description/>
  <cp:lastModifiedBy>Christopher Davis</cp:lastModifiedBy>
  <cp:revision>39</cp:revision>
  <cp:lastPrinted>2024-08-27T20:39:00Z</cp:lastPrinted>
  <dcterms:created xsi:type="dcterms:W3CDTF">2024-08-16T17:29:00Z</dcterms:created>
  <dcterms:modified xsi:type="dcterms:W3CDTF">2025-06-24T19:34:00Z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0793ea87c3620bbb853b469ebfbb4f719340b09b26d9035b32bf00d92a0718c2</vt:lpwstr>
  </property>
</Properties>
</file>