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CB426" w14:textId="77777777" w:rsidR="00300746" w:rsidRPr="00250391" w:rsidRDefault="00300746" w:rsidP="00300746">
      <w:pPr>
        <w:pStyle w:val="Heading1"/>
        <w:spacing w:before="0" w:after="6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5B70DCFF" w14:textId="77777777" w:rsidR="00BF514A" w:rsidRDefault="00BF514A" w:rsidP="0007543C">
      <w:pPr>
        <w:rPr>
          <w:rFonts w:ascii="Arial" w:hAnsi="Arial" w:cs="Arial"/>
          <w:b/>
          <w:bCs/>
        </w:rPr>
      </w:pPr>
    </w:p>
    <w:p w14:paraId="638944B9" w14:textId="316B0AA8" w:rsidR="001D59D0" w:rsidRDefault="001D59D0" w:rsidP="0007543C">
      <w:pPr>
        <w:rPr>
          <w:rFonts w:ascii="Arial" w:hAnsi="Arial" w:cs="Arial"/>
        </w:rPr>
      </w:pPr>
      <w:r>
        <w:rPr>
          <w:rFonts w:ascii="Arial" w:hAnsi="Arial" w:cs="Arial"/>
          <w:b/>
          <w:bCs/>
        </w:rPr>
        <w:t>Agency Overview</w:t>
      </w:r>
      <w:r w:rsidR="00041756">
        <w:rPr>
          <w:rFonts w:ascii="Arial" w:hAnsi="Arial" w:cs="Arial"/>
          <w:b/>
          <w:bCs/>
        </w:rPr>
        <w:br/>
      </w:r>
    </w:p>
    <w:p w14:paraId="241E5E47" w14:textId="084536C5" w:rsidR="00D32D1B" w:rsidRDefault="00D32D1B" w:rsidP="674F75E0">
      <w:pPr>
        <w:jc w:val="both"/>
        <w:rPr>
          <w:rFonts w:ascii="Arial" w:hAnsi="Arial" w:cs="Arial"/>
          <w:sz w:val="20"/>
          <w:szCs w:val="20"/>
        </w:rPr>
      </w:pPr>
      <w:r w:rsidRPr="674F75E0">
        <w:rPr>
          <w:rFonts w:ascii="Arial" w:hAnsi="Arial" w:cs="Arial"/>
          <w:sz w:val="20"/>
          <w:szCs w:val="20"/>
        </w:rPr>
        <w:t xml:space="preserve">The Idaho Commission for Libraries </w:t>
      </w:r>
      <w:r w:rsidR="002C4571" w:rsidRPr="674F75E0">
        <w:rPr>
          <w:rFonts w:ascii="Arial" w:hAnsi="Arial" w:cs="Arial"/>
          <w:sz w:val="20"/>
          <w:szCs w:val="20"/>
        </w:rPr>
        <w:t>(</w:t>
      </w:r>
      <w:proofErr w:type="spellStart"/>
      <w:r w:rsidR="002C4571" w:rsidRPr="674F75E0">
        <w:rPr>
          <w:rFonts w:ascii="Arial" w:hAnsi="Arial" w:cs="Arial"/>
          <w:sz w:val="20"/>
          <w:szCs w:val="20"/>
        </w:rPr>
        <w:t>ICfL</w:t>
      </w:r>
      <w:proofErr w:type="spellEnd"/>
      <w:r w:rsidR="002C4571" w:rsidRPr="674F75E0">
        <w:rPr>
          <w:rFonts w:ascii="Arial" w:hAnsi="Arial" w:cs="Arial"/>
          <w:sz w:val="20"/>
          <w:szCs w:val="20"/>
        </w:rPr>
        <w:t xml:space="preserve">) </w:t>
      </w:r>
      <w:proofErr w:type="gramStart"/>
      <w:r w:rsidRPr="674F75E0">
        <w:rPr>
          <w:rFonts w:ascii="Arial" w:hAnsi="Arial" w:cs="Arial"/>
          <w:sz w:val="20"/>
          <w:szCs w:val="20"/>
        </w:rPr>
        <w:t>is located in</w:t>
      </w:r>
      <w:proofErr w:type="gramEnd"/>
      <w:r w:rsidRPr="674F75E0">
        <w:rPr>
          <w:rFonts w:ascii="Arial" w:hAnsi="Arial" w:cs="Arial"/>
          <w:sz w:val="20"/>
          <w:szCs w:val="20"/>
        </w:rPr>
        <w:t xml:space="preserve"> the Executive Branch of state government</w:t>
      </w:r>
      <w:r w:rsidR="002C4076" w:rsidRPr="674F75E0">
        <w:rPr>
          <w:rFonts w:ascii="Arial" w:hAnsi="Arial" w:cs="Arial"/>
          <w:sz w:val="20"/>
          <w:szCs w:val="20"/>
        </w:rPr>
        <w:t>.</w:t>
      </w:r>
      <w:r w:rsidR="00C03C74">
        <w:rPr>
          <w:rFonts w:ascii="Arial" w:hAnsi="Arial" w:cs="Arial"/>
          <w:sz w:val="20"/>
          <w:szCs w:val="20"/>
        </w:rPr>
        <w:t xml:space="preserve"> </w:t>
      </w:r>
      <w:r w:rsidR="002C4076" w:rsidRPr="674F75E0">
        <w:rPr>
          <w:rFonts w:ascii="Arial" w:hAnsi="Arial" w:cs="Arial"/>
          <w:sz w:val="20"/>
          <w:szCs w:val="20"/>
        </w:rPr>
        <w:t>It</w:t>
      </w:r>
      <w:r w:rsidRPr="674F75E0">
        <w:rPr>
          <w:rFonts w:ascii="Arial" w:hAnsi="Arial" w:cs="Arial"/>
          <w:sz w:val="20"/>
          <w:szCs w:val="20"/>
        </w:rPr>
        <w:t xml:space="preserve"> is governed by the</w:t>
      </w:r>
      <w:r w:rsidR="00594CA4" w:rsidRPr="674F75E0">
        <w:rPr>
          <w:rFonts w:ascii="Arial" w:hAnsi="Arial" w:cs="Arial"/>
          <w:sz w:val="20"/>
          <w:szCs w:val="20"/>
        </w:rPr>
        <w:t xml:space="preserve"> Board of Library Commissioners—</w:t>
      </w:r>
      <w:r w:rsidR="002C4076" w:rsidRPr="674F75E0">
        <w:rPr>
          <w:rFonts w:ascii="Arial" w:hAnsi="Arial" w:cs="Arial"/>
          <w:sz w:val="20"/>
          <w:szCs w:val="20"/>
        </w:rPr>
        <w:t>five members</w:t>
      </w:r>
      <w:r w:rsidR="00676D87" w:rsidRPr="674F75E0">
        <w:rPr>
          <w:rFonts w:ascii="Arial" w:hAnsi="Arial" w:cs="Arial"/>
          <w:sz w:val="20"/>
          <w:szCs w:val="20"/>
        </w:rPr>
        <w:t xml:space="preserve"> </w:t>
      </w:r>
      <w:r w:rsidRPr="674F75E0">
        <w:rPr>
          <w:rFonts w:ascii="Arial" w:hAnsi="Arial" w:cs="Arial"/>
          <w:sz w:val="20"/>
          <w:szCs w:val="20"/>
        </w:rPr>
        <w:t xml:space="preserve">appointed by the </w:t>
      </w:r>
      <w:r w:rsidR="00B41AD7" w:rsidRPr="674F75E0">
        <w:rPr>
          <w:rFonts w:ascii="Arial" w:hAnsi="Arial" w:cs="Arial"/>
          <w:sz w:val="20"/>
          <w:szCs w:val="20"/>
        </w:rPr>
        <w:t>Governor</w:t>
      </w:r>
      <w:r w:rsidRPr="674F75E0">
        <w:rPr>
          <w:rFonts w:ascii="Arial" w:hAnsi="Arial" w:cs="Arial"/>
          <w:sz w:val="20"/>
          <w:szCs w:val="20"/>
        </w:rPr>
        <w:t xml:space="preserve">. </w:t>
      </w:r>
      <w:r w:rsidR="002C4076" w:rsidRPr="674F75E0">
        <w:rPr>
          <w:rFonts w:ascii="Arial" w:hAnsi="Arial" w:cs="Arial"/>
          <w:sz w:val="20"/>
          <w:szCs w:val="20"/>
        </w:rPr>
        <w:t>The agency</w:t>
      </w:r>
      <w:r w:rsidR="00205008" w:rsidRPr="674F75E0">
        <w:rPr>
          <w:rFonts w:ascii="Arial" w:hAnsi="Arial" w:cs="Arial"/>
          <w:sz w:val="20"/>
          <w:szCs w:val="20"/>
        </w:rPr>
        <w:t>’s</w:t>
      </w:r>
      <w:r w:rsidR="002C4076" w:rsidRPr="674F75E0">
        <w:rPr>
          <w:rFonts w:ascii="Arial" w:hAnsi="Arial" w:cs="Arial"/>
          <w:sz w:val="20"/>
          <w:szCs w:val="20"/>
        </w:rPr>
        <w:t xml:space="preserve"> name has varied </w:t>
      </w:r>
      <w:r w:rsidR="00905F57" w:rsidRPr="674F75E0">
        <w:rPr>
          <w:rFonts w:ascii="Arial" w:hAnsi="Arial" w:cs="Arial"/>
          <w:sz w:val="20"/>
          <w:szCs w:val="20"/>
        </w:rPr>
        <w:t>since it was established in 1901</w:t>
      </w:r>
      <w:r w:rsidR="002C4076" w:rsidRPr="674F75E0">
        <w:rPr>
          <w:rFonts w:ascii="Arial" w:hAnsi="Arial" w:cs="Arial"/>
          <w:sz w:val="20"/>
          <w:szCs w:val="20"/>
        </w:rPr>
        <w:t xml:space="preserve">, but through much of its history it was known as the Idaho State Library. </w:t>
      </w:r>
      <w:r w:rsidR="000B3E2C" w:rsidRPr="674F75E0">
        <w:rPr>
          <w:rFonts w:ascii="Arial" w:hAnsi="Arial" w:cs="Arial"/>
          <w:sz w:val="20"/>
          <w:szCs w:val="20"/>
        </w:rPr>
        <w:t>Effective July 1, 2006</w:t>
      </w:r>
      <w:r w:rsidR="000D5821" w:rsidRPr="674F75E0">
        <w:rPr>
          <w:rFonts w:ascii="Arial" w:hAnsi="Arial" w:cs="Arial"/>
          <w:sz w:val="20"/>
          <w:szCs w:val="20"/>
        </w:rPr>
        <w:t>,</w:t>
      </w:r>
      <w:r w:rsidR="002C4076" w:rsidRPr="674F75E0">
        <w:rPr>
          <w:rFonts w:ascii="Arial" w:hAnsi="Arial" w:cs="Arial"/>
          <w:sz w:val="20"/>
          <w:szCs w:val="20"/>
        </w:rPr>
        <w:t xml:space="preserve"> the name changed to the Idaho Commission for Libraries.</w:t>
      </w:r>
    </w:p>
    <w:p w14:paraId="3C1380F1" w14:textId="77777777" w:rsidR="00D32D1B" w:rsidRDefault="00D32D1B" w:rsidP="00600E33">
      <w:pPr>
        <w:jc w:val="both"/>
        <w:rPr>
          <w:rFonts w:ascii="Arial" w:hAnsi="Arial" w:cs="Arial"/>
          <w:sz w:val="20"/>
        </w:rPr>
      </w:pPr>
    </w:p>
    <w:p w14:paraId="53466B67" w14:textId="6252D9A5" w:rsidR="00D32D1B" w:rsidRPr="00476C80" w:rsidRDefault="00D32D1B" w:rsidP="00600E33">
      <w:pPr>
        <w:pStyle w:val="HTMLPreformatted"/>
        <w:jc w:val="both"/>
        <w:rPr>
          <w:rFonts w:ascii="Arial" w:hAnsi="Arial" w:cs="Arial"/>
        </w:rPr>
      </w:pPr>
      <w:r>
        <w:rPr>
          <w:rFonts w:ascii="Arial" w:hAnsi="Arial" w:cs="Arial"/>
        </w:rPr>
        <w:t xml:space="preserve">The State Librarian, appointed by the Board of Library Commissioners (I.C. 33-2504), serves as the agency’s chief executive officer and is charged with implementing the </w:t>
      </w:r>
      <w:r w:rsidR="00EB05C7">
        <w:rPr>
          <w:rFonts w:ascii="Arial" w:hAnsi="Arial" w:cs="Arial"/>
        </w:rPr>
        <w:t>Commissioner</w:t>
      </w:r>
      <w:r>
        <w:rPr>
          <w:rFonts w:ascii="Arial" w:hAnsi="Arial" w:cs="Arial"/>
        </w:rPr>
        <w:t xml:space="preserve">’s </w:t>
      </w:r>
      <w:r w:rsidR="00917F81">
        <w:rPr>
          <w:rFonts w:ascii="Arial" w:hAnsi="Arial" w:cs="Arial"/>
        </w:rPr>
        <w:t xml:space="preserve">policies </w:t>
      </w:r>
      <w:r>
        <w:rPr>
          <w:rFonts w:ascii="Arial" w:hAnsi="Arial" w:cs="Arial"/>
        </w:rPr>
        <w:t xml:space="preserve">and with managing the operations of the agency. </w:t>
      </w:r>
      <w:r w:rsidR="005738E8">
        <w:rPr>
          <w:rFonts w:ascii="Arial" w:hAnsi="Arial" w:cs="Arial"/>
        </w:rPr>
        <w:t>The S</w:t>
      </w:r>
      <w:r>
        <w:rPr>
          <w:rFonts w:ascii="Arial" w:hAnsi="Arial" w:cs="Arial"/>
        </w:rPr>
        <w:t xml:space="preserve">tate Librarian works with </w:t>
      </w:r>
      <w:r w:rsidR="00732574">
        <w:rPr>
          <w:rFonts w:ascii="Arial" w:hAnsi="Arial" w:cs="Arial"/>
        </w:rPr>
        <w:t>five</w:t>
      </w:r>
      <w:r w:rsidR="00935B66" w:rsidRPr="003005A6">
        <w:rPr>
          <w:rFonts w:ascii="Arial" w:hAnsi="Arial" w:cs="Arial"/>
        </w:rPr>
        <w:t xml:space="preserve"> </w:t>
      </w:r>
      <w:r w:rsidR="003005A6" w:rsidRPr="003005A6">
        <w:rPr>
          <w:rFonts w:ascii="Arial" w:hAnsi="Arial" w:cs="Arial"/>
        </w:rPr>
        <w:t xml:space="preserve">staff </w:t>
      </w:r>
      <w:r w:rsidR="003D3B85">
        <w:rPr>
          <w:rFonts w:ascii="Arial" w:hAnsi="Arial" w:cs="Arial"/>
        </w:rPr>
        <w:t>(</w:t>
      </w:r>
      <w:r w:rsidR="00CE18C6">
        <w:rPr>
          <w:rFonts w:ascii="Arial" w:hAnsi="Arial" w:cs="Arial"/>
        </w:rPr>
        <w:t>Deputy</w:t>
      </w:r>
      <w:r w:rsidR="003D3B85">
        <w:rPr>
          <w:rFonts w:ascii="Arial" w:hAnsi="Arial" w:cs="Arial"/>
        </w:rPr>
        <w:t xml:space="preserve"> State Librarian, </w:t>
      </w:r>
      <w:r w:rsidR="00C03C74">
        <w:rPr>
          <w:rFonts w:ascii="Arial" w:hAnsi="Arial" w:cs="Arial"/>
        </w:rPr>
        <w:t>Financial</w:t>
      </w:r>
      <w:r w:rsidR="003D3B85">
        <w:rPr>
          <w:rFonts w:ascii="Arial" w:hAnsi="Arial" w:cs="Arial"/>
        </w:rPr>
        <w:t xml:space="preserve"> Manager</w:t>
      </w:r>
      <w:r w:rsidR="00E27C76">
        <w:rPr>
          <w:rFonts w:ascii="Arial" w:hAnsi="Arial" w:cs="Arial"/>
        </w:rPr>
        <w:t xml:space="preserve">, </w:t>
      </w:r>
      <w:r w:rsidR="00C03C74">
        <w:rPr>
          <w:rFonts w:ascii="Arial" w:hAnsi="Arial" w:cs="Arial"/>
        </w:rPr>
        <w:t>and three</w:t>
      </w:r>
      <w:r w:rsidR="00E27C76">
        <w:rPr>
          <w:rFonts w:ascii="Arial" w:hAnsi="Arial" w:cs="Arial"/>
        </w:rPr>
        <w:t xml:space="preserve"> Program Supervisors</w:t>
      </w:r>
      <w:r w:rsidR="003D3B85">
        <w:rPr>
          <w:rFonts w:ascii="Arial" w:hAnsi="Arial" w:cs="Arial"/>
        </w:rPr>
        <w:t xml:space="preserve">) </w:t>
      </w:r>
      <w:r w:rsidR="003005A6" w:rsidRPr="003005A6">
        <w:rPr>
          <w:rFonts w:ascii="Arial" w:hAnsi="Arial" w:cs="Arial"/>
        </w:rPr>
        <w:t>as a Management Team</w:t>
      </w:r>
      <w:r w:rsidRPr="003005A6">
        <w:rPr>
          <w:rFonts w:ascii="Arial" w:hAnsi="Arial" w:cs="Arial"/>
        </w:rPr>
        <w:t>.</w:t>
      </w:r>
      <w:r w:rsidR="00C03C74">
        <w:rPr>
          <w:rFonts w:ascii="Arial" w:hAnsi="Arial" w:cs="Arial"/>
        </w:rPr>
        <w:t xml:space="preserve"> </w:t>
      </w:r>
      <w:r w:rsidRPr="003005A6">
        <w:rPr>
          <w:rFonts w:ascii="Arial" w:hAnsi="Arial" w:cs="Arial"/>
        </w:rPr>
        <w:t>In</w:t>
      </w:r>
      <w:r w:rsidRPr="00476C80">
        <w:rPr>
          <w:rFonts w:ascii="Arial" w:hAnsi="Arial" w:cs="Arial"/>
        </w:rPr>
        <w:t xml:space="preserve"> </w:t>
      </w:r>
      <w:r w:rsidR="009728A1">
        <w:rPr>
          <w:rFonts w:ascii="Arial" w:hAnsi="Arial" w:cs="Arial"/>
        </w:rPr>
        <w:t>a</w:t>
      </w:r>
      <w:r w:rsidRPr="00476C80">
        <w:rPr>
          <w:rFonts w:ascii="Arial" w:hAnsi="Arial" w:cs="Arial"/>
        </w:rPr>
        <w:t xml:space="preserve"> relatively flat organization</w:t>
      </w:r>
      <w:r w:rsidR="00D60B8F">
        <w:rPr>
          <w:rFonts w:ascii="Arial" w:hAnsi="Arial" w:cs="Arial"/>
        </w:rPr>
        <w:t>al</w:t>
      </w:r>
      <w:r w:rsidR="009728A1">
        <w:rPr>
          <w:rFonts w:ascii="Arial" w:hAnsi="Arial" w:cs="Arial"/>
        </w:rPr>
        <w:t xml:space="preserve"> structure</w:t>
      </w:r>
      <w:r w:rsidRPr="00476C80">
        <w:rPr>
          <w:rFonts w:ascii="Arial" w:hAnsi="Arial" w:cs="Arial"/>
        </w:rPr>
        <w:t xml:space="preserve">, all employees work to support the agency mission to assist </w:t>
      </w:r>
      <w:r>
        <w:rPr>
          <w:rFonts w:ascii="Arial" w:hAnsi="Arial" w:cs="Arial"/>
          <w:bCs/>
        </w:rPr>
        <w:t xml:space="preserve">libraries to build the </w:t>
      </w:r>
      <w:r w:rsidRPr="00476C80">
        <w:rPr>
          <w:rFonts w:ascii="Arial" w:hAnsi="Arial" w:cs="Arial"/>
          <w:bCs/>
        </w:rPr>
        <w:t xml:space="preserve">capacity to </w:t>
      </w:r>
      <w:r w:rsidR="002118C4">
        <w:rPr>
          <w:rFonts w:ascii="Arial" w:hAnsi="Arial" w:cs="Arial"/>
          <w:bCs/>
        </w:rPr>
        <w:t>best</w:t>
      </w:r>
      <w:r w:rsidRPr="00476C80">
        <w:rPr>
          <w:rFonts w:ascii="Arial" w:hAnsi="Arial" w:cs="Arial"/>
          <w:bCs/>
        </w:rPr>
        <w:t xml:space="preserve"> serve their </w:t>
      </w:r>
      <w:r w:rsidR="0022379C">
        <w:rPr>
          <w:rFonts w:ascii="Arial" w:hAnsi="Arial" w:cs="Arial"/>
          <w:bCs/>
        </w:rPr>
        <w:t>communities</w:t>
      </w:r>
      <w:r w:rsidRPr="00476C80">
        <w:rPr>
          <w:rFonts w:ascii="Arial" w:hAnsi="Arial" w:cs="Arial"/>
        </w:rPr>
        <w:t>.</w:t>
      </w:r>
    </w:p>
    <w:p w14:paraId="4F931DB1" w14:textId="77777777" w:rsidR="00D32D1B" w:rsidRDefault="00D32D1B" w:rsidP="00600E33">
      <w:pPr>
        <w:jc w:val="both"/>
        <w:rPr>
          <w:rFonts w:ascii="Arial" w:hAnsi="Arial" w:cs="Arial"/>
          <w:sz w:val="20"/>
        </w:rPr>
      </w:pPr>
    </w:p>
    <w:p w14:paraId="0B8D901D" w14:textId="3372C4D8" w:rsidR="004A0471" w:rsidRDefault="007E06C7" w:rsidP="00600E33">
      <w:pPr>
        <w:jc w:val="both"/>
        <w:rPr>
          <w:rFonts w:ascii="Arial" w:hAnsi="Arial" w:cs="Arial"/>
          <w:sz w:val="20"/>
          <w:szCs w:val="20"/>
        </w:rPr>
      </w:pPr>
      <w:r w:rsidRPr="002D3AD3">
        <w:rPr>
          <w:rFonts w:ascii="Arial" w:hAnsi="Arial" w:cs="Arial"/>
          <w:sz w:val="20"/>
          <w:szCs w:val="20"/>
        </w:rPr>
        <w:t xml:space="preserve">The Commission currently operates with </w:t>
      </w:r>
      <w:r w:rsidR="12163C67" w:rsidRPr="3D12527E">
        <w:rPr>
          <w:rFonts w:ascii="Arial" w:hAnsi="Arial" w:cs="Arial"/>
          <w:sz w:val="20"/>
          <w:szCs w:val="20"/>
        </w:rPr>
        <w:t>3</w:t>
      </w:r>
      <w:r w:rsidR="3C16A26F" w:rsidRPr="3D12527E">
        <w:rPr>
          <w:rFonts w:ascii="Arial" w:hAnsi="Arial" w:cs="Arial"/>
          <w:sz w:val="20"/>
          <w:szCs w:val="20"/>
        </w:rPr>
        <w:t>5</w:t>
      </w:r>
      <w:r w:rsidRPr="002D3AD3">
        <w:rPr>
          <w:rFonts w:ascii="Arial" w:hAnsi="Arial" w:cs="Arial"/>
          <w:sz w:val="20"/>
          <w:szCs w:val="20"/>
        </w:rPr>
        <w:t xml:space="preserve">.5 positions and maintains </w:t>
      </w:r>
      <w:r w:rsidR="00BF6570">
        <w:rPr>
          <w:rFonts w:ascii="Arial" w:hAnsi="Arial" w:cs="Arial"/>
          <w:sz w:val="20"/>
          <w:szCs w:val="20"/>
        </w:rPr>
        <w:t>a</w:t>
      </w:r>
      <w:r w:rsidRPr="002D3AD3">
        <w:rPr>
          <w:rFonts w:ascii="Arial" w:hAnsi="Arial" w:cs="Arial"/>
          <w:sz w:val="20"/>
          <w:szCs w:val="20"/>
        </w:rPr>
        <w:t xml:space="preserve"> central office in Boise at 325 W. State Street</w:t>
      </w:r>
      <w:r w:rsidR="002D3AD3">
        <w:rPr>
          <w:rFonts w:ascii="Arial" w:hAnsi="Arial" w:cs="Arial"/>
          <w:sz w:val="20"/>
          <w:szCs w:val="20"/>
        </w:rPr>
        <w:t>.</w:t>
      </w:r>
    </w:p>
    <w:p w14:paraId="73FE67D6" w14:textId="77777777" w:rsidR="00F64238" w:rsidRDefault="00F64238" w:rsidP="00600E33">
      <w:pPr>
        <w:jc w:val="both"/>
        <w:rPr>
          <w:rFonts w:ascii="Arial" w:hAnsi="Arial" w:cs="Arial"/>
          <w:sz w:val="20"/>
        </w:rPr>
      </w:pPr>
    </w:p>
    <w:p w14:paraId="50DE684C" w14:textId="01828E7E" w:rsidR="00D32D1B" w:rsidRDefault="00D32D1B" w:rsidP="00600E33">
      <w:pPr>
        <w:jc w:val="both"/>
        <w:rPr>
          <w:rFonts w:ascii="Arial" w:hAnsi="Arial" w:cs="Arial"/>
          <w:sz w:val="20"/>
        </w:rPr>
      </w:pPr>
      <w:r>
        <w:rPr>
          <w:rFonts w:ascii="Arial" w:hAnsi="Arial" w:cs="Arial"/>
          <w:sz w:val="20"/>
        </w:rPr>
        <w:t xml:space="preserve">In 1901, the Idaho Free Library Commission was organized as a state institution and received its first </w:t>
      </w:r>
      <w:r w:rsidR="000C2859">
        <w:rPr>
          <w:rFonts w:ascii="Arial" w:hAnsi="Arial" w:cs="Arial"/>
          <w:sz w:val="20"/>
        </w:rPr>
        <w:t xml:space="preserve">state </w:t>
      </w:r>
      <w:r>
        <w:rPr>
          <w:rFonts w:ascii="Arial" w:hAnsi="Arial" w:cs="Arial"/>
          <w:sz w:val="20"/>
        </w:rPr>
        <w:t>appropriation. In addition to providing reading materials to Idaho citizens via the traveling library, the agency was to assist in the establishment and improvement of free public and school</w:t>
      </w:r>
      <w:r w:rsidR="00707D31">
        <w:rPr>
          <w:rFonts w:ascii="Arial" w:hAnsi="Arial" w:cs="Arial"/>
          <w:sz w:val="20"/>
        </w:rPr>
        <w:t xml:space="preserve"> libraries </w:t>
      </w:r>
      <w:r>
        <w:rPr>
          <w:rFonts w:ascii="Arial" w:hAnsi="Arial" w:cs="Arial"/>
          <w:sz w:val="20"/>
        </w:rPr>
        <w:t xml:space="preserve">to deliver, foster, and promote library services </w:t>
      </w:r>
      <w:r w:rsidR="006263EB">
        <w:rPr>
          <w:rFonts w:ascii="Arial" w:hAnsi="Arial" w:cs="Arial"/>
          <w:sz w:val="20"/>
        </w:rPr>
        <w:t>throughout the state</w:t>
      </w:r>
      <w:r>
        <w:rPr>
          <w:rFonts w:ascii="Arial" w:hAnsi="Arial" w:cs="Arial"/>
          <w:sz w:val="20"/>
        </w:rPr>
        <w:t>.</w:t>
      </w:r>
      <w:r w:rsidR="004354BA">
        <w:rPr>
          <w:rFonts w:ascii="Arial" w:hAnsi="Arial" w:cs="Arial"/>
          <w:sz w:val="20"/>
        </w:rPr>
        <w:t xml:space="preserve"> </w:t>
      </w:r>
    </w:p>
    <w:p w14:paraId="7F541B8C" w14:textId="77777777" w:rsidR="00D32D1B" w:rsidRDefault="00D32D1B" w:rsidP="00600E33">
      <w:pPr>
        <w:jc w:val="both"/>
        <w:rPr>
          <w:rFonts w:ascii="Arial" w:hAnsi="Arial" w:cs="Arial"/>
          <w:sz w:val="20"/>
        </w:rPr>
      </w:pPr>
    </w:p>
    <w:p w14:paraId="58B1D84C" w14:textId="4A4F202C" w:rsidR="00D32D1B" w:rsidRDefault="00D32D1B" w:rsidP="00600E33">
      <w:pPr>
        <w:jc w:val="both"/>
        <w:rPr>
          <w:rFonts w:ascii="Arial" w:hAnsi="Arial" w:cs="Arial"/>
          <w:sz w:val="20"/>
        </w:rPr>
      </w:pPr>
      <w:r>
        <w:rPr>
          <w:rFonts w:ascii="Arial" w:hAnsi="Arial" w:cs="Arial"/>
          <w:sz w:val="20"/>
        </w:rPr>
        <w:t xml:space="preserve">Beginning in 1957, </w:t>
      </w:r>
      <w:r w:rsidR="008B0652">
        <w:rPr>
          <w:rFonts w:ascii="Arial" w:hAnsi="Arial" w:cs="Arial"/>
          <w:sz w:val="20"/>
        </w:rPr>
        <w:t>the agency</w:t>
      </w:r>
      <w:r>
        <w:rPr>
          <w:rFonts w:ascii="Arial" w:hAnsi="Arial" w:cs="Arial"/>
          <w:sz w:val="20"/>
        </w:rPr>
        <w:t xml:space="preserve"> was designated as the Idaho recipient of federal funds under the Library Services Act (LSA</w:t>
      </w:r>
      <w:proofErr w:type="gramStart"/>
      <w:r>
        <w:rPr>
          <w:rFonts w:ascii="Arial" w:hAnsi="Arial" w:cs="Arial"/>
          <w:sz w:val="20"/>
        </w:rPr>
        <w:t>), and</w:t>
      </w:r>
      <w:proofErr w:type="gramEnd"/>
      <w:r>
        <w:rPr>
          <w:rFonts w:ascii="Arial" w:hAnsi="Arial" w:cs="Arial"/>
          <w:sz w:val="20"/>
        </w:rPr>
        <w:t xml:space="preserve"> was appropriated a significant increase in its </w:t>
      </w:r>
      <w:r w:rsidR="00B469B7">
        <w:rPr>
          <w:rFonts w:ascii="Arial" w:hAnsi="Arial" w:cs="Arial"/>
          <w:sz w:val="20"/>
        </w:rPr>
        <w:t>G</w:t>
      </w:r>
      <w:r>
        <w:rPr>
          <w:rFonts w:ascii="Arial" w:hAnsi="Arial" w:cs="Arial"/>
          <w:sz w:val="20"/>
        </w:rPr>
        <w:t xml:space="preserve">eneral </w:t>
      </w:r>
      <w:r w:rsidR="00B469B7">
        <w:rPr>
          <w:rFonts w:ascii="Arial" w:hAnsi="Arial" w:cs="Arial"/>
          <w:sz w:val="20"/>
        </w:rPr>
        <w:t>F</w:t>
      </w:r>
      <w:r>
        <w:rPr>
          <w:rFonts w:ascii="Arial" w:hAnsi="Arial" w:cs="Arial"/>
          <w:sz w:val="20"/>
        </w:rPr>
        <w:t>und budget to provide the match necessary to receive the LSA funds. The federal program evolved over the years</w:t>
      </w:r>
      <w:r w:rsidR="001B7BE8">
        <w:rPr>
          <w:rFonts w:ascii="Arial" w:hAnsi="Arial" w:cs="Arial"/>
          <w:sz w:val="20"/>
        </w:rPr>
        <w:t xml:space="preserve"> to reflect changing needs</w:t>
      </w:r>
      <w:r>
        <w:rPr>
          <w:rFonts w:ascii="Arial" w:hAnsi="Arial" w:cs="Arial"/>
          <w:sz w:val="20"/>
        </w:rPr>
        <w:t>, first to the Library Servi</w:t>
      </w:r>
      <w:r w:rsidR="000D4D66">
        <w:rPr>
          <w:rFonts w:ascii="Arial" w:hAnsi="Arial" w:cs="Arial"/>
          <w:sz w:val="20"/>
        </w:rPr>
        <w:t>ces and Construction Act (LSCA)</w:t>
      </w:r>
      <w:r>
        <w:rPr>
          <w:rFonts w:ascii="Arial" w:hAnsi="Arial" w:cs="Arial"/>
          <w:sz w:val="20"/>
        </w:rPr>
        <w:t xml:space="preserve"> and</w:t>
      </w:r>
      <w:r w:rsidR="000D4D66">
        <w:rPr>
          <w:rFonts w:ascii="Arial" w:hAnsi="Arial" w:cs="Arial"/>
          <w:sz w:val="20"/>
        </w:rPr>
        <w:t>,</w:t>
      </w:r>
      <w:r>
        <w:rPr>
          <w:rFonts w:ascii="Arial" w:hAnsi="Arial" w:cs="Arial"/>
          <w:sz w:val="20"/>
        </w:rPr>
        <w:t xml:space="preserve"> most recently</w:t>
      </w:r>
      <w:r w:rsidR="000D4D66">
        <w:rPr>
          <w:rFonts w:ascii="Arial" w:hAnsi="Arial" w:cs="Arial"/>
          <w:sz w:val="20"/>
        </w:rPr>
        <w:t>,</w:t>
      </w:r>
      <w:r>
        <w:rPr>
          <w:rFonts w:ascii="Arial" w:hAnsi="Arial" w:cs="Arial"/>
          <w:sz w:val="20"/>
        </w:rPr>
        <w:t xml:space="preserve"> to the Library Services and Technology Act (LSTA). LSTA funds are used for pilot projects, to implement collaborative projects among Idaho libraries, and for statewide</w:t>
      </w:r>
      <w:r w:rsidR="00C6075D">
        <w:rPr>
          <w:rFonts w:ascii="Arial" w:hAnsi="Arial" w:cs="Arial"/>
          <w:sz w:val="20"/>
        </w:rPr>
        <w:t xml:space="preserve"> library</w:t>
      </w:r>
      <w:r>
        <w:rPr>
          <w:rFonts w:ascii="Arial" w:hAnsi="Arial" w:cs="Arial"/>
          <w:sz w:val="20"/>
        </w:rPr>
        <w:t xml:space="preserve"> programs </w:t>
      </w:r>
      <w:r w:rsidR="00C6075D">
        <w:rPr>
          <w:rFonts w:ascii="Arial" w:hAnsi="Arial" w:cs="Arial"/>
          <w:sz w:val="20"/>
        </w:rPr>
        <w:t xml:space="preserve">that </w:t>
      </w:r>
      <w:r w:rsidR="009728A1">
        <w:rPr>
          <w:rFonts w:ascii="Arial" w:hAnsi="Arial" w:cs="Arial"/>
          <w:sz w:val="20"/>
        </w:rPr>
        <w:t>provide services</w:t>
      </w:r>
      <w:r w:rsidR="00C6075D">
        <w:rPr>
          <w:rFonts w:ascii="Arial" w:hAnsi="Arial" w:cs="Arial"/>
          <w:sz w:val="20"/>
        </w:rPr>
        <w:t xml:space="preserve"> to all Idaho residents</w:t>
      </w:r>
      <w:r>
        <w:rPr>
          <w:rFonts w:ascii="Arial" w:hAnsi="Arial" w:cs="Arial"/>
          <w:sz w:val="20"/>
        </w:rPr>
        <w:t>.</w:t>
      </w:r>
    </w:p>
    <w:p w14:paraId="39C3C0FD" w14:textId="77777777" w:rsidR="00D32D1B" w:rsidRDefault="00D32D1B" w:rsidP="00600E33">
      <w:pPr>
        <w:jc w:val="both"/>
        <w:rPr>
          <w:rFonts w:ascii="Arial" w:hAnsi="Arial" w:cs="Arial"/>
          <w:sz w:val="20"/>
        </w:rPr>
      </w:pPr>
    </w:p>
    <w:p w14:paraId="25CF7A89" w14:textId="393E6281" w:rsidR="002C4076" w:rsidRDefault="00B825B9" w:rsidP="00600E33">
      <w:pPr>
        <w:jc w:val="both"/>
        <w:rPr>
          <w:rFonts w:ascii="Arial" w:hAnsi="Arial" w:cs="Arial"/>
          <w:sz w:val="20"/>
        </w:rPr>
      </w:pPr>
      <w:r>
        <w:rPr>
          <w:rFonts w:ascii="Arial" w:hAnsi="Arial" w:cs="Arial"/>
          <w:sz w:val="20"/>
        </w:rPr>
        <w:t>The following</w:t>
      </w:r>
      <w:r w:rsidR="002C4076">
        <w:rPr>
          <w:rFonts w:ascii="Arial" w:hAnsi="Arial" w:cs="Arial"/>
          <w:sz w:val="20"/>
        </w:rPr>
        <w:t xml:space="preserve"> </w:t>
      </w:r>
      <w:r w:rsidR="00457682">
        <w:rPr>
          <w:rFonts w:ascii="Arial" w:hAnsi="Arial" w:cs="Arial"/>
          <w:sz w:val="20"/>
        </w:rPr>
        <w:t>milestone</w:t>
      </w:r>
      <w:r w:rsidR="002C4076">
        <w:rPr>
          <w:rFonts w:ascii="Arial" w:hAnsi="Arial" w:cs="Arial"/>
          <w:sz w:val="20"/>
        </w:rPr>
        <w:t>s in the agency’s history</w:t>
      </w:r>
      <w:r>
        <w:rPr>
          <w:rFonts w:ascii="Arial" w:hAnsi="Arial" w:cs="Arial"/>
          <w:sz w:val="20"/>
        </w:rPr>
        <w:t xml:space="preserve"> provide further context and foundation for understanding the four years covered in this report</w:t>
      </w:r>
      <w:r w:rsidR="002C4076">
        <w:rPr>
          <w:rFonts w:ascii="Arial" w:hAnsi="Arial" w:cs="Arial"/>
          <w:sz w:val="20"/>
        </w:rPr>
        <w:t>:</w:t>
      </w:r>
    </w:p>
    <w:p w14:paraId="2955D119" w14:textId="77777777" w:rsidR="00041756" w:rsidRDefault="00041756" w:rsidP="00600E33">
      <w:pPr>
        <w:jc w:val="both"/>
        <w:rPr>
          <w:rFonts w:ascii="Arial" w:hAnsi="Arial" w:cs="Arial"/>
          <w:sz w:val="20"/>
        </w:rPr>
      </w:pPr>
    </w:p>
    <w:p w14:paraId="239C9E55" w14:textId="77777777" w:rsidR="00B825B9" w:rsidRDefault="00B825B9" w:rsidP="00600E33">
      <w:pPr>
        <w:numPr>
          <w:ilvl w:val="0"/>
          <w:numId w:val="5"/>
        </w:numPr>
        <w:jc w:val="both"/>
        <w:rPr>
          <w:rFonts w:ascii="Arial" w:hAnsi="Arial" w:cs="Arial"/>
          <w:sz w:val="20"/>
        </w:rPr>
      </w:pPr>
      <w:r>
        <w:rPr>
          <w:rFonts w:ascii="Arial" w:hAnsi="Arial" w:cs="Arial"/>
          <w:sz w:val="20"/>
        </w:rPr>
        <w:t xml:space="preserve">In 1972, legislation passed that charged the agency with distributing Idaho state public documents through a system of depository libraries. </w:t>
      </w:r>
    </w:p>
    <w:p w14:paraId="4A72DE12" w14:textId="26B913C2" w:rsidR="00B825B9" w:rsidRDefault="00B825B9" w:rsidP="00600E33">
      <w:pPr>
        <w:numPr>
          <w:ilvl w:val="0"/>
          <w:numId w:val="5"/>
        </w:numPr>
        <w:jc w:val="both"/>
        <w:rPr>
          <w:rFonts w:ascii="Arial" w:hAnsi="Arial" w:cs="Arial"/>
          <w:sz w:val="20"/>
        </w:rPr>
      </w:pPr>
      <w:r>
        <w:rPr>
          <w:rFonts w:ascii="Arial" w:hAnsi="Arial" w:cs="Arial"/>
          <w:sz w:val="20"/>
        </w:rPr>
        <w:t xml:space="preserve">In the same year, the State Legislature directed the agency to establish library services for the blind and others who could not use regular print materials. </w:t>
      </w:r>
    </w:p>
    <w:p w14:paraId="33BE4569" w14:textId="77777777" w:rsidR="00B825B9" w:rsidRDefault="00B825B9" w:rsidP="00600E33">
      <w:pPr>
        <w:numPr>
          <w:ilvl w:val="0"/>
          <w:numId w:val="5"/>
        </w:numPr>
        <w:jc w:val="both"/>
        <w:rPr>
          <w:rFonts w:ascii="Arial" w:hAnsi="Arial" w:cs="Arial"/>
          <w:sz w:val="20"/>
        </w:rPr>
      </w:pPr>
      <w:r>
        <w:rPr>
          <w:rFonts w:ascii="Arial" w:hAnsi="Arial" w:cs="Arial"/>
          <w:sz w:val="20"/>
        </w:rPr>
        <w:t xml:space="preserve">In 1984, library development services (continuing library education, consultant services, and statewide planning) were expanded as a response to major changes occurring in the public library community. </w:t>
      </w:r>
    </w:p>
    <w:p w14:paraId="2579A410" w14:textId="57B088CE" w:rsidR="00457682" w:rsidRDefault="00457682" w:rsidP="00600E33">
      <w:pPr>
        <w:numPr>
          <w:ilvl w:val="0"/>
          <w:numId w:val="5"/>
        </w:numPr>
        <w:jc w:val="both"/>
        <w:rPr>
          <w:rFonts w:ascii="Arial" w:hAnsi="Arial" w:cs="Arial"/>
          <w:sz w:val="20"/>
        </w:rPr>
      </w:pPr>
      <w:r>
        <w:rPr>
          <w:rFonts w:ascii="Arial" w:hAnsi="Arial" w:cs="Arial"/>
          <w:sz w:val="20"/>
        </w:rPr>
        <w:t xml:space="preserve">In 1998, the </w:t>
      </w:r>
      <w:r w:rsidR="00EB05C7">
        <w:rPr>
          <w:rFonts w:ascii="Arial" w:hAnsi="Arial" w:cs="Arial"/>
          <w:sz w:val="20"/>
        </w:rPr>
        <w:t>L</w:t>
      </w:r>
      <w:r>
        <w:rPr>
          <w:rFonts w:ascii="Arial" w:hAnsi="Arial" w:cs="Arial"/>
          <w:sz w:val="20"/>
        </w:rPr>
        <w:t>egislature appropriated ongoing state funds for the Libraries Linking Idaho (</w:t>
      </w:r>
      <w:proofErr w:type="spellStart"/>
      <w:r>
        <w:rPr>
          <w:rFonts w:ascii="Arial" w:hAnsi="Arial" w:cs="Arial"/>
          <w:sz w:val="20"/>
        </w:rPr>
        <w:t>LiLI</w:t>
      </w:r>
      <w:proofErr w:type="spellEnd"/>
      <w:r>
        <w:rPr>
          <w:rFonts w:ascii="Arial" w:hAnsi="Arial" w:cs="Arial"/>
          <w:sz w:val="20"/>
        </w:rPr>
        <w:t xml:space="preserve">) Databases, the first </w:t>
      </w:r>
      <w:r w:rsidR="00D150CB">
        <w:rPr>
          <w:rFonts w:ascii="Arial" w:hAnsi="Arial" w:cs="Arial"/>
          <w:sz w:val="20"/>
        </w:rPr>
        <w:t>online</w:t>
      </w:r>
      <w:r>
        <w:rPr>
          <w:rFonts w:ascii="Arial" w:hAnsi="Arial" w:cs="Arial"/>
          <w:sz w:val="20"/>
        </w:rPr>
        <w:t xml:space="preserve"> information and research resource</w:t>
      </w:r>
      <w:r w:rsidR="009A7A4F">
        <w:rPr>
          <w:rFonts w:ascii="Arial" w:hAnsi="Arial" w:cs="Arial"/>
          <w:sz w:val="20"/>
        </w:rPr>
        <w:t xml:space="preserve"> made available statewide through the agency’s website.</w:t>
      </w:r>
    </w:p>
    <w:p w14:paraId="4697C843" w14:textId="0D40687E" w:rsidR="004354BA" w:rsidRDefault="00D32D1B" w:rsidP="00600E33">
      <w:pPr>
        <w:numPr>
          <w:ilvl w:val="0"/>
          <w:numId w:val="5"/>
        </w:numPr>
        <w:jc w:val="both"/>
        <w:rPr>
          <w:rFonts w:ascii="Arial" w:hAnsi="Arial" w:cs="Arial"/>
          <w:sz w:val="20"/>
        </w:rPr>
      </w:pPr>
      <w:r>
        <w:rPr>
          <w:rFonts w:ascii="Arial" w:hAnsi="Arial" w:cs="Arial"/>
          <w:sz w:val="20"/>
        </w:rPr>
        <w:t>In 2002, after a 20%</w:t>
      </w:r>
      <w:r w:rsidR="001754AF">
        <w:rPr>
          <w:rFonts w:ascii="Arial" w:hAnsi="Arial" w:cs="Arial"/>
          <w:sz w:val="20"/>
        </w:rPr>
        <w:t xml:space="preserve"> budget cut over two years, </w:t>
      </w:r>
      <w:r>
        <w:rPr>
          <w:rFonts w:ascii="Arial" w:hAnsi="Arial" w:cs="Arial"/>
          <w:sz w:val="20"/>
        </w:rPr>
        <w:t xml:space="preserve">several direct services </w:t>
      </w:r>
      <w:r w:rsidR="002E5203">
        <w:rPr>
          <w:rFonts w:ascii="Arial" w:hAnsi="Arial" w:cs="Arial"/>
          <w:sz w:val="20"/>
        </w:rPr>
        <w:t xml:space="preserve">were </w:t>
      </w:r>
      <w:r w:rsidR="00696392">
        <w:rPr>
          <w:rFonts w:ascii="Arial" w:hAnsi="Arial" w:cs="Arial"/>
          <w:sz w:val="20"/>
        </w:rPr>
        <w:t>discontinued,</w:t>
      </w:r>
      <w:r w:rsidR="002E5203">
        <w:rPr>
          <w:rFonts w:ascii="Arial" w:hAnsi="Arial" w:cs="Arial"/>
          <w:sz w:val="20"/>
        </w:rPr>
        <w:t xml:space="preserve"> </w:t>
      </w:r>
      <w:r>
        <w:rPr>
          <w:rFonts w:ascii="Arial" w:hAnsi="Arial" w:cs="Arial"/>
          <w:sz w:val="20"/>
        </w:rPr>
        <w:t>and the agency</w:t>
      </w:r>
      <w:r w:rsidR="001754AF">
        <w:rPr>
          <w:rFonts w:ascii="Arial" w:hAnsi="Arial" w:cs="Arial"/>
          <w:sz w:val="20"/>
        </w:rPr>
        <w:t>’s mission was changed to</w:t>
      </w:r>
      <w:r>
        <w:rPr>
          <w:rFonts w:ascii="Arial" w:hAnsi="Arial" w:cs="Arial"/>
          <w:sz w:val="20"/>
        </w:rPr>
        <w:t xml:space="preserve"> focus on statewide library development.</w:t>
      </w:r>
      <w:r w:rsidR="004354BA" w:rsidRPr="004354BA">
        <w:rPr>
          <w:rFonts w:ascii="Arial" w:hAnsi="Arial" w:cs="Arial"/>
          <w:sz w:val="20"/>
        </w:rPr>
        <w:t xml:space="preserve"> </w:t>
      </w:r>
      <w:r w:rsidR="00E101FD">
        <w:rPr>
          <w:rFonts w:ascii="Arial" w:hAnsi="Arial" w:cs="Arial"/>
          <w:sz w:val="20"/>
        </w:rPr>
        <w:t>With legislation passed by the 2006 Legislature, t</w:t>
      </w:r>
      <w:r w:rsidR="004354BA">
        <w:rPr>
          <w:rFonts w:ascii="Arial" w:hAnsi="Arial" w:cs="Arial"/>
          <w:sz w:val="20"/>
        </w:rPr>
        <w:t>hat mission was codified</w:t>
      </w:r>
      <w:r w:rsidR="00E101FD">
        <w:rPr>
          <w:rFonts w:ascii="Arial" w:hAnsi="Arial" w:cs="Arial"/>
          <w:sz w:val="20"/>
        </w:rPr>
        <w:t>,</w:t>
      </w:r>
      <w:r w:rsidR="004354BA">
        <w:rPr>
          <w:rFonts w:ascii="Arial" w:hAnsi="Arial" w:cs="Arial"/>
          <w:sz w:val="20"/>
        </w:rPr>
        <w:t xml:space="preserve"> the name of the agency was changed to the Idaho Commission for Libraries to better reflect its activities, and the Board was renamed the Board of Library Commissioners.</w:t>
      </w:r>
    </w:p>
    <w:p w14:paraId="47EA92FF" w14:textId="77777777" w:rsidR="009728A1" w:rsidRPr="00EE2930" w:rsidRDefault="003005A6" w:rsidP="00600E33">
      <w:pPr>
        <w:numPr>
          <w:ilvl w:val="0"/>
          <w:numId w:val="5"/>
        </w:numPr>
        <w:jc w:val="both"/>
        <w:rPr>
          <w:rFonts w:ascii="Arial" w:hAnsi="Arial" w:cs="Arial"/>
          <w:sz w:val="20"/>
        </w:rPr>
      </w:pPr>
      <w:r w:rsidRPr="00EE2930">
        <w:rPr>
          <w:rFonts w:ascii="Arial" w:hAnsi="Arial" w:cs="Arial"/>
          <w:sz w:val="20"/>
        </w:rPr>
        <w:t xml:space="preserve">The 2008 Legislature approved legislation establishing a digital repository for state publications to replace the </w:t>
      </w:r>
      <w:r w:rsidR="00D150CB">
        <w:rPr>
          <w:rFonts w:ascii="Arial" w:hAnsi="Arial" w:cs="Arial"/>
          <w:sz w:val="20"/>
        </w:rPr>
        <w:t xml:space="preserve">print-based </w:t>
      </w:r>
      <w:r w:rsidRPr="00EE2930">
        <w:rPr>
          <w:rFonts w:ascii="Arial" w:hAnsi="Arial" w:cs="Arial"/>
          <w:sz w:val="20"/>
        </w:rPr>
        <w:t xml:space="preserve">state documents depository system. </w:t>
      </w:r>
    </w:p>
    <w:p w14:paraId="0D16269E" w14:textId="663F19A1" w:rsidR="009728A1" w:rsidRDefault="009728A1" w:rsidP="00600E33">
      <w:pPr>
        <w:numPr>
          <w:ilvl w:val="0"/>
          <w:numId w:val="5"/>
        </w:numPr>
        <w:jc w:val="both"/>
        <w:rPr>
          <w:rFonts w:ascii="Arial" w:hAnsi="Arial" w:cs="Arial"/>
          <w:sz w:val="20"/>
        </w:rPr>
      </w:pPr>
      <w:r w:rsidRPr="00EE2930">
        <w:rPr>
          <w:rFonts w:ascii="Arial" w:hAnsi="Arial" w:cs="Arial"/>
          <w:sz w:val="20"/>
        </w:rPr>
        <w:t xml:space="preserve">The 2009 Legislature approved legislation removing the Commission from the oversight of the State Board of Education and making it a self-governing agency with </w:t>
      </w:r>
      <w:r w:rsidR="00F35FA7">
        <w:rPr>
          <w:rFonts w:ascii="Arial" w:hAnsi="Arial" w:cs="Arial"/>
          <w:sz w:val="20"/>
        </w:rPr>
        <w:t>c</w:t>
      </w:r>
      <w:r w:rsidRPr="00EE2930">
        <w:rPr>
          <w:rFonts w:ascii="Arial" w:hAnsi="Arial" w:cs="Arial"/>
          <w:sz w:val="20"/>
        </w:rPr>
        <w:t>ommissioners appointed by the Governor, effective July 2009.</w:t>
      </w:r>
    </w:p>
    <w:p w14:paraId="25D4370B" w14:textId="77777777" w:rsidR="009A7A4F" w:rsidRDefault="009A7A4F" w:rsidP="00600E33">
      <w:pPr>
        <w:numPr>
          <w:ilvl w:val="0"/>
          <w:numId w:val="5"/>
        </w:numPr>
        <w:jc w:val="both"/>
        <w:rPr>
          <w:rFonts w:ascii="Arial" w:hAnsi="Arial" w:cs="Arial"/>
          <w:sz w:val="20"/>
        </w:rPr>
      </w:pPr>
      <w:r>
        <w:rPr>
          <w:rFonts w:ascii="Arial" w:hAnsi="Arial" w:cs="Arial"/>
          <w:sz w:val="20"/>
        </w:rPr>
        <w:t>In 2010, the Commission was awarded a $</w:t>
      </w:r>
      <w:r w:rsidR="00B0591A">
        <w:rPr>
          <w:rFonts w:ascii="Arial" w:hAnsi="Arial" w:cs="Arial"/>
          <w:sz w:val="20"/>
        </w:rPr>
        <w:t>1,907,531 Broadband Technology Opportunities Program (BTOP) grant</w:t>
      </w:r>
      <w:r w:rsidR="001B1F36">
        <w:rPr>
          <w:rFonts w:ascii="Arial" w:hAnsi="Arial" w:cs="Arial"/>
          <w:sz w:val="20"/>
        </w:rPr>
        <w:t xml:space="preserve"> to</w:t>
      </w:r>
      <w:r w:rsidR="00B0591A">
        <w:rPr>
          <w:rFonts w:ascii="Arial" w:hAnsi="Arial" w:cs="Arial"/>
          <w:sz w:val="20"/>
        </w:rPr>
        <w:t xml:space="preserve"> </w:t>
      </w:r>
      <w:r w:rsidR="00E70842">
        <w:rPr>
          <w:rFonts w:ascii="Arial" w:hAnsi="Arial" w:cs="Arial"/>
          <w:sz w:val="20"/>
        </w:rPr>
        <w:t xml:space="preserve">expand broadband and computing capacity in Idaho public libraries and expand online resources </w:t>
      </w:r>
      <w:r w:rsidR="001B1F36">
        <w:rPr>
          <w:rFonts w:ascii="Arial" w:hAnsi="Arial" w:cs="Arial"/>
          <w:sz w:val="20"/>
        </w:rPr>
        <w:t xml:space="preserve">to </w:t>
      </w:r>
      <w:r w:rsidR="001B1F36">
        <w:rPr>
          <w:rFonts w:ascii="Arial" w:hAnsi="Arial" w:cs="Arial"/>
          <w:sz w:val="20"/>
        </w:rPr>
        <w:lastRenderedPageBreak/>
        <w:t>support</w:t>
      </w:r>
      <w:r w:rsidR="00E70842">
        <w:rPr>
          <w:rFonts w:ascii="Arial" w:hAnsi="Arial" w:cs="Arial"/>
          <w:sz w:val="20"/>
        </w:rPr>
        <w:t xml:space="preserve"> informal learning, job</w:t>
      </w:r>
      <w:r w:rsidR="00DE61A7">
        <w:rPr>
          <w:rFonts w:ascii="Arial" w:hAnsi="Arial" w:cs="Arial"/>
          <w:sz w:val="20"/>
        </w:rPr>
        <w:t>/workforce development</w:t>
      </w:r>
      <w:r w:rsidR="00E70842">
        <w:rPr>
          <w:rFonts w:ascii="Arial" w:hAnsi="Arial" w:cs="Arial"/>
          <w:sz w:val="20"/>
        </w:rPr>
        <w:t xml:space="preserve"> skills, </w:t>
      </w:r>
      <w:r w:rsidR="00DE61A7">
        <w:rPr>
          <w:rFonts w:ascii="Arial" w:hAnsi="Arial" w:cs="Arial"/>
          <w:sz w:val="20"/>
        </w:rPr>
        <w:t xml:space="preserve">K-14 and </w:t>
      </w:r>
      <w:r w:rsidR="00E70842">
        <w:rPr>
          <w:rFonts w:ascii="Arial" w:hAnsi="Arial" w:cs="Arial"/>
          <w:sz w:val="20"/>
        </w:rPr>
        <w:t>adult basic education, and e-government services.</w:t>
      </w:r>
    </w:p>
    <w:p w14:paraId="59506AF3" w14:textId="07FB4BE3" w:rsidR="00C61FE5" w:rsidRDefault="00C61FE5" w:rsidP="00600E33">
      <w:pPr>
        <w:numPr>
          <w:ilvl w:val="0"/>
          <w:numId w:val="5"/>
        </w:numPr>
        <w:jc w:val="both"/>
        <w:rPr>
          <w:rFonts w:ascii="Arial" w:hAnsi="Arial" w:cs="Arial"/>
          <w:sz w:val="20"/>
        </w:rPr>
      </w:pPr>
      <w:r>
        <w:rPr>
          <w:rFonts w:ascii="Arial" w:hAnsi="Arial" w:cs="Arial"/>
          <w:sz w:val="20"/>
        </w:rPr>
        <w:t>Reflecting the state’s economy, the agency saw a 34.5% budget cut over two years, from FY</w:t>
      </w:r>
      <w:r w:rsidR="00715C35">
        <w:rPr>
          <w:rFonts w:ascii="Arial" w:hAnsi="Arial" w:cs="Arial"/>
          <w:sz w:val="20"/>
        </w:rPr>
        <w:t xml:space="preserve"> </w:t>
      </w:r>
      <w:r>
        <w:rPr>
          <w:rFonts w:ascii="Arial" w:hAnsi="Arial" w:cs="Arial"/>
          <w:sz w:val="20"/>
        </w:rPr>
        <w:t>2009 to FY</w:t>
      </w:r>
      <w:r w:rsidR="00715C35">
        <w:rPr>
          <w:rFonts w:ascii="Arial" w:hAnsi="Arial" w:cs="Arial"/>
          <w:sz w:val="20"/>
        </w:rPr>
        <w:t xml:space="preserve"> </w:t>
      </w:r>
      <w:r>
        <w:rPr>
          <w:rFonts w:ascii="Arial" w:hAnsi="Arial" w:cs="Arial"/>
          <w:sz w:val="20"/>
        </w:rPr>
        <w:t>2011.</w:t>
      </w:r>
    </w:p>
    <w:p w14:paraId="7D23D0D4" w14:textId="57FB77B6" w:rsidR="001B0430" w:rsidRDefault="00925051" w:rsidP="00600E33">
      <w:pPr>
        <w:numPr>
          <w:ilvl w:val="0"/>
          <w:numId w:val="5"/>
        </w:numPr>
        <w:jc w:val="both"/>
        <w:rPr>
          <w:rFonts w:ascii="Arial" w:hAnsi="Arial" w:cs="Arial"/>
          <w:sz w:val="20"/>
          <w:szCs w:val="20"/>
        </w:rPr>
      </w:pPr>
      <w:r w:rsidRPr="3D12527E">
        <w:rPr>
          <w:rFonts w:ascii="Arial" w:hAnsi="Arial" w:cs="Arial"/>
          <w:sz w:val="20"/>
          <w:szCs w:val="20"/>
        </w:rPr>
        <w:t xml:space="preserve">In </w:t>
      </w:r>
      <w:r w:rsidR="007761F5" w:rsidRPr="3D12527E">
        <w:rPr>
          <w:rFonts w:ascii="Arial" w:hAnsi="Arial" w:cs="Arial"/>
          <w:sz w:val="20"/>
          <w:szCs w:val="20"/>
        </w:rPr>
        <w:t xml:space="preserve">2012, the Commission was awarded a </w:t>
      </w:r>
      <w:r w:rsidR="00624430" w:rsidRPr="3D12527E">
        <w:rPr>
          <w:rFonts w:ascii="Arial" w:hAnsi="Arial" w:cs="Arial"/>
          <w:sz w:val="20"/>
          <w:szCs w:val="20"/>
        </w:rPr>
        <w:t xml:space="preserve">three-year </w:t>
      </w:r>
      <w:r w:rsidR="007761F5" w:rsidRPr="3D12527E">
        <w:rPr>
          <w:rFonts w:ascii="Arial" w:hAnsi="Arial" w:cs="Arial"/>
          <w:sz w:val="20"/>
          <w:szCs w:val="20"/>
        </w:rPr>
        <w:t>$250,000 National Leadership Grant from the Institut</w:t>
      </w:r>
      <w:r w:rsidR="00041756" w:rsidRPr="3D12527E">
        <w:rPr>
          <w:rFonts w:ascii="Arial" w:hAnsi="Arial" w:cs="Arial"/>
          <w:sz w:val="20"/>
          <w:szCs w:val="20"/>
        </w:rPr>
        <w:t>e</w:t>
      </w:r>
      <w:r w:rsidR="007761F5" w:rsidRPr="3D12527E">
        <w:rPr>
          <w:rFonts w:ascii="Arial" w:hAnsi="Arial" w:cs="Arial"/>
          <w:sz w:val="20"/>
          <w:szCs w:val="20"/>
        </w:rPr>
        <w:t xml:space="preserve"> of Museum and Library Services </w:t>
      </w:r>
      <w:r w:rsidR="00B75F8B" w:rsidRPr="3D12527E">
        <w:rPr>
          <w:rFonts w:ascii="Arial" w:hAnsi="Arial" w:cs="Arial"/>
          <w:sz w:val="20"/>
          <w:szCs w:val="20"/>
        </w:rPr>
        <w:t>along with</w:t>
      </w:r>
      <w:r w:rsidR="007761F5" w:rsidRPr="3D12527E">
        <w:rPr>
          <w:rFonts w:ascii="Arial" w:hAnsi="Arial" w:cs="Arial"/>
          <w:sz w:val="20"/>
          <w:szCs w:val="20"/>
        </w:rPr>
        <w:t xml:space="preserve"> $30,000 matching funds from the J.A. and</w:t>
      </w:r>
      <w:r w:rsidR="00B67F7B" w:rsidRPr="3D12527E">
        <w:rPr>
          <w:rFonts w:ascii="Arial" w:hAnsi="Arial" w:cs="Arial"/>
          <w:sz w:val="20"/>
          <w:szCs w:val="20"/>
        </w:rPr>
        <w:t xml:space="preserve"> Kathryn Albertson Foundation. </w:t>
      </w:r>
      <w:r w:rsidR="00B75F8B" w:rsidRPr="3D12527E">
        <w:rPr>
          <w:rFonts w:ascii="Arial" w:hAnsi="Arial" w:cs="Arial"/>
          <w:sz w:val="20"/>
          <w:szCs w:val="20"/>
        </w:rPr>
        <w:t>The goal of this highly competitive Campaign for Grade Level Reading award category</w:t>
      </w:r>
      <w:r w:rsidR="001B7BE8" w:rsidRPr="3D12527E">
        <w:rPr>
          <w:rFonts w:ascii="Arial" w:hAnsi="Arial" w:cs="Arial"/>
          <w:sz w:val="20"/>
          <w:szCs w:val="20"/>
        </w:rPr>
        <w:t xml:space="preserve"> </w:t>
      </w:r>
      <w:r w:rsidR="00732574">
        <w:rPr>
          <w:rFonts w:ascii="Arial" w:hAnsi="Arial" w:cs="Arial"/>
          <w:sz w:val="20"/>
          <w:szCs w:val="20"/>
        </w:rPr>
        <w:t>was</w:t>
      </w:r>
      <w:r w:rsidR="00B75F8B" w:rsidRPr="3D12527E">
        <w:rPr>
          <w:rFonts w:ascii="Arial" w:hAnsi="Arial" w:cs="Arial"/>
          <w:sz w:val="20"/>
          <w:szCs w:val="20"/>
        </w:rPr>
        <w:t xml:space="preserve"> </w:t>
      </w:r>
      <w:proofErr w:type="gramStart"/>
      <w:r w:rsidR="00B75F8B" w:rsidRPr="3D12527E">
        <w:rPr>
          <w:rFonts w:ascii="Arial" w:hAnsi="Arial" w:cs="Arial"/>
          <w:sz w:val="20"/>
          <w:szCs w:val="20"/>
        </w:rPr>
        <w:t>supporting</w:t>
      </w:r>
      <w:proofErr w:type="gramEnd"/>
      <w:r w:rsidR="00B75F8B" w:rsidRPr="3D12527E">
        <w:rPr>
          <w:rFonts w:ascii="Arial" w:hAnsi="Arial" w:cs="Arial"/>
          <w:sz w:val="20"/>
          <w:szCs w:val="20"/>
        </w:rPr>
        <w:t xml:space="preserve"> school readiness and </w:t>
      </w:r>
      <w:proofErr w:type="gramStart"/>
      <w:r w:rsidR="00B75F8B" w:rsidRPr="3D12527E">
        <w:rPr>
          <w:rFonts w:ascii="Arial" w:hAnsi="Arial" w:cs="Arial"/>
          <w:sz w:val="20"/>
          <w:szCs w:val="20"/>
        </w:rPr>
        <w:t>combating</w:t>
      </w:r>
      <w:proofErr w:type="gramEnd"/>
      <w:r w:rsidR="00B75F8B" w:rsidRPr="3D12527E">
        <w:rPr>
          <w:rFonts w:ascii="Arial" w:hAnsi="Arial" w:cs="Arial"/>
          <w:sz w:val="20"/>
          <w:szCs w:val="20"/>
        </w:rPr>
        <w:t xml:space="preserve"> summer learning loss.</w:t>
      </w:r>
    </w:p>
    <w:p w14:paraId="3C1AAF0F" w14:textId="0A38CCA3" w:rsidR="00450CFE" w:rsidRDefault="00450CFE" w:rsidP="00600E33">
      <w:pPr>
        <w:numPr>
          <w:ilvl w:val="0"/>
          <w:numId w:val="5"/>
        </w:numPr>
        <w:jc w:val="both"/>
        <w:rPr>
          <w:rFonts w:ascii="Arial" w:hAnsi="Arial" w:cs="Arial"/>
          <w:sz w:val="20"/>
        </w:rPr>
      </w:pPr>
      <w:r>
        <w:rPr>
          <w:rFonts w:ascii="Arial" w:hAnsi="Arial" w:cs="Arial"/>
          <w:sz w:val="20"/>
        </w:rPr>
        <w:t xml:space="preserve">In FY 2017, the agency received its first state appropriation to reimburse public libraries for the </w:t>
      </w:r>
      <w:proofErr w:type="gramStart"/>
      <w:r>
        <w:rPr>
          <w:rFonts w:ascii="Arial" w:hAnsi="Arial" w:cs="Arial"/>
          <w:sz w:val="20"/>
        </w:rPr>
        <w:t>non</w:t>
      </w:r>
      <w:r w:rsidR="00392E9C">
        <w:rPr>
          <w:rFonts w:ascii="Arial" w:hAnsi="Arial" w:cs="Arial"/>
          <w:sz w:val="20"/>
        </w:rPr>
        <w:t xml:space="preserve"> </w:t>
      </w:r>
      <w:r w:rsidR="00E64B4A">
        <w:rPr>
          <w:rFonts w:ascii="Arial" w:hAnsi="Arial" w:cs="Arial"/>
          <w:sz w:val="20"/>
        </w:rPr>
        <w:t>E</w:t>
      </w:r>
      <w:proofErr w:type="gramEnd"/>
      <w:r>
        <w:rPr>
          <w:rFonts w:ascii="Arial" w:hAnsi="Arial" w:cs="Arial"/>
          <w:sz w:val="20"/>
        </w:rPr>
        <w:t>-rate portion of their internet service costs under the Education Opportunity Resource Act. This ongoing funding has helped public libraries throughout the state significantly improve the public internet access they offer to their communities free of charge.</w:t>
      </w:r>
    </w:p>
    <w:p w14:paraId="743E8446" w14:textId="5F5EBE36" w:rsidR="0080064E" w:rsidRDefault="0080064E" w:rsidP="00600E33">
      <w:pPr>
        <w:numPr>
          <w:ilvl w:val="0"/>
          <w:numId w:val="5"/>
        </w:numPr>
        <w:jc w:val="both"/>
        <w:rPr>
          <w:rFonts w:ascii="Arial" w:hAnsi="Arial" w:cs="Arial"/>
          <w:sz w:val="20"/>
        </w:rPr>
      </w:pPr>
      <w:r>
        <w:rPr>
          <w:rFonts w:ascii="Arial" w:hAnsi="Arial" w:cs="Arial"/>
          <w:sz w:val="20"/>
        </w:rPr>
        <w:t xml:space="preserve">In </w:t>
      </w:r>
      <w:r w:rsidR="003A374A">
        <w:rPr>
          <w:rFonts w:ascii="Arial" w:hAnsi="Arial" w:cs="Arial"/>
          <w:sz w:val="20"/>
        </w:rPr>
        <w:t>FY 2021</w:t>
      </w:r>
      <w:r>
        <w:rPr>
          <w:rFonts w:ascii="Arial" w:hAnsi="Arial" w:cs="Arial"/>
          <w:sz w:val="20"/>
        </w:rPr>
        <w:t xml:space="preserve">, COVID19 caused the temporary closure of school, academic and public libraries throughout the state. The </w:t>
      </w:r>
      <w:proofErr w:type="spellStart"/>
      <w:r>
        <w:rPr>
          <w:rFonts w:ascii="Arial" w:hAnsi="Arial" w:cs="Arial"/>
          <w:sz w:val="20"/>
        </w:rPr>
        <w:t>ICfL</w:t>
      </w:r>
      <w:proofErr w:type="spellEnd"/>
      <w:r>
        <w:rPr>
          <w:rFonts w:ascii="Arial" w:hAnsi="Arial" w:cs="Arial"/>
          <w:sz w:val="20"/>
        </w:rPr>
        <w:t xml:space="preserve"> quickly re-tooled programs and </w:t>
      </w:r>
      <w:proofErr w:type="gramStart"/>
      <w:r>
        <w:rPr>
          <w:rFonts w:ascii="Arial" w:hAnsi="Arial" w:cs="Arial"/>
          <w:sz w:val="20"/>
        </w:rPr>
        <w:t>trainings</w:t>
      </w:r>
      <w:proofErr w:type="gramEnd"/>
      <w:r>
        <w:rPr>
          <w:rFonts w:ascii="Arial" w:hAnsi="Arial" w:cs="Arial"/>
          <w:sz w:val="20"/>
        </w:rPr>
        <w:t xml:space="preserve"> while providing guidance for continued library service. </w:t>
      </w:r>
    </w:p>
    <w:p w14:paraId="5803DC04" w14:textId="4217D820" w:rsidR="00506A0E" w:rsidRDefault="00506A0E" w:rsidP="00600E33">
      <w:pPr>
        <w:numPr>
          <w:ilvl w:val="0"/>
          <w:numId w:val="5"/>
        </w:numPr>
        <w:jc w:val="both"/>
        <w:rPr>
          <w:rFonts w:ascii="Arial" w:hAnsi="Arial" w:cs="Arial"/>
          <w:sz w:val="20"/>
        </w:rPr>
      </w:pPr>
      <w:r>
        <w:rPr>
          <w:rFonts w:ascii="Arial" w:hAnsi="Arial" w:cs="Arial"/>
          <w:sz w:val="20"/>
        </w:rPr>
        <w:t xml:space="preserve">In </w:t>
      </w:r>
      <w:r w:rsidR="003A374A">
        <w:rPr>
          <w:rFonts w:ascii="Arial" w:hAnsi="Arial" w:cs="Arial"/>
          <w:sz w:val="20"/>
        </w:rPr>
        <w:t>FY 2022</w:t>
      </w:r>
      <w:r>
        <w:rPr>
          <w:rFonts w:ascii="Arial" w:hAnsi="Arial" w:cs="Arial"/>
          <w:sz w:val="20"/>
        </w:rPr>
        <w:t>, the Commission created a statewide e-book/e-audio service</w:t>
      </w:r>
      <w:r w:rsidR="0037680D">
        <w:rPr>
          <w:rFonts w:ascii="Arial" w:hAnsi="Arial" w:cs="Arial"/>
          <w:sz w:val="20"/>
        </w:rPr>
        <w:t xml:space="preserve"> and </w:t>
      </w:r>
      <w:r>
        <w:rPr>
          <w:rFonts w:ascii="Arial" w:hAnsi="Arial" w:cs="Arial"/>
          <w:sz w:val="20"/>
        </w:rPr>
        <w:t>received $</w:t>
      </w:r>
      <w:r w:rsidR="0037680D">
        <w:rPr>
          <w:rFonts w:ascii="Arial" w:hAnsi="Arial" w:cs="Arial"/>
          <w:sz w:val="20"/>
        </w:rPr>
        <w:t>1.9 million</w:t>
      </w:r>
      <w:r>
        <w:rPr>
          <w:rFonts w:ascii="Arial" w:hAnsi="Arial" w:cs="Arial"/>
          <w:sz w:val="20"/>
        </w:rPr>
        <w:t xml:space="preserve"> in grant funds from the State Department of Commerce to upgrade internet equipment in rural libraries</w:t>
      </w:r>
      <w:r w:rsidR="0037680D">
        <w:rPr>
          <w:rFonts w:ascii="Arial" w:hAnsi="Arial" w:cs="Arial"/>
          <w:sz w:val="20"/>
        </w:rPr>
        <w:t>.</w:t>
      </w:r>
    </w:p>
    <w:p w14:paraId="620F4C13" w14:textId="77777777" w:rsidR="0023311B" w:rsidRPr="0023311B" w:rsidRDefault="0023311B" w:rsidP="00600E33">
      <w:pPr>
        <w:ind w:left="360"/>
        <w:jc w:val="both"/>
        <w:rPr>
          <w:rFonts w:ascii="Arial" w:hAnsi="Arial" w:cs="Arial"/>
          <w:sz w:val="20"/>
        </w:rPr>
      </w:pPr>
    </w:p>
    <w:p w14:paraId="7FE666DD" w14:textId="0CE07702" w:rsidR="00D32D1B" w:rsidRPr="00AA16C2" w:rsidRDefault="007420D4" w:rsidP="00600E33">
      <w:pPr>
        <w:autoSpaceDE w:val="0"/>
        <w:autoSpaceDN w:val="0"/>
        <w:adjustRightInd w:val="0"/>
        <w:jc w:val="both"/>
        <w:rPr>
          <w:rFonts w:ascii="Arial" w:hAnsi="Arial" w:cs="Arial"/>
          <w:sz w:val="20"/>
        </w:rPr>
      </w:pPr>
      <w:r w:rsidRPr="00AA16C2">
        <w:rPr>
          <w:rFonts w:ascii="Arial" w:hAnsi="Arial" w:cs="Arial"/>
          <w:bCs/>
          <w:sz w:val="20"/>
          <w:szCs w:val="20"/>
        </w:rPr>
        <w:t xml:space="preserve">The demand for library services </w:t>
      </w:r>
      <w:r w:rsidR="0082495A">
        <w:rPr>
          <w:rFonts w:ascii="Arial" w:hAnsi="Arial" w:cs="Arial"/>
          <w:bCs/>
          <w:sz w:val="20"/>
          <w:szCs w:val="20"/>
        </w:rPr>
        <w:t>continues to grow</w:t>
      </w:r>
      <w:r w:rsidRPr="00AA16C2">
        <w:rPr>
          <w:rFonts w:ascii="Arial" w:hAnsi="Arial" w:cs="Arial"/>
          <w:bCs/>
          <w:sz w:val="20"/>
          <w:szCs w:val="20"/>
        </w:rPr>
        <w:t xml:space="preserve">. </w:t>
      </w:r>
      <w:r w:rsidR="0082495A" w:rsidRPr="00BB6165">
        <w:rPr>
          <w:rFonts w:ascii="Arial" w:hAnsi="Arial" w:cs="Arial"/>
          <w:sz w:val="20"/>
        </w:rPr>
        <w:t xml:space="preserve">Idahoans </w:t>
      </w:r>
      <w:r w:rsidR="0082495A">
        <w:rPr>
          <w:rFonts w:ascii="Arial" w:hAnsi="Arial" w:cs="Arial"/>
          <w:sz w:val="20"/>
        </w:rPr>
        <w:t>want traditional library services, 24/7 online in</w:t>
      </w:r>
      <w:r w:rsidR="005228BD">
        <w:rPr>
          <w:rFonts w:ascii="Arial" w:hAnsi="Arial" w:cs="Arial"/>
          <w:sz w:val="20"/>
        </w:rPr>
        <w:t>formation services, and a place</w:t>
      </w:r>
      <w:r w:rsidR="00041756">
        <w:rPr>
          <w:rFonts w:ascii="Arial" w:hAnsi="Arial" w:cs="Arial"/>
          <w:sz w:val="20"/>
        </w:rPr>
        <w:t xml:space="preserve"> </w:t>
      </w:r>
      <w:r w:rsidR="005228BD">
        <w:rPr>
          <w:rFonts w:ascii="Arial" w:hAnsi="Arial" w:cs="Arial"/>
          <w:sz w:val="20"/>
        </w:rPr>
        <w:t>—</w:t>
      </w:r>
      <w:r w:rsidR="00041756">
        <w:rPr>
          <w:rFonts w:ascii="Arial" w:hAnsi="Arial" w:cs="Arial"/>
          <w:sz w:val="20"/>
        </w:rPr>
        <w:t xml:space="preserve"> </w:t>
      </w:r>
      <w:r w:rsidR="0082495A">
        <w:rPr>
          <w:rFonts w:ascii="Arial" w:hAnsi="Arial" w:cs="Arial"/>
          <w:sz w:val="20"/>
        </w:rPr>
        <w:t xml:space="preserve">physical </w:t>
      </w:r>
      <w:r w:rsidR="005228BD">
        <w:rPr>
          <w:rFonts w:ascii="Arial" w:hAnsi="Arial" w:cs="Arial"/>
          <w:sz w:val="20"/>
        </w:rPr>
        <w:t>and virtual, local and global</w:t>
      </w:r>
      <w:r w:rsidR="00041756">
        <w:rPr>
          <w:rFonts w:ascii="Arial" w:hAnsi="Arial" w:cs="Arial"/>
          <w:sz w:val="20"/>
        </w:rPr>
        <w:t xml:space="preserve"> </w:t>
      </w:r>
      <w:r w:rsidR="005228BD">
        <w:rPr>
          <w:rFonts w:ascii="Arial" w:hAnsi="Arial" w:cs="Arial"/>
          <w:sz w:val="20"/>
        </w:rPr>
        <w:t>—</w:t>
      </w:r>
      <w:r w:rsidR="00041756">
        <w:rPr>
          <w:rFonts w:ascii="Arial" w:hAnsi="Arial" w:cs="Arial"/>
          <w:sz w:val="20"/>
        </w:rPr>
        <w:t xml:space="preserve"> </w:t>
      </w:r>
      <w:r w:rsidR="0082495A">
        <w:rPr>
          <w:rFonts w:ascii="Arial" w:hAnsi="Arial" w:cs="Arial"/>
          <w:sz w:val="20"/>
        </w:rPr>
        <w:t>to create content and participa</w:t>
      </w:r>
      <w:r w:rsidR="00B67F7B">
        <w:rPr>
          <w:rFonts w:ascii="Arial" w:hAnsi="Arial" w:cs="Arial"/>
          <w:sz w:val="20"/>
        </w:rPr>
        <w:t xml:space="preserve">te in community conversations. </w:t>
      </w:r>
      <w:r w:rsidR="00D150CB" w:rsidRPr="00AA16C2">
        <w:rPr>
          <w:rFonts w:ascii="Arial" w:hAnsi="Arial" w:cs="Arial"/>
          <w:sz w:val="20"/>
        </w:rPr>
        <w:t>The librari</w:t>
      </w:r>
      <w:r w:rsidR="00BB0282" w:rsidRPr="00AA16C2">
        <w:rPr>
          <w:rFonts w:ascii="Arial" w:hAnsi="Arial" w:cs="Arial"/>
          <w:sz w:val="20"/>
        </w:rPr>
        <w:t>an</w:t>
      </w:r>
      <w:r w:rsidR="0088630A" w:rsidRPr="00AA16C2">
        <w:rPr>
          <w:rFonts w:ascii="Arial" w:hAnsi="Arial" w:cs="Arial"/>
          <w:sz w:val="20"/>
        </w:rPr>
        <w:t>s’ challenge is to p</w:t>
      </w:r>
      <w:r w:rsidR="00D32D1B" w:rsidRPr="00AA16C2">
        <w:rPr>
          <w:rFonts w:ascii="Arial" w:hAnsi="Arial" w:cs="Arial"/>
          <w:sz w:val="20"/>
        </w:rPr>
        <w:t xml:space="preserve">lan for and </w:t>
      </w:r>
      <w:r w:rsidR="00AE44A8" w:rsidRPr="00AA16C2">
        <w:rPr>
          <w:rFonts w:ascii="Arial" w:hAnsi="Arial" w:cs="Arial"/>
          <w:sz w:val="20"/>
        </w:rPr>
        <w:t>sus</w:t>
      </w:r>
      <w:r w:rsidR="00D32D1B" w:rsidRPr="00AA16C2">
        <w:rPr>
          <w:rFonts w:ascii="Arial" w:hAnsi="Arial" w:cs="Arial"/>
          <w:sz w:val="20"/>
        </w:rPr>
        <w:t>tain the nece</w:t>
      </w:r>
      <w:r w:rsidR="00CF6124" w:rsidRPr="00AA16C2">
        <w:rPr>
          <w:rFonts w:ascii="Arial" w:hAnsi="Arial" w:cs="Arial"/>
          <w:sz w:val="20"/>
        </w:rPr>
        <w:t>ssary trained staff, services</w:t>
      </w:r>
      <w:r w:rsidR="00D32D1B" w:rsidRPr="00AA16C2">
        <w:rPr>
          <w:rFonts w:ascii="Arial" w:hAnsi="Arial" w:cs="Arial"/>
          <w:sz w:val="20"/>
        </w:rPr>
        <w:t xml:space="preserve">, and technology to </w:t>
      </w:r>
      <w:r w:rsidR="0088630A" w:rsidRPr="00AA16C2">
        <w:rPr>
          <w:rFonts w:ascii="Arial" w:hAnsi="Arial" w:cs="Arial"/>
          <w:sz w:val="20"/>
        </w:rPr>
        <w:t xml:space="preserve">deliver this </w:t>
      </w:r>
      <w:r w:rsidR="0082495A">
        <w:rPr>
          <w:rFonts w:ascii="Arial" w:hAnsi="Arial" w:cs="Arial"/>
          <w:sz w:val="20"/>
        </w:rPr>
        <w:t xml:space="preserve">diverse </w:t>
      </w:r>
      <w:r w:rsidR="0088630A" w:rsidRPr="00AA16C2">
        <w:rPr>
          <w:rFonts w:ascii="Arial" w:hAnsi="Arial" w:cs="Arial"/>
          <w:sz w:val="20"/>
        </w:rPr>
        <w:t>range</w:t>
      </w:r>
      <w:r w:rsidR="00D32D1B" w:rsidRPr="00AA16C2">
        <w:rPr>
          <w:rFonts w:ascii="Arial" w:hAnsi="Arial" w:cs="Arial"/>
          <w:sz w:val="20"/>
        </w:rPr>
        <w:t xml:space="preserve"> of services </w:t>
      </w:r>
      <w:r w:rsidR="0088630A" w:rsidRPr="00AA16C2">
        <w:rPr>
          <w:rFonts w:ascii="Arial" w:hAnsi="Arial" w:cs="Arial"/>
          <w:sz w:val="20"/>
        </w:rPr>
        <w:t>when and where people want them</w:t>
      </w:r>
      <w:r w:rsidR="00D32D1B" w:rsidRPr="00AA16C2">
        <w:rPr>
          <w:rFonts w:ascii="Arial" w:hAnsi="Arial" w:cs="Arial"/>
          <w:sz w:val="20"/>
        </w:rPr>
        <w:t xml:space="preserve">. </w:t>
      </w:r>
      <w:r w:rsidR="00ED64BE" w:rsidRPr="00AA16C2">
        <w:rPr>
          <w:rFonts w:ascii="Arial" w:hAnsi="Arial" w:cs="Arial"/>
          <w:sz w:val="20"/>
        </w:rPr>
        <w:t>The Commission’s</w:t>
      </w:r>
      <w:r w:rsidR="00D32D1B" w:rsidRPr="00AA16C2">
        <w:rPr>
          <w:rFonts w:ascii="Arial" w:hAnsi="Arial" w:cs="Arial"/>
          <w:sz w:val="20"/>
        </w:rPr>
        <w:t xml:space="preserve"> </w:t>
      </w:r>
      <w:r w:rsidR="00570BB1" w:rsidRPr="00AA16C2">
        <w:rPr>
          <w:rFonts w:ascii="Arial" w:hAnsi="Arial" w:cs="Arial"/>
          <w:sz w:val="20"/>
        </w:rPr>
        <w:t xml:space="preserve">continuing </w:t>
      </w:r>
      <w:r w:rsidR="00D32D1B" w:rsidRPr="00AA16C2">
        <w:rPr>
          <w:rFonts w:ascii="Arial" w:hAnsi="Arial" w:cs="Arial"/>
          <w:sz w:val="20"/>
        </w:rPr>
        <w:t>challenge is to help Idaho librari</w:t>
      </w:r>
      <w:r w:rsidR="000D3B6C" w:rsidRPr="00AA16C2">
        <w:rPr>
          <w:rFonts w:ascii="Arial" w:hAnsi="Arial" w:cs="Arial"/>
          <w:sz w:val="20"/>
        </w:rPr>
        <w:t>e</w:t>
      </w:r>
      <w:r w:rsidR="00D32D1B" w:rsidRPr="00AA16C2">
        <w:rPr>
          <w:rFonts w:ascii="Arial" w:hAnsi="Arial" w:cs="Arial"/>
          <w:sz w:val="20"/>
        </w:rPr>
        <w:t xml:space="preserve">s </w:t>
      </w:r>
      <w:r w:rsidR="00040B7D" w:rsidRPr="00AA16C2">
        <w:rPr>
          <w:rFonts w:ascii="Arial" w:hAnsi="Arial" w:cs="Arial"/>
          <w:sz w:val="20"/>
        </w:rPr>
        <w:t xml:space="preserve">better serve their </w:t>
      </w:r>
      <w:r w:rsidR="0011233E">
        <w:rPr>
          <w:rFonts w:ascii="Arial" w:hAnsi="Arial" w:cs="Arial"/>
          <w:sz w:val="20"/>
        </w:rPr>
        <w:t>communities</w:t>
      </w:r>
      <w:r w:rsidR="00D32D1B" w:rsidRPr="00AA16C2">
        <w:rPr>
          <w:rFonts w:ascii="Arial" w:hAnsi="Arial" w:cs="Arial"/>
          <w:sz w:val="20"/>
        </w:rPr>
        <w:t xml:space="preserve"> and thrive in </w:t>
      </w:r>
      <w:r w:rsidR="0088630A" w:rsidRPr="00AA16C2">
        <w:rPr>
          <w:rFonts w:ascii="Arial" w:hAnsi="Arial" w:cs="Arial"/>
          <w:sz w:val="20"/>
        </w:rPr>
        <w:t xml:space="preserve">this </w:t>
      </w:r>
      <w:r w:rsidR="00ED64BE" w:rsidRPr="00AA16C2">
        <w:rPr>
          <w:rFonts w:ascii="Arial" w:hAnsi="Arial" w:cs="Arial"/>
          <w:sz w:val="20"/>
        </w:rPr>
        <w:t xml:space="preserve">demanding and </w:t>
      </w:r>
      <w:r w:rsidR="0088630A" w:rsidRPr="00AA16C2">
        <w:rPr>
          <w:rFonts w:ascii="Arial" w:hAnsi="Arial" w:cs="Arial"/>
          <w:sz w:val="20"/>
        </w:rPr>
        <w:t>rapidly</w:t>
      </w:r>
      <w:r w:rsidR="00D32D1B" w:rsidRPr="00AA16C2">
        <w:rPr>
          <w:rFonts w:ascii="Arial" w:hAnsi="Arial" w:cs="Arial"/>
          <w:sz w:val="20"/>
        </w:rPr>
        <w:t xml:space="preserve"> changing environment. </w:t>
      </w:r>
    </w:p>
    <w:p w14:paraId="4505370D" w14:textId="77777777" w:rsidR="007420D4" w:rsidRPr="0007543C" w:rsidRDefault="007420D4" w:rsidP="0007543C">
      <w:pPr>
        <w:autoSpaceDE w:val="0"/>
        <w:autoSpaceDN w:val="0"/>
        <w:adjustRightInd w:val="0"/>
        <w:jc w:val="both"/>
        <w:rPr>
          <w:rFonts w:ascii="Arial" w:hAnsi="Arial" w:cs="Arial"/>
        </w:rPr>
      </w:pPr>
    </w:p>
    <w:p w14:paraId="741DD6D8" w14:textId="77777777" w:rsidR="001D59D0" w:rsidRDefault="001D59D0" w:rsidP="0007543C">
      <w:pPr>
        <w:autoSpaceDE w:val="0"/>
        <w:autoSpaceDN w:val="0"/>
        <w:adjustRightInd w:val="0"/>
        <w:jc w:val="both"/>
        <w:rPr>
          <w:rFonts w:ascii="Arial" w:hAnsi="Arial" w:cs="Arial"/>
          <w:b/>
          <w:bCs/>
        </w:rPr>
      </w:pPr>
      <w:r>
        <w:rPr>
          <w:rFonts w:ascii="Arial" w:hAnsi="Arial" w:cs="Arial"/>
          <w:b/>
          <w:bCs/>
        </w:rPr>
        <w:t>Core Functions/Idaho Code</w:t>
      </w:r>
    </w:p>
    <w:p w14:paraId="5DE8E7C5" w14:textId="77777777" w:rsidR="00AB6A1D" w:rsidRDefault="00AB6A1D" w:rsidP="0007543C">
      <w:pPr>
        <w:autoSpaceDE w:val="0"/>
        <w:autoSpaceDN w:val="0"/>
        <w:adjustRightInd w:val="0"/>
        <w:jc w:val="both"/>
        <w:rPr>
          <w:rFonts w:ascii="Arial" w:hAnsi="Arial" w:cs="Arial"/>
        </w:rPr>
      </w:pPr>
    </w:p>
    <w:p w14:paraId="37C8169A" w14:textId="494B612A" w:rsidR="00D32D1B" w:rsidRDefault="00CE406B" w:rsidP="00600E33">
      <w:pPr>
        <w:tabs>
          <w:tab w:val="left" w:pos="360"/>
          <w:tab w:val="left" w:pos="720"/>
          <w:tab w:val="left" w:pos="1080"/>
        </w:tabs>
        <w:jc w:val="both"/>
        <w:rPr>
          <w:rFonts w:ascii="Arial" w:hAnsi="Arial" w:cs="Arial"/>
          <w:sz w:val="20"/>
        </w:rPr>
      </w:pPr>
      <w:r>
        <w:rPr>
          <w:rFonts w:ascii="Arial" w:hAnsi="Arial" w:cs="Arial"/>
          <w:sz w:val="20"/>
          <w:szCs w:val="20"/>
        </w:rPr>
        <w:t>Consistent with its</w:t>
      </w:r>
      <w:r w:rsidR="0088630A">
        <w:rPr>
          <w:rFonts w:ascii="Arial" w:hAnsi="Arial" w:cs="Arial"/>
          <w:sz w:val="20"/>
          <w:szCs w:val="20"/>
        </w:rPr>
        <w:t xml:space="preserve"> mission, t</w:t>
      </w:r>
      <w:r w:rsidR="00D32D1B" w:rsidRPr="00550009">
        <w:rPr>
          <w:rFonts w:ascii="Arial" w:hAnsi="Arial" w:cs="Arial"/>
          <w:sz w:val="20"/>
          <w:szCs w:val="20"/>
        </w:rPr>
        <w:t xml:space="preserve">he </w:t>
      </w:r>
      <w:r w:rsidR="0076027B">
        <w:rPr>
          <w:rFonts w:ascii="Arial" w:hAnsi="Arial" w:cs="Arial"/>
          <w:sz w:val="20"/>
          <w:szCs w:val="20"/>
        </w:rPr>
        <w:t>core</w:t>
      </w:r>
      <w:r w:rsidR="00D32D1B" w:rsidRPr="00550009">
        <w:rPr>
          <w:rFonts w:ascii="Arial" w:hAnsi="Arial" w:cs="Arial"/>
          <w:sz w:val="20"/>
          <w:szCs w:val="20"/>
        </w:rPr>
        <w:t xml:space="preserve"> function of </w:t>
      </w:r>
      <w:r w:rsidR="00A802FB">
        <w:rPr>
          <w:rFonts w:ascii="Arial" w:hAnsi="Arial" w:cs="Arial"/>
          <w:sz w:val="20"/>
          <w:szCs w:val="20"/>
        </w:rPr>
        <w:t>the Commission</w:t>
      </w:r>
      <w:r w:rsidR="00D32D1B" w:rsidRPr="00550009">
        <w:rPr>
          <w:rFonts w:ascii="Arial" w:hAnsi="Arial" w:cs="Arial"/>
          <w:sz w:val="20"/>
          <w:szCs w:val="20"/>
        </w:rPr>
        <w:t xml:space="preserve"> is statewide library development. </w:t>
      </w:r>
      <w:r w:rsidR="00A802FB">
        <w:rPr>
          <w:rFonts w:ascii="Arial" w:hAnsi="Arial" w:cs="Arial"/>
          <w:sz w:val="20"/>
          <w:szCs w:val="20"/>
        </w:rPr>
        <w:t>The agency</w:t>
      </w:r>
      <w:r w:rsidR="00D32D1B" w:rsidRPr="00550009">
        <w:rPr>
          <w:rFonts w:ascii="Arial" w:hAnsi="Arial" w:cs="Arial"/>
          <w:sz w:val="20"/>
          <w:szCs w:val="20"/>
        </w:rPr>
        <w:t xml:space="preserve"> provide</w:t>
      </w:r>
      <w:r w:rsidR="00A802FB">
        <w:rPr>
          <w:rFonts w:ascii="Arial" w:hAnsi="Arial" w:cs="Arial"/>
          <w:sz w:val="20"/>
          <w:szCs w:val="20"/>
        </w:rPr>
        <w:t>s</w:t>
      </w:r>
      <w:r w:rsidR="00D32D1B" w:rsidRPr="00550009">
        <w:rPr>
          <w:rFonts w:ascii="Arial" w:hAnsi="Arial" w:cs="Arial"/>
          <w:sz w:val="20"/>
          <w:szCs w:val="20"/>
        </w:rPr>
        <w:t xml:space="preserve"> continuing library education and consultant services to the Idaho library community, coordinate</w:t>
      </w:r>
      <w:r w:rsidR="00A802FB">
        <w:rPr>
          <w:rFonts w:ascii="Arial" w:hAnsi="Arial" w:cs="Arial"/>
          <w:sz w:val="20"/>
          <w:szCs w:val="20"/>
        </w:rPr>
        <w:t>s</w:t>
      </w:r>
      <w:r w:rsidR="00D32D1B" w:rsidRPr="00550009">
        <w:rPr>
          <w:rFonts w:ascii="Arial" w:hAnsi="Arial" w:cs="Arial"/>
          <w:sz w:val="20"/>
          <w:szCs w:val="20"/>
        </w:rPr>
        <w:t xml:space="preserve"> statewide library programs,</w:t>
      </w:r>
      <w:r w:rsidR="00D32D1B">
        <w:rPr>
          <w:rFonts w:ascii="Arial" w:hAnsi="Arial" w:cs="Arial"/>
          <w:sz w:val="20"/>
        </w:rPr>
        <w:t xml:space="preserve"> administer</w:t>
      </w:r>
      <w:r w:rsidR="00A802FB">
        <w:rPr>
          <w:rFonts w:ascii="Arial" w:hAnsi="Arial" w:cs="Arial"/>
          <w:sz w:val="20"/>
        </w:rPr>
        <w:t>s</w:t>
      </w:r>
      <w:r w:rsidR="00D32D1B">
        <w:rPr>
          <w:rFonts w:ascii="Arial" w:hAnsi="Arial" w:cs="Arial"/>
          <w:sz w:val="20"/>
        </w:rPr>
        <w:t xml:space="preserve"> grant programs for library development purposes, advocate</w:t>
      </w:r>
      <w:r w:rsidR="00A802FB">
        <w:rPr>
          <w:rFonts w:ascii="Arial" w:hAnsi="Arial" w:cs="Arial"/>
          <w:sz w:val="20"/>
        </w:rPr>
        <w:t>s</w:t>
      </w:r>
      <w:r w:rsidR="00D32D1B">
        <w:rPr>
          <w:rFonts w:ascii="Arial" w:hAnsi="Arial" w:cs="Arial"/>
          <w:sz w:val="20"/>
        </w:rPr>
        <w:t xml:space="preserve"> for library services, facilitate</w:t>
      </w:r>
      <w:r w:rsidR="00A802FB">
        <w:rPr>
          <w:rFonts w:ascii="Arial" w:hAnsi="Arial" w:cs="Arial"/>
          <w:sz w:val="20"/>
        </w:rPr>
        <w:t>s</w:t>
      </w:r>
      <w:r w:rsidR="00D32D1B">
        <w:rPr>
          <w:rFonts w:ascii="Arial" w:hAnsi="Arial" w:cs="Arial"/>
          <w:sz w:val="20"/>
        </w:rPr>
        <w:t xml:space="preserve"> planning for library development at the local and state levels</w:t>
      </w:r>
      <w:r w:rsidR="000D3B6C">
        <w:rPr>
          <w:rFonts w:ascii="Arial" w:hAnsi="Arial" w:cs="Arial"/>
          <w:sz w:val="20"/>
        </w:rPr>
        <w:t>, and supports national library initiatives that strengthen Idaho library services</w:t>
      </w:r>
      <w:r w:rsidR="00D32D1B">
        <w:rPr>
          <w:rFonts w:ascii="Arial" w:hAnsi="Arial" w:cs="Arial"/>
          <w:sz w:val="20"/>
        </w:rPr>
        <w:t xml:space="preserve">. Other functions include the management of </w:t>
      </w:r>
      <w:r w:rsidR="007C609F">
        <w:rPr>
          <w:rFonts w:ascii="Arial" w:hAnsi="Arial" w:cs="Arial"/>
          <w:sz w:val="20"/>
        </w:rPr>
        <w:t xml:space="preserve">[Stacks], </w:t>
      </w:r>
      <w:r w:rsidR="00D32D1B">
        <w:rPr>
          <w:rFonts w:ascii="Arial" w:hAnsi="Arial" w:cs="Arial"/>
          <w:sz w:val="20"/>
        </w:rPr>
        <w:t xml:space="preserve">the </w:t>
      </w:r>
      <w:r w:rsidR="008B0652">
        <w:rPr>
          <w:rFonts w:ascii="Arial" w:hAnsi="Arial" w:cs="Arial"/>
          <w:sz w:val="20"/>
        </w:rPr>
        <w:t>digital repository for</w:t>
      </w:r>
      <w:r w:rsidR="00D32D1B">
        <w:rPr>
          <w:rFonts w:ascii="Arial" w:hAnsi="Arial" w:cs="Arial"/>
          <w:sz w:val="20"/>
        </w:rPr>
        <w:t xml:space="preserve"> state public</w:t>
      </w:r>
      <w:r w:rsidR="008B0652">
        <w:rPr>
          <w:rFonts w:ascii="Arial" w:hAnsi="Arial" w:cs="Arial"/>
          <w:sz w:val="20"/>
        </w:rPr>
        <w:t>ation</w:t>
      </w:r>
      <w:r w:rsidR="00D32D1B">
        <w:rPr>
          <w:rFonts w:ascii="Arial" w:hAnsi="Arial" w:cs="Arial"/>
          <w:sz w:val="20"/>
        </w:rPr>
        <w:t>s</w:t>
      </w:r>
      <w:r w:rsidR="00C44AA7">
        <w:rPr>
          <w:rFonts w:ascii="Arial" w:hAnsi="Arial" w:cs="Arial"/>
          <w:sz w:val="20"/>
        </w:rPr>
        <w:t>,</w:t>
      </w:r>
      <w:r w:rsidR="00D32D1B">
        <w:rPr>
          <w:rFonts w:ascii="Arial" w:hAnsi="Arial" w:cs="Arial"/>
          <w:sz w:val="20"/>
        </w:rPr>
        <w:t xml:space="preserve"> and</w:t>
      </w:r>
      <w:r w:rsidR="004E541E">
        <w:rPr>
          <w:rFonts w:ascii="Arial" w:hAnsi="Arial" w:cs="Arial"/>
          <w:sz w:val="20"/>
        </w:rPr>
        <w:t>, in partnership with the National Library Service</w:t>
      </w:r>
      <w:r w:rsidR="0097498F">
        <w:rPr>
          <w:rFonts w:ascii="Arial" w:hAnsi="Arial" w:cs="Arial"/>
          <w:sz w:val="20"/>
        </w:rPr>
        <w:t xml:space="preserve"> (NLS)</w:t>
      </w:r>
      <w:r w:rsidR="004E541E">
        <w:rPr>
          <w:rFonts w:ascii="Arial" w:hAnsi="Arial" w:cs="Arial"/>
          <w:sz w:val="20"/>
        </w:rPr>
        <w:t>,</w:t>
      </w:r>
      <w:r w:rsidR="00D32D1B">
        <w:rPr>
          <w:rFonts w:ascii="Arial" w:hAnsi="Arial" w:cs="Arial"/>
          <w:sz w:val="20"/>
        </w:rPr>
        <w:t xml:space="preserve"> the Idaho </w:t>
      </w:r>
      <w:r w:rsidR="007C609F">
        <w:rPr>
          <w:rFonts w:ascii="Arial" w:hAnsi="Arial" w:cs="Arial"/>
          <w:sz w:val="20"/>
        </w:rPr>
        <w:t>T</w:t>
      </w:r>
      <w:r w:rsidR="00D32D1B">
        <w:rPr>
          <w:rFonts w:ascii="Arial" w:hAnsi="Arial" w:cs="Arial"/>
          <w:sz w:val="20"/>
        </w:rPr>
        <w:t>al</w:t>
      </w:r>
      <w:r w:rsidR="007C609F">
        <w:rPr>
          <w:rFonts w:ascii="Arial" w:hAnsi="Arial" w:cs="Arial"/>
          <w:sz w:val="20"/>
        </w:rPr>
        <w:t>king B</w:t>
      </w:r>
      <w:r w:rsidR="008B0652">
        <w:rPr>
          <w:rFonts w:ascii="Arial" w:hAnsi="Arial" w:cs="Arial"/>
          <w:sz w:val="20"/>
        </w:rPr>
        <w:t xml:space="preserve">ook </w:t>
      </w:r>
      <w:r w:rsidR="007C609F">
        <w:rPr>
          <w:rFonts w:ascii="Arial" w:hAnsi="Arial" w:cs="Arial"/>
          <w:sz w:val="20"/>
        </w:rPr>
        <w:t>S</w:t>
      </w:r>
      <w:r w:rsidR="008B0652">
        <w:rPr>
          <w:rFonts w:ascii="Arial" w:hAnsi="Arial" w:cs="Arial"/>
          <w:sz w:val="20"/>
        </w:rPr>
        <w:t>ervice</w:t>
      </w:r>
      <w:r w:rsidR="0097498F">
        <w:rPr>
          <w:rFonts w:ascii="Arial" w:hAnsi="Arial" w:cs="Arial"/>
          <w:sz w:val="20"/>
        </w:rPr>
        <w:t xml:space="preserve"> (TBS)</w:t>
      </w:r>
      <w:r w:rsidR="00D32D1B">
        <w:rPr>
          <w:rFonts w:ascii="Arial" w:hAnsi="Arial" w:cs="Arial"/>
          <w:sz w:val="20"/>
        </w:rPr>
        <w:t>.</w:t>
      </w:r>
    </w:p>
    <w:p w14:paraId="1217EEC9" w14:textId="77777777" w:rsidR="0076027B" w:rsidRDefault="0076027B" w:rsidP="00600E33">
      <w:pPr>
        <w:tabs>
          <w:tab w:val="left" w:pos="360"/>
          <w:tab w:val="left" w:pos="720"/>
          <w:tab w:val="left" w:pos="1080"/>
        </w:tabs>
        <w:jc w:val="both"/>
        <w:rPr>
          <w:rFonts w:ascii="Arial" w:hAnsi="Arial" w:cs="Arial"/>
          <w:sz w:val="20"/>
        </w:rPr>
      </w:pPr>
    </w:p>
    <w:p w14:paraId="3B304A85" w14:textId="77777777" w:rsidR="00D32D1B" w:rsidRDefault="00D32D1B" w:rsidP="00600E33">
      <w:pPr>
        <w:tabs>
          <w:tab w:val="left" w:pos="360"/>
          <w:tab w:val="left" w:pos="720"/>
          <w:tab w:val="left" w:pos="1080"/>
        </w:tabs>
        <w:jc w:val="both"/>
        <w:rPr>
          <w:rFonts w:ascii="Arial" w:hAnsi="Arial" w:cs="Arial"/>
          <w:sz w:val="20"/>
        </w:rPr>
      </w:pPr>
      <w:proofErr w:type="gramStart"/>
      <w:r>
        <w:rPr>
          <w:rFonts w:ascii="Arial" w:hAnsi="Arial" w:cs="Arial"/>
          <w:sz w:val="20"/>
        </w:rPr>
        <w:t>Following</w:t>
      </w:r>
      <w:proofErr w:type="gramEnd"/>
      <w:r>
        <w:rPr>
          <w:rFonts w:ascii="Arial" w:hAnsi="Arial" w:cs="Arial"/>
          <w:sz w:val="20"/>
        </w:rPr>
        <w:t xml:space="preserve"> are the relevant citations in the Idaho Code and the US Code:</w:t>
      </w:r>
    </w:p>
    <w:p w14:paraId="46A79E51" w14:textId="77777777" w:rsidR="00D32D1B" w:rsidRDefault="00D32D1B" w:rsidP="00600E3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080"/>
        </w:tabs>
        <w:jc w:val="both"/>
        <w:rPr>
          <w:rFonts w:ascii="Arial" w:hAnsi="Arial" w:cs="Arial"/>
          <w:szCs w:val="24"/>
        </w:rPr>
      </w:pPr>
      <w:r>
        <w:rPr>
          <w:rFonts w:ascii="Arial" w:hAnsi="Arial" w:cs="Arial"/>
          <w:szCs w:val="24"/>
        </w:rPr>
        <w:t>IC 33-</w:t>
      </w:r>
      <w:r w:rsidR="002D0CFB">
        <w:rPr>
          <w:rFonts w:ascii="Arial" w:hAnsi="Arial" w:cs="Arial"/>
          <w:szCs w:val="24"/>
        </w:rPr>
        <w:t>2501. Commission for Libraries e</w:t>
      </w:r>
      <w:r>
        <w:rPr>
          <w:rFonts w:ascii="Arial" w:hAnsi="Arial" w:cs="Arial"/>
          <w:szCs w:val="24"/>
        </w:rPr>
        <w:t>stablished.</w:t>
      </w:r>
    </w:p>
    <w:p w14:paraId="277166A3" w14:textId="4BD99896" w:rsidR="00C553B9" w:rsidRDefault="00B469B7" w:rsidP="00600E3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080"/>
        </w:tabs>
        <w:jc w:val="both"/>
        <w:rPr>
          <w:rFonts w:ascii="Arial" w:hAnsi="Arial" w:cs="Arial"/>
          <w:szCs w:val="24"/>
        </w:rPr>
      </w:pPr>
      <w:r>
        <w:rPr>
          <w:rFonts w:ascii="Arial" w:hAnsi="Arial" w:cs="Arial"/>
          <w:szCs w:val="24"/>
        </w:rPr>
        <w:t xml:space="preserve">IC 33-2502. </w:t>
      </w:r>
      <w:r w:rsidR="00C553B9">
        <w:rPr>
          <w:rFonts w:ascii="Arial" w:hAnsi="Arial" w:cs="Arial"/>
          <w:szCs w:val="24"/>
        </w:rPr>
        <w:t>Board of Library Commissioners – Appointment, removal and terms – Officers – Meetings – Compensation.</w:t>
      </w:r>
    </w:p>
    <w:p w14:paraId="447B538E" w14:textId="3E266D27" w:rsidR="00D32D1B" w:rsidRDefault="00D32D1B" w:rsidP="00600E3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080"/>
        </w:tabs>
        <w:jc w:val="both"/>
        <w:rPr>
          <w:rFonts w:ascii="Arial" w:hAnsi="Arial" w:cs="Arial"/>
          <w:szCs w:val="24"/>
        </w:rPr>
      </w:pPr>
      <w:r>
        <w:rPr>
          <w:rFonts w:ascii="Arial" w:hAnsi="Arial" w:cs="Arial"/>
          <w:szCs w:val="24"/>
        </w:rPr>
        <w:t xml:space="preserve">IC 33-2503. Board of Library Commissioners </w:t>
      </w:r>
      <w:r w:rsidR="00C44AA7">
        <w:rPr>
          <w:rFonts w:ascii="Arial" w:hAnsi="Arial" w:cs="Arial"/>
          <w:szCs w:val="24"/>
        </w:rPr>
        <w:t>–</w:t>
      </w:r>
      <w:r>
        <w:rPr>
          <w:rFonts w:ascii="Arial" w:hAnsi="Arial" w:cs="Arial"/>
          <w:szCs w:val="24"/>
        </w:rPr>
        <w:t xml:space="preserve"> Powers and </w:t>
      </w:r>
      <w:r w:rsidR="002D0CFB">
        <w:rPr>
          <w:rFonts w:ascii="Arial" w:hAnsi="Arial" w:cs="Arial"/>
          <w:szCs w:val="24"/>
        </w:rPr>
        <w:t>d</w:t>
      </w:r>
      <w:r>
        <w:rPr>
          <w:rFonts w:ascii="Arial" w:hAnsi="Arial" w:cs="Arial"/>
          <w:szCs w:val="24"/>
        </w:rPr>
        <w:t>uties.</w:t>
      </w:r>
    </w:p>
    <w:p w14:paraId="4A414E58" w14:textId="0C77BF87" w:rsidR="001B15E0" w:rsidRPr="001B15E0" w:rsidRDefault="001B15E0" w:rsidP="00600E3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080"/>
        </w:tabs>
        <w:jc w:val="both"/>
        <w:rPr>
          <w:rFonts w:ascii="Arial" w:hAnsi="Arial" w:cs="Arial"/>
        </w:rPr>
      </w:pPr>
      <w:r w:rsidRPr="001B15E0">
        <w:rPr>
          <w:rFonts w:ascii="Arial" w:hAnsi="Arial" w:cs="Arial"/>
        </w:rPr>
        <w:t>IC 33-2504. S</w:t>
      </w:r>
      <w:r>
        <w:rPr>
          <w:rFonts w:ascii="Arial" w:hAnsi="Arial" w:cs="Arial"/>
        </w:rPr>
        <w:t>tate</w:t>
      </w:r>
      <w:r w:rsidRPr="001B15E0">
        <w:rPr>
          <w:rFonts w:ascii="Arial" w:hAnsi="Arial" w:cs="Arial"/>
        </w:rPr>
        <w:t xml:space="preserve"> </w:t>
      </w:r>
      <w:r>
        <w:rPr>
          <w:rFonts w:ascii="Arial" w:hAnsi="Arial" w:cs="Arial"/>
        </w:rPr>
        <w:t xml:space="preserve">librarian appointed by Board of Library Commissioners </w:t>
      </w:r>
      <w:r w:rsidR="00C44AA7">
        <w:rPr>
          <w:rFonts w:ascii="Arial" w:hAnsi="Arial" w:cs="Arial"/>
          <w:szCs w:val="24"/>
        </w:rPr>
        <w:t>–</w:t>
      </w:r>
      <w:r w:rsidRPr="001B15E0">
        <w:rPr>
          <w:rFonts w:ascii="Arial" w:hAnsi="Arial" w:cs="Arial"/>
        </w:rPr>
        <w:t xml:space="preserve"> </w:t>
      </w:r>
      <w:r>
        <w:rPr>
          <w:rFonts w:ascii="Arial" w:hAnsi="Arial" w:cs="Arial"/>
        </w:rPr>
        <w:t>Qualifications</w:t>
      </w:r>
      <w:r w:rsidRPr="001B15E0">
        <w:rPr>
          <w:rFonts w:ascii="Arial" w:hAnsi="Arial" w:cs="Arial"/>
        </w:rPr>
        <w:t xml:space="preserve"> </w:t>
      </w:r>
      <w:r w:rsidR="00C44AA7">
        <w:rPr>
          <w:rFonts w:ascii="Arial" w:hAnsi="Arial" w:cs="Arial"/>
          <w:szCs w:val="24"/>
        </w:rPr>
        <w:t>–</w:t>
      </w:r>
      <w:r w:rsidRPr="001B15E0">
        <w:rPr>
          <w:rFonts w:ascii="Arial" w:hAnsi="Arial" w:cs="Arial"/>
        </w:rPr>
        <w:t xml:space="preserve"> P</w:t>
      </w:r>
      <w:r>
        <w:rPr>
          <w:rFonts w:ascii="Arial" w:hAnsi="Arial" w:cs="Arial"/>
        </w:rPr>
        <w:t>owers.</w:t>
      </w:r>
    </w:p>
    <w:p w14:paraId="4667650D" w14:textId="77777777" w:rsidR="00D32D1B" w:rsidRDefault="00D32D1B" w:rsidP="00600E33">
      <w:pPr>
        <w:pStyle w:val="HTMLPreformatted"/>
        <w:numPr>
          <w:ilvl w:val="0"/>
          <w:numId w:val="1"/>
        </w:numPr>
        <w:jc w:val="both"/>
        <w:rPr>
          <w:rFonts w:ascii="Arial" w:hAnsi="Arial" w:cs="Arial"/>
          <w:szCs w:val="24"/>
        </w:rPr>
      </w:pPr>
      <w:r>
        <w:rPr>
          <w:rFonts w:ascii="Arial" w:hAnsi="Arial" w:cs="Arial"/>
          <w:szCs w:val="24"/>
        </w:rPr>
        <w:t xml:space="preserve">IC 33-2505. </w:t>
      </w:r>
      <w:r w:rsidR="004370D9">
        <w:rPr>
          <w:rFonts w:ascii="Arial" w:hAnsi="Arial" w:cs="Arial"/>
          <w:szCs w:val="24"/>
        </w:rPr>
        <w:t>Digital repository for state publications</w:t>
      </w:r>
      <w:r>
        <w:rPr>
          <w:rFonts w:ascii="Arial" w:hAnsi="Arial" w:cs="Arial"/>
          <w:szCs w:val="24"/>
        </w:rPr>
        <w:t>.</w:t>
      </w:r>
    </w:p>
    <w:p w14:paraId="079C90D2" w14:textId="0EAC5363" w:rsidR="00D32D1B" w:rsidRDefault="00D32D1B" w:rsidP="00600E33">
      <w:pPr>
        <w:pStyle w:val="HTMLPreformatted"/>
        <w:numPr>
          <w:ilvl w:val="0"/>
          <w:numId w:val="1"/>
        </w:numPr>
        <w:jc w:val="both"/>
        <w:rPr>
          <w:rFonts w:ascii="Arial" w:hAnsi="Arial" w:cs="Arial"/>
          <w:szCs w:val="24"/>
        </w:rPr>
      </w:pPr>
      <w:r>
        <w:rPr>
          <w:rFonts w:ascii="Arial" w:hAnsi="Arial" w:cs="Arial"/>
          <w:szCs w:val="24"/>
        </w:rPr>
        <w:t xml:space="preserve">IC 33-2506. Library </w:t>
      </w:r>
      <w:r w:rsidR="002D0CFB">
        <w:rPr>
          <w:rFonts w:ascii="Arial" w:hAnsi="Arial" w:cs="Arial"/>
          <w:szCs w:val="24"/>
        </w:rPr>
        <w:t>s</w:t>
      </w:r>
      <w:r>
        <w:rPr>
          <w:rFonts w:ascii="Arial" w:hAnsi="Arial" w:cs="Arial"/>
          <w:szCs w:val="24"/>
        </w:rPr>
        <w:t xml:space="preserve">ervices </w:t>
      </w:r>
      <w:r w:rsidR="002D0CFB">
        <w:rPr>
          <w:rFonts w:ascii="Arial" w:hAnsi="Arial" w:cs="Arial"/>
          <w:szCs w:val="24"/>
        </w:rPr>
        <w:t>improvement f</w:t>
      </w:r>
      <w:r>
        <w:rPr>
          <w:rFonts w:ascii="Arial" w:hAnsi="Arial" w:cs="Arial"/>
          <w:szCs w:val="24"/>
        </w:rPr>
        <w:t xml:space="preserve">und </w:t>
      </w:r>
      <w:r w:rsidR="00C44AA7">
        <w:rPr>
          <w:rFonts w:ascii="Arial" w:hAnsi="Arial" w:cs="Arial"/>
          <w:szCs w:val="24"/>
        </w:rPr>
        <w:t>–</w:t>
      </w:r>
      <w:r>
        <w:rPr>
          <w:rFonts w:ascii="Arial" w:hAnsi="Arial" w:cs="Arial"/>
          <w:szCs w:val="24"/>
        </w:rPr>
        <w:t xml:space="preserve"> Established.</w:t>
      </w:r>
    </w:p>
    <w:p w14:paraId="1C6C8DC0" w14:textId="77777777" w:rsidR="00A26729" w:rsidRDefault="00A26729" w:rsidP="00600E33">
      <w:pPr>
        <w:pStyle w:val="HTMLPreformatted"/>
        <w:numPr>
          <w:ilvl w:val="0"/>
          <w:numId w:val="1"/>
        </w:numPr>
        <w:jc w:val="both"/>
        <w:rPr>
          <w:rFonts w:ascii="Arial" w:hAnsi="Arial" w:cs="Arial"/>
          <w:szCs w:val="24"/>
        </w:rPr>
      </w:pPr>
      <w:r>
        <w:rPr>
          <w:rFonts w:ascii="Arial" w:hAnsi="Arial" w:cs="Arial"/>
          <w:szCs w:val="24"/>
        </w:rPr>
        <w:t>IC 33-2611 and 33-2726. Public library annual fiscal report</w:t>
      </w:r>
      <w:r w:rsidR="002D0CFB">
        <w:rPr>
          <w:rFonts w:ascii="Arial" w:hAnsi="Arial" w:cs="Arial"/>
          <w:szCs w:val="24"/>
        </w:rPr>
        <w:t>s</w:t>
      </w:r>
      <w:r>
        <w:rPr>
          <w:rFonts w:ascii="Arial" w:hAnsi="Arial" w:cs="Arial"/>
          <w:szCs w:val="24"/>
        </w:rPr>
        <w:t>.</w:t>
      </w:r>
    </w:p>
    <w:p w14:paraId="0B86C0D7" w14:textId="0CDF5D79" w:rsidR="00BB3BA5" w:rsidRDefault="00BB3BA5" w:rsidP="00600E33">
      <w:pPr>
        <w:pStyle w:val="HTMLPreformatted"/>
        <w:numPr>
          <w:ilvl w:val="0"/>
          <w:numId w:val="1"/>
        </w:numPr>
        <w:jc w:val="both"/>
        <w:rPr>
          <w:rFonts w:ascii="Arial" w:hAnsi="Arial" w:cs="Arial"/>
          <w:szCs w:val="24"/>
        </w:rPr>
      </w:pPr>
      <w:r>
        <w:rPr>
          <w:rFonts w:ascii="Arial" w:hAnsi="Arial" w:cs="Arial"/>
          <w:szCs w:val="24"/>
        </w:rPr>
        <w:t>IC 67-2601(2)(f). Places the Commission for Libraries in the Department of Self-Governing Agencies.</w:t>
      </w:r>
    </w:p>
    <w:p w14:paraId="7011A074" w14:textId="3704E06C" w:rsidR="00CE18C6" w:rsidRDefault="00CE18C6" w:rsidP="00600E33">
      <w:pPr>
        <w:pStyle w:val="HTMLPreformatted"/>
        <w:numPr>
          <w:ilvl w:val="0"/>
          <w:numId w:val="1"/>
        </w:numPr>
        <w:jc w:val="both"/>
        <w:rPr>
          <w:rFonts w:ascii="Arial" w:hAnsi="Arial" w:cs="Arial"/>
          <w:szCs w:val="24"/>
        </w:rPr>
      </w:pPr>
      <w:r>
        <w:rPr>
          <w:rFonts w:ascii="Arial" w:hAnsi="Arial" w:cs="Arial"/>
          <w:szCs w:val="24"/>
        </w:rPr>
        <w:t>IC 33-5602 through 33-5604. Education Opportunity Resource Act – Purpose; Committee; Powers and Duties.</w:t>
      </w:r>
    </w:p>
    <w:p w14:paraId="4BA0B386" w14:textId="682B0E8F" w:rsidR="00D32D1B" w:rsidRDefault="00D32D1B" w:rsidP="00600E33">
      <w:pPr>
        <w:numPr>
          <w:ilvl w:val="0"/>
          <w:numId w:val="1"/>
        </w:numPr>
        <w:tabs>
          <w:tab w:val="left" w:pos="720"/>
          <w:tab w:val="left" w:pos="1080"/>
        </w:tabs>
        <w:jc w:val="both"/>
        <w:rPr>
          <w:rFonts w:ascii="Arial" w:hAnsi="Arial" w:cs="Arial"/>
          <w:sz w:val="20"/>
        </w:rPr>
      </w:pPr>
      <w:r>
        <w:rPr>
          <w:rFonts w:ascii="Arial" w:hAnsi="Arial" w:cs="Arial"/>
          <w:sz w:val="20"/>
        </w:rPr>
        <w:t>US Code</w:t>
      </w:r>
      <w:r w:rsidR="00A26729">
        <w:rPr>
          <w:rFonts w:ascii="Arial" w:hAnsi="Arial" w:cs="Arial"/>
          <w:sz w:val="20"/>
        </w:rPr>
        <w:t xml:space="preserve"> Title 20,</w:t>
      </w:r>
      <w:r>
        <w:rPr>
          <w:rFonts w:ascii="Arial" w:hAnsi="Arial" w:cs="Arial"/>
          <w:sz w:val="20"/>
        </w:rPr>
        <w:t xml:space="preserve"> Subchapter II, Library Services and Technology</w:t>
      </w:r>
      <w:r w:rsidR="00A26729">
        <w:rPr>
          <w:rFonts w:ascii="Arial" w:hAnsi="Arial" w:cs="Arial"/>
          <w:sz w:val="20"/>
        </w:rPr>
        <w:t xml:space="preserve"> Act</w:t>
      </w:r>
      <w:r>
        <w:rPr>
          <w:rFonts w:ascii="Arial" w:hAnsi="Arial" w:cs="Arial"/>
          <w:sz w:val="20"/>
        </w:rPr>
        <w:t>. As certified by the Idaho Attorney General, the Idaho Commission for Libraries is the official state agency in Idaho with the authority to develop, submit, and administer the State Plan under the Library Services and Technology Act.</w:t>
      </w:r>
    </w:p>
    <w:p w14:paraId="31A6D27F" w14:textId="67E62CCC" w:rsidR="00253A44" w:rsidRDefault="00253A44" w:rsidP="0007543C">
      <w:pPr>
        <w:rPr>
          <w:rFonts w:ascii="Arial" w:hAnsi="Arial" w:cs="Arial"/>
          <w:bCs/>
        </w:rPr>
      </w:pPr>
    </w:p>
    <w:p w14:paraId="04518613" w14:textId="469132F6" w:rsidR="00253A44" w:rsidRDefault="00253A44" w:rsidP="0007543C">
      <w:pPr>
        <w:rPr>
          <w:rFonts w:ascii="Arial" w:hAnsi="Arial" w:cs="Arial"/>
          <w:bCs/>
        </w:rPr>
      </w:pPr>
    </w:p>
    <w:p w14:paraId="73ACC42F" w14:textId="77777777" w:rsidR="000A77A5" w:rsidRDefault="000A77A5" w:rsidP="0007543C">
      <w:pPr>
        <w:rPr>
          <w:rFonts w:ascii="Arial" w:hAnsi="Arial" w:cs="Arial"/>
          <w:bCs/>
        </w:rPr>
      </w:pPr>
    </w:p>
    <w:p w14:paraId="06F97181" w14:textId="77777777" w:rsidR="000A77A5" w:rsidRDefault="000A77A5" w:rsidP="0007543C">
      <w:pPr>
        <w:rPr>
          <w:rFonts w:ascii="Arial" w:hAnsi="Arial" w:cs="Arial"/>
          <w:bCs/>
        </w:rPr>
      </w:pPr>
    </w:p>
    <w:p w14:paraId="4B5CD9B7" w14:textId="44190CDC" w:rsidR="00253A44" w:rsidRDefault="00253A44" w:rsidP="0007543C">
      <w:pPr>
        <w:rPr>
          <w:rFonts w:ascii="Arial" w:hAnsi="Arial" w:cs="Arial"/>
          <w:bCs/>
        </w:rPr>
      </w:pPr>
    </w:p>
    <w:p w14:paraId="6BFB1E45" w14:textId="77777777" w:rsidR="001D59D0" w:rsidRDefault="001D59D0" w:rsidP="0007543C">
      <w:pPr>
        <w:jc w:val="both"/>
        <w:rPr>
          <w:rFonts w:ascii="Arial" w:hAnsi="Arial" w:cs="Arial"/>
          <w:b/>
          <w:bCs/>
        </w:rPr>
      </w:pPr>
      <w:bookmarkStart w:id="2" w:name="_Hlk78298706"/>
      <w:r>
        <w:rPr>
          <w:rFonts w:ascii="Arial" w:hAnsi="Arial" w:cs="Arial"/>
          <w:b/>
          <w:bCs/>
        </w:rPr>
        <w:t>Revenue and Expenditures</w:t>
      </w:r>
    </w:p>
    <w:p w14:paraId="3D7DBE7E" w14:textId="77777777" w:rsidR="00AB6A1D" w:rsidRDefault="00AB6A1D" w:rsidP="0007543C">
      <w:pPr>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20"/>
        <w:gridCol w:w="1659"/>
        <w:gridCol w:w="1659"/>
        <w:gridCol w:w="1659"/>
        <w:gridCol w:w="1659"/>
      </w:tblGrid>
      <w:tr w:rsidR="001544A4" w14:paraId="02B479C3" w14:textId="77777777" w:rsidTr="00923BB5">
        <w:tc>
          <w:tcPr>
            <w:tcW w:w="3420" w:type="dxa"/>
            <w:shd w:val="clear" w:color="auto" w:fill="1F497D" w:themeFill="text2"/>
          </w:tcPr>
          <w:p w14:paraId="1BC53315" w14:textId="77777777" w:rsidR="001544A4" w:rsidRDefault="001544A4" w:rsidP="001544A4">
            <w:pPr>
              <w:rPr>
                <w:rFonts w:ascii="Arial" w:hAnsi="Arial" w:cs="Arial"/>
                <w:b/>
                <w:bCs/>
                <w:color w:val="FFFFFF"/>
                <w:sz w:val="20"/>
              </w:rPr>
            </w:pPr>
            <w:r>
              <w:rPr>
                <w:rFonts w:ascii="Arial" w:hAnsi="Arial" w:cs="Arial"/>
                <w:b/>
                <w:bCs/>
                <w:color w:val="FFFFFF"/>
                <w:sz w:val="20"/>
              </w:rPr>
              <w:t>Revenue</w:t>
            </w:r>
          </w:p>
        </w:tc>
        <w:tc>
          <w:tcPr>
            <w:tcW w:w="1659" w:type="dxa"/>
            <w:shd w:val="clear" w:color="auto" w:fill="1F497D" w:themeFill="text2"/>
          </w:tcPr>
          <w:p w14:paraId="2A1AFD8B" w14:textId="50B72C65" w:rsidR="001544A4" w:rsidRDefault="001544A4" w:rsidP="001544A4">
            <w:pPr>
              <w:jc w:val="right"/>
              <w:rPr>
                <w:rFonts w:ascii="Arial" w:hAnsi="Arial" w:cs="Arial"/>
                <w:b/>
                <w:bCs/>
                <w:color w:val="FFFFFF"/>
                <w:sz w:val="20"/>
              </w:rPr>
            </w:pPr>
            <w:r>
              <w:rPr>
                <w:rFonts w:ascii="Arial" w:hAnsi="Arial" w:cs="Arial"/>
                <w:b/>
                <w:bCs/>
                <w:color w:val="FFFFFF"/>
                <w:sz w:val="20"/>
              </w:rPr>
              <w:t>FY 2022</w:t>
            </w:r>
          </w:p>
        </w:tc>
        <w:tc>
          <w:tcPr>
            <w:tcW w:w="1659" w:type="dxa"/>
            <w:shd w:val="clear" w:color="auto" w:fill="1F497D" w:themeFill="text2"/>
          </w:tcPr>
          <w:p w14:paraId="687D95E9" w14:textId="0927006C" w:rsidR="001544A4" w:rsidRDefault="001544A4" w:rsidP="001544A4">
            <w:pPr>
              <w:jc w:val="right"/>
              <w:rPr>
                <w:rFonts w:ascii="Arial" w:hAnsi="Arial" w:cs="Arial"/>
                <w:b/>
                <w:bCs/>
                <w:color w:val="FFFFFF"/>
                <w:sz w:val="20"/>
              </w:rPr>
            </w:pPr>
            <w:r>
              <w:rPr>
                <w:rFonts w:ascii="Arial" w:hAnsi="Arial" w:cs="Arial"/>
                <w:b/>
                <w:bCs/>
                <w:color w:val="FFFFFF"/>
                <w:sz w:val="20"/>
              </w:rPr>
              <w:t>FY 2023</w:t>
            </w:r>
          </w:p>
        </w:tc>
        <w:tc>
          <w:tcPr>
            <w:tcW w:w="1659" w:type="dxa"/>
            <w:shd w:val="clear" w:color="auto" w:fill="1F497D" w:themeFill="text2"/>
          </w:tcPr>
          <w:p w14:paraId="34ECF25F" w14:textId="372AA4CD" w:rsidR="001544A4" w:rsidRDefault="001544A4" w:rsidP="001544A4">
            <w:pPr>
              <w:jc w:val="right"/>
              <w:rPr>
                <w:rFonts w:ascii="Arial" w:hAnsi="Arial" w:cs="Arial"/>
                <w:b/>
                <w:bCs/>
                <w:color w:val="FFFFFF"/>
                <w:sz w:val="20"/>
              </w:rPr>
            </w:pPr>
            <w:r>
              <w:rPr>
                <w:rFonts w:ascii="Arial" w:hAnsi="Arial" w:cs="Arial"/>
                <w:b/>
                <w:bCs/>
                <w:color w:val="FFFFFF"/>
                <w:sz w:val="20"/>
              </w:rPr>
              <w:t>FY 2024</w:t>
            </w:r>
          </w:p>
        </w:tc>
        <w:tc>
          <w:tcPr>
            <w:tcW w:w="1659" w:type="dxa"/>
            <w:shd w:val="clear" w:color="auto" w:fill="1F497D" w:themeFill="text2"/>
          </w:tcPr>
          <w:p w14:paraId="3BE69127" w14:textId="04088B40" w:rsidR="001544A4" w:rsidRDefault="001544A4" w:rsidP="001544A4">
            <w:pPr>
              <w:jc w:val="right"/>
              <w:rPr>
                <w:rFonts w:ascii="Arial" w:hAnsi="Arial" w:cs="Arial"/>
                <w:b/>
                <w:bCs/>
                <w:color w:val="FFFFFF"/>
                <w:sz w:val="20"/>
              </w:rPr>
            </w:pPr>
            <w:r>
              <w:rPr>
                <w:rFonts w:ascii="Arial" w:hAnsi="Arial" w:cs="Arial"/>
                <w:b/>
                <w:bCs/>
                <w:color w:val="FFFFFF"/>
                <w:sz w:val="20"/>
              </w:rPr>
              <w:t>FY 2025</w:t>
            </w:r>
          </w:p>
        </w:tc>
      </w:tr>
      <w:tr w:rsidR="001544A4" w14:paraId="616A9D06" w14:textId="77777777" w:rsidTr="00923BB5">
        <w:tc>
          <w:tcPr>
            <w:tcW w:w="3420" w:type="dxa"/>
            <w:vAlign w:val="bottom"/>
          </w:tcPr>
          <w:p w14:paraId="60AFE24A" w14:textId="77777777" w:rsidR="001544A4" w:rsidRDefault="001544A4" w:rsidP="001544A4">
            <w:pPr>
              <w:rPr>
                <w:rFonts w:ascii="Arial" w:eastAsia="Arial Unicode MS" w:hAnsi="Arial" w:cs="Arial"/>
                <w:color w:val="000000"/>
                <w:sz w:val="20"/>
                <w:szCs w:val="20"/>
              </w:rPr>
            </w:pPr>
            <w:r>
              <w:rPr>
                <w:rFonts w:ascii="Arial" w:hAnsi="Arial" w:cs="Arial"/>
                <w:color w:val="000000"/>
                <w:sz w:val="20"/>
                <w:szCs w:val="20"/>
              </w:rPr>
              <w:t>General Fund</w:t>
            </w:r>
          </w:p>
        </w:tc>
        <w:tc>
          <w:tcPr>
            <w:tcW w:w="1659" w:type="dxa"/>
            <w:vAlign w:val="center"/>
          </w:tcPr>
          <w:p w14:paraId="04146C6E" w14:textId="2A42954D" w:rsidR="001544A4" w:rsidRDefault="001544A4" w:rsidP="001544A4">
            <w:pPr>
              <w:jc w:val="right"/>
              <w:rPr>
                <w:rFonts w:ascii="Arial" w:hAnsi="Arial" w:cs="Arial"/>
                <w:color w:val="000000"/>
                <w:sz w:val="20"/>
                <w:szCs w:val="20"/>
              </w:rPr>
            </w:pPr>
            <w:r w:rsidRPr="52652DF7">
              <w:rPr>
                <w:rFonts w:ascii="Arial" w:hAnsi="Arial" w:cs="Arial"/>
                <w:color w:val="000000" w:themeColor="text1"/>
                <w:sz w:val="20"/>
                <w:szCs w:val="20"/>
              </w:rPr>
              <w:t>$4,255,880</w:t>
            </w:r>
          </w:p>
        </w:tc>
        <w:tc>
          <w:tcPr>
            <w:tcW w:w="1659" w:type="dxa"/>
            <w:vAlign w:val="center"/>
          </w:tcPr>
          <w:p w14:paraId="1E9079E7" w14:textId="57666797" w:rsidR="001544A4" w:rsidRDefault="001544A4" w:rsidP="001544A4">
            <w:pPr>
              <w:jc w:val="right"/>
              <w:rPr>
                <w:rFonts w:ascii="Arial" w:hAnsi="Arial" w:cs="Arial"/>
                <w:color w:val="000000"/>
                <w:sz w:val="20"/>
                <w:szCs w:val="20"/>
              </w:rPr>
            </w:pPr>
            <w:r w:rsidRPr="79720D0A">
              <w:rPr>
                <w:rFonts w:ascii="Arial" w:hAnsi="Arial" w:cs="Arial"/>
                <w:color w:val="000000" w:themeColor="text1"/>
                <w:sz w:val="20"/>
                <w:szCs w:val="20"/>
              </w:rPr>
              <w:t>$4,468,960</w:t>
            </w:r>
          </w:p>
        </w:tc>
        <w:tc>
          <w:tcPr>
            <w:tcW w:w="1659" w:type="dxa"/>
            <w:shd w:val="clear" w:color="auto" w:fill="auto"/>
            <w:vAlign w:val="center"/>
          </w:tcPr>
          <w:p w14:paraId="27A14BE7" w14:textId="0EA0E3AD" w:rsidR="001544A4" w:rsidRDefault="001544A4" w:rsidP="001544A4">
            <w:pPr>
              <w:jc w:val="right"/>
              <w:rPr>
                <w:rFonts w:ascii="Arial" w:hAnsi="Arial" w:cs="Arial"/>
                <w:color w:val="000000"/>
                <w:sz w:val="20"/>
                <w:szCs w:val="20"/>
              </w:rPr>
            </w:pPr>
            <w:r w:rsidRPr="2A2373F3">
              <w:rPr>
                <w:rFonts w:ascii="Arial" w:hAnsi="Arial" w:cs="Arial"/>
                <w:color w:val="000000" w:themeColor="text1"/>
                <w:sz w:val="20"/>
                <w:szCs w:val="20"/>
              </w:rPr>
              <w:t>$</w:t>
            </w:r>
            <w:r>
              <w:rPr>
                <w:rFonts w:ascii="Arial" w:hAnsi="Arial" w:cs="Arial"/>
                <w:color w:val="000000" w:themeColor="text1"/>
                <w:sz w:val="20"/>
                <w:szCs w:val="20"/>
              </w:rPr>
              <w:t>4,618,800</w:t>
            </w:r>
          </w:p>
        </w:tc>
        <w:tc>
          <w:tcPr>
            <w:tcW w:w="1659" w:type="dxa"/>
            <w:shd w:val="clear" w:color="auto" w:fill="auto"/>
            <w:vAlign w:val="center"/>
          </w:tcPr>
          <w:p w14:paraId="1C052831" w14:textId="37191F6F" w:rsidR="001544A4" w:rsidRPr="00133A72" w:rsidRDefault="001544A4" w:rsidP="001544A4">
            <w:pPr>
              <w:jc w:val="right"/>
              <w:rPr>
                <w:rFonts w:ascii="Arial" w:hAnsi="Arial" w:cs="Arial"/>
                <w:color w:val="000000"/>
                <w:sz w:val="20"/>
                <w:szCs w:val="20"/>
              </w:rPr>
            </w:pPr>
          </w:p>
        </w:tc>
      </w:tr>
      <w:tr w:rsidR="001544A4" w14:paraId="30B2EE22" w14:textId="77777777" w:rsidTr="00923BB5">
        <w:tc>
          <w:tcPr>
            <w:tcW w:w="3420" w:type="dxa"/>
            <w:vAlign w:val="bottom"/>
          </w:tcPr>
          <w:p w14:paraId="5216E172" w14:textId="5A316D07" w:rsidR="001544A4" w:rsidRPr="00B61133" w:rsidRDefault="001544A4" w:rsidP="001544A4">
            <w:pPr>
              <w:rPr>
                <w:rFonts w:ascii="Arial" w:hAnsi="Arial" w:cs="Arial"/>
                <w:color w:val="000000"/>
                <w:sz w:val="19"/>
                <w:szCs w:val="19"/>
              </w:rPr>
            </w:pPr>
            <w:r w:rsidRPr="00B61133">
              <w:rPr>
                <w:rFonts w:ascii="Arial" w:hAnsi="Arial" w:cs="Arial"/>
                <w:color w:val="000000"/>
                <w:sz w:val="19"/>
                <w:szCs w:val="19"/>
              </w:rPr>
              <w:t>Library Services Improvement</w:t>
            </w:r>
            <w:r>
              <w:rPr>
                <w:rFonts w:ascii="Arial" w:hAnsi="Arial" w:cs="Arial"/>
                <w:color w:val="000000"/>
                <w:sz w:val="19"/>
                <w:szCs w:val="19"/>
              </w:rPr>
              <w:t xml:space="preserve"> </w:t>
            </w:r>
            <w:r w:rsidRPr="00B61133">
              <w:rPr>
                <w:rFonts w:ascii="Arial" w:hAnsi="Arial" w:cs="Arial"/>
                <w:color w:val="000000"/>
                <w:sz w:val="19"/>
                <w:szCs w:val="19"/>
              </w:rPr>
              <w:t>Fund</w:t>
            </w:r>
          </w:p>
        </w:tc>
        <w:tc>
          <w:tcPr>
            <w:tcW w:w="1659" w:type="dxa"/>
            <w:vAlign w:val="center"/>
          </w:tcPr>
          <w:p w14:paraId="2BFFCA24" w14:textId="541E2495" w:rsidR="001544A4" w:rsidRDefault="001544A4" w:rsidP="001544A4">
            <w:pPr>
              <w:jc w:val="right"/>
              <w:rPr>
                <w:rFonts w:ascii="Arial" w:hAnsi="Arial" w:cs="Arial"/>
                <w:color w:val="000000"/>
                <w:sz w:val="20"/>
                <w:szCs w:val="20"/>
              </w:rPr>
            </w:pPr>
            <w:r w:rsidRPr="52652DF7">
              <w:rPr>
                <w:rFonts w:ascii="Arial" w:hAnsi="Arial" w:cs="Arial"/>
                <w:color w:val="000000" w:themeColor="text1"/>
                <w:sz w:val="20"/>
                <w:szCs w:val="20"/>
              </w:rPr>
              <w:t>$243,703</w:t>
            </w:r>
          </w:p>
        </w:tc>
        <w:tc>
          <w:tcPr>
            <w:tcW w:w="1659" w:type="dxa"/>
            <w:vAlign w:val="center"/>
          </w:tcPr>
          <w:p w14:paraId="0EFA8A71" w14:textId="236E529B" w:rsidR="001544A4" w:rsidRDefault="001544A4" w:rsidP="001544A4">
            <w:pPr>
              <w:jc w:val="right"/>
              <w:rPr>
                <w:rFonts w:ascii="Arial" w:hAnsi="Arial" w:cs="Arial"/>
                <w:color w:val="000000"/>
                <w:sz w:val="20"/>
                <w:szCs w:val="20"/>
              </w:rPr>
            </w:pPr>
            <w:r w:rsidRPr="79720D0A">
              <w:rPr>
                <w:rFonts w:ascii="Arial" w:hAnsi="Arial" w:cs="Arial"/>
                <w:color w:val="000000" w:themeColor="text1"/>
                <w:sz w:val="20"/>
                <w:szCs w:val="20"/>
              </w:rPr>
              <w:t>$124,730</w:t>
            </w:r>
          </w:p>
        </w:tc>
        <w:tc>
          <w:tcPr>
            <w:tcW w:w="1659" w:type="dxa"/>
            <w:shd w:val="clear" w:color="auto" w:fill="auto"/>
            <w:vAlign w:val="center"/>
          </w:tcPr>
          <w:p w14:paraId="3C9DCFD7" w14:textId="5A63BC0E" w:rsidR="001544A4" w:rsidRDefault="001544A4" w:rsidP="001544A4">
            <w:pPr>
              <w:jc w:val="right"/>
              <w:rPr>
                <w:rFonts w:ascii="Arial" w:hAnsi="Arial" w:cs="Arial"/>
                <w:color w:val="000000"/>
                <w:sz w:val="20"/>
                <w:szCs w:val="20"/>
              </w:rPr>
            </w:pPr>
            <w:r w:rsidRPr="4985FE67">
              <w:rPr>
                <w:rFonts w:ascii="Arial" w:hAnsi="Arial" w:cs="Arial"/>
                <w:color w:val="000000" w:themeColor="text1"/>
                <w:sz w:val="20"/>
                <w:szCs w:val="20"/>
              </w:rPr>
              <w:t>$</w:t>
            </w:r>
            <w:r>
              <w:rPr>
                <w:rFonts w:ascii="Arial" w:hAnsi="Arial" w:cs="Arial"/>
                <w:color w:val="000000" w:themeColor="text1"/>
                <w:sz w:val="20"/>
                <w:szCs w:val="20"/>
              </w:rPr>
              <w:t>82,893</w:t>
            </w:r>
          </w:p>
        </w:tc>
        <w:tc>
          <w:tcPr>
            <w:tcW w:w="1659" w:type="dxa"/>
            <w:shd w:val="clear" w:color="auto" w:fill="auto"/>
            <w:vAlign w:val="center"/>
          </w:tcPr>
          <w:p w14:paraId="7AE48A40" w14:textId="69F36579" w:rsidR="001544A4" w:rsidRPr="00133A72" w:rsidRDefault="001544A4" w:rsidP="001544A4">
            <w:pPr>
              <w:jc w:val="right"/>
              <w:rPr>
                <w:rFonts w:ascii="Arial" w:hAnsi="Arial" w:cs="Arial"/>
                <w:color w:val="000000"/>
                <w:sz w:val="20"/>
                <w:szCs w:val="20"/>
              </w:rPr>
            </w:pPr>
          </w:p>
        </w:tc>
      </w:tr>
      <w:tr w:rsidR="001544A4" w14:paraId="2A3475F4" w14:textId="77777777" w:rsidTr="00923BB5">
        <w:tc>
          <w:tcPr>
            <w:tcW w:w="3420" w:type="dxa"/>
            <w:vAlign w:val="bottom"/>
          </w:tcPr>
          <w:p w14:paraId="5B666C16" w14:textId="77777777" w:rsidR="001544A4" w:rsidRDefault="001544A4" w:rsidP="001544A4">
            <w:pPr>
              <w:rPr>
                <w:rFonts w:ascii="Arial" w:eastAsia="Arial Unicode MS" w:hAnsi="Arial" w:cs="Arial"/>
                <w:color w:val="000000"/>
                <w:sz w:val="20"/>
                <w:szCs w:val="20"/>
              </w:rPr>
            </w:pPr>
            <w:r>
              <w:rPr>
                <w:rFonts w:ascii="Arial" w:hAnsi="Arial" w:cs="Arial"/>
                <w:color w:val="000000"/>
                <w:sz w:val="20"/>
                <w:szCs w:val="20"/>
              </w:rPr>
              <w:t>Federal Grant</w:t>
            </w:r>
          </w:p>
        </w:tc>
        <w:tc>
          <w:tcPr>
            <w:tcW w:w="1659" w:type="dxa"/>
            <w:vAlign w:val="center"/>
          </w:tcPr>
          <w:p w14:paraId="370CFB5C" w14:textId="0673D276" w:rsidR="001544A4" w:rsidRDefault="001544A4" w:rsidP="001544A4">
            <w:pPr>
              <w:jc w:val="right"/>
              <w:rPr>
                <w:rFonts w:ascii="Arial" w:hAnsi="Arial" w:cs="Arial"/>
                <w:color w:val="000000"/>
                <w:sz w:val="20"/>
                <w:szCs w:val="20"/>
              </w:rPr>
            </w:pPr>
            <w:r w:rsidRPr="52652DF7">
              <w:rPr>
                <w:rFonts w:ascii="Arial" w:hAnsi="Arial" w:cs="Arial"/>
                <w:color w:val="000000" w:themeColor="text1"/>
                <w:sz w:val="20"/>
                <w:szCs w:val="20"/>
              </w:rPr>
              <w:t>$1,483,636</w:t>
            </w:r>
          </w:p>
        </w:tc>
        <w:tc>
          <w:tcPr>
            <w:tcW w:w="1659" w:type="dxa"/>
            <w:vAlign w:val="center"/>
          </w:tcPr>
          <w:p w14:paraId="0813D8DC" w14:textId="245DB616" w:rsidR="001544A4" w:rsidRDefault="001544A4" w:rsidP="001544A4">
            <w:pPr>
              <w:jc w:val="right"/>
              <w:rPr>
                <w:rFonts w:ascii="Arial" w:hAnsi="Arial" w:cs="Arial"/>
                <w:color w:val="000000"/>
                <w:sz w:val="20"/>
                <w:szCs w:val="20"/>
              </w:rPr>
            </w:pPr>
            <w:r w:rsidRPr="79720D0A">
              <w:rPr>
                <w:rFonts w:ascii="Arial" w:hAnsi="Arial" w:cs="Arial"/>
                <w:color w:val="000000" w:themeColor="text1"/>
                <w:sz w:val="20"/>
                <w:szCs w:val="20"/>
              </w:rPr>
              <w:t>$1,956,438</w:t>
            </w:r>
          </w:p>
        </w:tc>
        <w:tc>
          <w:tcPr>
            <w:tcW w:w="1659" w:type="dxa"/>
            <w:shd w:val="clear" w:color="auto" w:fill="auto"/>
            <w:vAlign w:val="center"/>
          </w:tcPr>
          <w:p w14:paraId="7C731AA1" w14:textId="3A1F2CD4" w:rsidR="001544A4" w:rsidRDefault="001544A4" w:rsidP="001544A4">
            <w:pPr>
              <w:jc w:val="right"/>
              <w:rPr>
                <w:rFonts w:ascii="Arial" w:hAnsi="Arial" w:cs="Arial"/>
                <w:color w:val="000000"/>
                <w:sz w:val="20"/>
                <w:szCs w:val="20"/>
              </w:rPr>
            </w:pPr>
            <w:r>
              <w:rPr>
                <w:rFonts w:ascii="Arial" w:hAnsi="Arial" w:cs="Arial"/>
                <w:color w:val="000000"/>
                <w:sz w:val="20"/>
                <w:szCs w:val="20"/>
              </w:rPr>
              <w:t>$2,070,611</w:t>
            </w:r>
          </w:p>
        </w:tc>
        <w:tc>
          <w:tcPr>
            <w:tcW w:w="1659" w:type="dxa"/>
            <w:shd w:val="clear" w:color="auto" w:fill="auto"/>
            <w:vAlign w:val="center"/>
          </w:tcPr>
          <w:p w14:paraId="00E428D1" w14:textId="491821B9" w:rsidR="001544A4" w:rsidRPr="00133A72" w:rsidRDefault="001544A4" w:rsidP="001544A4">
            <w:pPr>
              <w:jc w:val="right"/>
              <w:rPr>
                <w:rFonts w:ascii="Arial" w:hAnsi="Arial" w:cs="Arial"/>
                <w:color w:val="000000"/>
                <w:sz w:val="20"/>
                <w:szCs w:val="20"/>
              </w:rPr>
            </w:pPr>
          </w:p>
        </w:tc>
      </w:tr>
      <w:tr w:rsidR="001544A4" w:rsidRPr="00133A72" w14:paraId="26416622" w14:textId="77777777" w:rsidTr="00923BB5">
        <w:tc>
          <w:tcPr>
            <w:tcW w:w="3420" w:type="dxa"/>
            <w:vAlign w:val="bottom"/>
          </w:tcPr>
          <w:p w14:paraId="775563CB" w14:textId="1C893D33" w:rsidR="001544A4" w:rsidRPr="005079F6" w:rsidRDefault="001544A4" w:rsidP="001544A4">
            <w:pPr>
              <w:rPr>
                <w:rFonts w:ascii="Arial" w:hAnsi="Arial" w:cs="Arial"/>
                <w:color w:val="000000"/>
                <w:sz w:val="20"/>
                <w:szCs w:val="20"/>
              </w:rPr>
            </w:pPr>
            <w:r>
              <w:rPr>
                <w:rFonts w:ascii="Arial" w:hAnsi="Arial" w:cs="Arial"/>
                <w:color w:val="000000"/>
                <w:sz w:val="20"/>
                <w:szCs w:val="20"/>
              </w:rPr>
              <w:t>Miscellaneous Revenue</w:t>
            </w:r>
          </w:p>
        </w:tc>
        <w:tc>
          <w:tcPr>
            <w:tcW w:w="1659" w:type="dxa"/>
            <w:vAlign w:val="center"/>
          </w:tcPr>
          <w:p w14:paraId="21E2564A" w14:textId="13EF13AE" w:rsidR="001544A4" w:rsidRPr="005079F6" w:rsidRDefault="001544A4" w:rsidP="001544A4">
            <w:pPr>
              <w:jc w:val="right"/>
              <w:rPr>
                <w:rFonts w:ascii="Arial" w:hAnsi="Arial" w:cs="Arial"/>
                <w:color w:val="000000"/>
                <w:sz w:val="20"/>
                <w:szCs w:val="20"/>
              </w:rPr>
            </w:pPr>
            <w:r>
              <w:rPr>
                <w:rFonts w:ascii="Arial" w:hAnsi="Arial" w:cs="Arial"/>
                <w:color w:val="000000" w:themeColor="text1"/>
                <w:sz w:val="20"/>
                <w:szCs w:val="20"/>
              </w:rPr>
              <w:t>$23,502</w:t>
            </w:r>
          </w:p>
        </w:tc>
        <w:tc>
          <w:tcPr>
            <w:tcW w:w="1659" w:type="dxa"/>
            <w:vAlign w:val="center"/>
          </w:tcPr>
          <w:p w14:paraId="03150BF6" w14:textId="55D2C883" w:rsidR="001544A4" w:rsidRPr="52652DF7" w:rsidRDefault="001544A4" w:rsidP="001544A4">
            <w:pPr>
              <w:jc w:val="right"/>
              <w:rPr>
                <w:rFonts w:ascii="Arial" w:hAnsi="Arial" w:cs="Arial"/>
                <w:color w:val="000000" w:themeColor="text1"/>
                <w:sz w:val="20"/>
                <w:szCs w:val="20"/>
              </w:rPr>
            </w:pPr>
            <w:r>
              <w:rPr>
                <w:rFonts w:ascii="Arial" w:hAnsi="Arial" w:cs="Arial"/>
                <w:color w:val="000000" w:themeColor="text1"/>
                <w:sz w:val="20"/>
                <w:szCs w:val="20"/>
              </w:rPr>
              <w:t>$717,770</w:t>
            </w:r>
          </w:p>
        </w:tc>
        <w:tc>
          <w:tcPr>
            <w:tcW w:w="1659" w:type="dxa"/>
            <w:shd w:val="clear" w:color="auto" w:fill="auto"/>
            <w:vAlign w:val="center"/>
          </w:tcPr>
          <w:p w14:paraId="59787CE3" w14:textId="12631C50" w:rsidR="001544A4" w:rsidRPr="79720D0A" w:rsidRDefault="001544A4" w:rsidP="001544A4">
            <w:pPr>
              <w:jc w:val="right"/>
              <w:rPr>
                <w:rFonts w:ascii="Arial" w:hAnsi="Arial" w:cs="Arial"/>
                <w:color w:val="000000" w:themeColor="text1"/>
                <w:sz w:val="20"/>
                <w:szCs w:val="20"/>
              </w:rPr>
            </w:pPr>
            <w:r>
              <w:rPr>
                <w:rFonts w:ascii="Arial" w:hAnsi="Arial" w:cs="Arial"/>
                <w:color w:val="000000"/>
                <w:sz w:val="20"/>
                <w:szCs w:val="20"/>
              </w:rPr>
              <w:t>$554,362</w:t>
            </w:r>
          </w:p>
        </w:tc>
        <w:tc>
          <w:tcPr>
            <w:tcW w:w="1659" w:type="dxa"/>
            <w:shd w:val="clear" w:color="auto" w:fill="auto"/>
            <w:vAlign w:val="center"/>
          </w:tcPr>
          <w:p w14:paraId="7E5BE3DC" w14:textId="5891FC86" w:rsidR="001544A4" w:rsidRDefault="001544A4" w:rsidP="001544A4">
            <w:pPr>
              <w:jc w:val="right"/>
              <w:rPr>
                <w:rFonts w:ascii="Arial" w:hAnsi="Arial" w:cs="Arial"/>
                <w:color w:val="000000"/>
                <w:sz w:val="20"/>
                <w:szCs w:val="20"/>
              </w:rPr>
            </w:pPr>
          </w:p>
        </w:tc>
      </w:tr>
      <w:tr w:rsidR="001544A4" w:rsidRPr="00133A72" w14:paraId="1C50F561" w14:textId="77777777" w:rsidTr="00923BB5">
        <w:tc>
          <w:tcPr>
            <w:tcW w:w="3420" w:type="dxa"/>
            <w:vAlign w:val="bottom"/>
          </w:tcPr>
          <w:p w14:paraId="46E257D8" w14:textId="365E0F3E" w:rsidR="001544A4" w:rsidRPr="005079F6" w:rsidRDefault="001544A4" w:rsidP="001544A4">
            <w:pPr>
              <w:rPr>
                <w:rFonts w:ascii="Arial" w:hAnsi="Arial" w:cs="Arial"/>
                <w:color w:val="000000"/>
                <w:sz w:val="20"/>
                <w:szCs w:val="20"/>
              </w:rPr>
            </w:pPr>
            <w:r w:rsidRPr="005079F6">
              <w:rPr>
                <w:rFonts w:ascii="Arial" w:hAnsi="Arial" w:cs="Arial"/>
                <w:color w:val="000000"/>
                <w:sz w:val="20"/>
                <w:szCs w:val="20"/>
              </w:rPr>
              <w:t>Cares Act Funds</w:t>
            </w:r>
          </w:p>
        </w:tc>
        <w:tc>
          <w:tcPr>
            <w:tcW w:w="1659" w:type="dxa"/>
            <w:vAlign w:val="center"/>
          </w:tcPr>
          <w:p w14:paraId="7450DDB8" w14:textId="1FC448A1" w:rsidR="001544A4" w:rsidRPr="005079F6" w:rsidRDefault="001544A4" w:rsidP="001544A4">
            <w:pPr>
              <w:jc w:val="right"/>
              <w:rPr>
                <w:rFonts w:ascii="Arial" w:hAnsi="Arial" w:cs="Arial"/>
                <w:color w:val="000000"/>
                <w:sz w:val="20"/>
                <w:szCs w:val="20"/>
                <w:u w:val="single"/>
              </w:rPr>
            </w:pPr>
            <w:r w:rsidRPr="52652DF7">
              <w:rPr>
                <w:rFonts w:ascii="Arial" w:hAnsi="Arial" w:cs="Arial"/>
                <w:color w:val="000000" w:themeColor="text1"/>
                <w:sz w:val="20"/>
                <w:szCs w:val="20"/>
              </w:rPr>
              <w:t>$307,000</w:t>
            </w:r>
          </w:p>
        </w:tc>
        <w:tc>
          <w:tcPr>
            <w:tcW w:w="1659" w:type="dxa"/>
            <w:vAlign w:val="center"/>
          </w:tcPr>
          <w:p w14:paraId="5D56DD65" w14:textId="482319A3" w:rsidR="001544A4" w:rsidRPr="005079F6" w:rsidRDefault="001544A4" w:rsidP="001544A4">
            <w:pPr>
              <w:jc w:val="right"/>
              <w:rPr>
                <w:rFonts w:ascii="Arial" w:hAnsi="Arial" w:cs="Arial"/>
                <w:color w:val="000000"/>
                <w:sz w:val="20"/>
                <w:szCs w:val="20"/>
                <w:u w:val="single"/>
              </w:rPr>
            </w:pPr>
            <w:r w:rsidRPr="79720D0A">
              <w:rPr>
                <w:rFonts w:ascii="Arial" w:hAnsi="Arial" w:cs="Arial"/>
                <w:color w:val="000000" w:themeColor="text1"/>
                <w:sz w:val="20"/>
                <w:szCs w:val="20"/>
              </w:rPr>
              <w:t>$0</w:t>
            </w:r>
          </w:p>
        </w:tc>
        <w:tc>
          <w:tcPr>
            <w:tcW w:w="1659" w:type="dxa"/>
            <w:shd w:val="clear" w:color="auto" w:fill="auto"/>
            <w:vAlign w:val="center"/>
          </w:tcPr>
          <w:p w14:paraId="687847C7" w14:textId="059B5131" w:rsidR="001544A4" w:rsidRPr="005079F6" w:rsidRDefault="001544A4" w:rsidP="001544A4">
            <w:pPr>
              <w:jc w:val="right"/>
              <w:rPr>
                <w:rFonts w:ascii="Arial" w:hAnsi="Arial" w:cs="Arial"/>
                <w:color w:val="000000"/>
                <w:sz w:val="20"/>
                <w:szCs w:val="20"/>
                <w:u w:val="single"/>
              </w:rPr>
            </w:pPr>
            <w:r>
              <w:rPr>
                <w:rFonts w:ascii="Arial" w:hAnsi="Arial" w:cs="Arial"/>
                <w:color w:val="000000"/>
                <w:sz w:val="20"/>
                <w:szCs w:val="20"/>
              </w:rPr>
              <w:t>$0</w:t>
            </w:r>
          </w:p>
        </w:tc>
        <w:tc>
          <w:tcPr>
            <w:tcW w:w="1659" w:type="dxa"/>
            <w:shd w:val="clear" w:color="auto" w:fill="auto"/>
            <w:vAlign w:val="center"/>
          </w:tcPr>
          <w:p w14:paraId="69668032" w14:textId="5D55C692" w:rsidR="001544A4" w:rsidRPr="005079F6" w:rsidRDefault="001544A4" w:rsidP="001544A4">
            <w:pPr>
              <w:jc w:val="right"/>
              <w:rPr>
                <w:rFonts w:ascii="Arial" w:hAnsi="Arial" w:cs="Arial"/>
                <w:color w:val="000000"/>
                <w:sz w:val="20"/>
                <w:szCs w:val="20"/>
              </w:rPr>
            </w:pPr>
          </w:p>
        </w:tc>
      </w:tr>
      <w:tr w:rsidR="001544A4" w:rsidRPr="00133A72" w14:paraId="4E902A57" w14:textId="77777777" w:rsidTr="00923BB5">
        <w:tc>
          <w:tcPr>
            <w:tcW w:w="3420" w:type="dxa"/>
            <w:vAlign w:val="bottom"/>
          </w:tcPr>
          <w:p w14:paraId="62C5E177" w14:textId="35BF95EC" w:rsidR="001544A4" w:rsidRPr="00896FC4" w:rsidRDefault="001544A4" w:rsidP="001544A4">
            <w:pPr>
              <w:rPr>
                <w:rFonts w:ascii="Arial" w:hAnsi="Arial" w:cs="Arial"/>
                <w:color w:val="000000" w:themeColor="text1"/>
                <w:sz w:val="20"/>
                <w:szCs w:val="20"/>
              </w:rPr>
            </w:pPr>
            <w:r w:rsidRPr="00896FC4">
              <w:rPr>
                <w:rFonts w:ascii="Arial" w:hAnsi="Arial" w:cs="Arial"/>
                <w:color w:val="000000" w:themeColor="text1"/>
                <w:sz w:val="20"/>
                <w:szCs w:val="20"/>
              </w:rPr>
              <w:t>ARPA</w:t>
            </w:r>
          </w:p>
        </w:tc>
        <w:tc>
          <w:tcPr>
            <w:tcW w:w="1659" w:type="dxa"/>
            <w:vAlign w:val="center"/>
          </w:tcPr>
          <w:p w14:paraId="5C678744" w14:textId="6E562FB8" w:rsidR="001544A4" w:rsidRPr="00C544BD" w:rsidRDefault="001544A4" w:rsidP="001544A4">
            <w:pPr>
              <w:jc w:val="right"/>
              <w:rPr>
                <w:rFonts w:ascii="Arial" w:hAnsi="Arial" w:cs="Arial"/>
                <w:color w:val="000000" w:themeColor="text1"/>
                <w:sz w:val="20"/>
                <w:szCs w:val="20"/>
              </w:rPr>
            </w:pPr>
            <w:r w:rsidRPr="00896FC4">
              <w:rPr>
                <w:rFonts w:ascii="Arial" w:hAnsi="Arial" w:cs="Arial"/>
                <w:color w:val="000000" w:themeColor="text1"/>
                <w:sz w:val="20"/>
                <w:szCs w:val="20"/>
              </w:rPr>
              <w:t>$2,244,000</w:t>
            </w:r>
          </w:p>
        </w:tc>
        <w:tc>
          <w:tcPr>
            <w:tcW w:w="1659" w:type="dxa"/>
            <w:vAlign w:val="center"/>
          </w:tcPr>
          <w:p w14:paraId="0ABD3145" w14:textId="7B718A78" w:rsidR="001544A4" w:rsidRPr="00896FC4" w:rsidRDefault="001544A4" w:rsidP="001544A4">
            <w:pPr>
              <w:jc w:val="right"/>
              <w:rPr>
                <w:rFonts w:ascii="Arial" w:hAnsi="Arial" w:cs="Arial"/>
                <w:color w:val="000000" w:themeColor="text1"/>
                <w:sz w:val="20"/>
                <w:szCs w:val="20"/>
              </w:rPr>
            </w:pPr>
            <w:r w:rsidRPr="00896FC4">
              <w:rPr>
                <w:rFonts w:ascii="Arial" w:hAnsi="Arial" w:cs="Arial"/>
                <w:color w:val="000000" w:themeColor="text1"/>
                <w:sz w:val="20"/>
                <w:szCs w:val="20"/>
              </w:rPr>
              <w:t>$155,132</w:t>
            </w:r>
          </w:p>
        </w:tc>
        <w:tc>
          <w:tcPr>
            <w:tcW w:w="1659" w:type="dxa"/>
            <w:shd w:val="clear" w:color="auto" w:fill="auto"/>
            <w:vAlign w:val="center"/>
          </w:tcPr>
          <w:p w14:paraId="1717D752" w14:textId="4DDA1BB3" w:rsidR="001544A4" w:rsidRPr="00896FC4" w:rsidRDefault="001544A4" w:rsidP="001544A4">
            <w:pPr>
              <w:jc w:val="right"/>
              <w:rPr>
                <w:rFonts w:ascii="Arial" w:hAnsi="Arial" w:cs="Arial"/>
                <w:color w:val="000000"/>
                <w:sz w:val="20"/>
                <w:szCs w:val="20"/>
                <w:u w:val="single"/>
              </w:rPr>
            </w:pPr>
            <w:r w:rsidRPr="00896FC4">
              <w:rPr>
                <w:rFonts w:ascii="Arial" w:hAnsi="Arial" w:cs="Arial"/>
                <w:color w:val="000000" w:themeColor="text1"/>
                <w:sz w:val="20"/>
                <w:szCs w:val="20"/>
              </w:rPr>
              <w:t>$0</w:t>
            </w:r>
          </w:p>
        </w:tc>
        <w:tc>
          <w:tcPr>
            <w:tcW w:w="1659" w:type="dxa"/>
            <w:shd w:val="clear" w:color="auto" w:fill="auto"/>
            <w:vAlign w:val="center"/>
          </w:tcPr>
          <w:p w14:paraId="08AC218F" w14:textId="6CA40BC7" w:rsidR="001544A4" w:rsidRPr="00896FC4" w:rsidRDefault="001544A4" w:rsidP="001544A4">
            <w:pPr>
              <w:spacing w:line="259" w:lineRule="auto"/>
              <w:jc w:val="right"/>
              <w:rPr>
                <w:rFonts w:ascii="Arial" w:hAnsi="Arial" w:cs="Arial"/>
                <w:color w:val="000000" w:themeColor="text1"/>
                <w:sz w:val="20"/>
                <w:szCs w:val="20"/>
              </w:rPr>
            </w:pPr>
          </w:p>
        </w:tc>
      </w:tr>
      <w:tr w:rsidR="001544A4" w14:paraId="3300D92D" w14:textId="77777777" w:rsidTr="00923BB5">
        <w:trPr>
          <w:trHeight w:val="300"/>
        </w:trPr>
        <w:tc>
          <w:tcPr>
            <w:tcW w:w="3420" w:type="dxa"/>
            <w:vAlign w:val="bottom"/>
          </w:tcPr>
          <w:p w14:paraId="630D6C78" w14:textId="0B13FCA9" w:rsidR="001544A4" w:rsidRPr="00896FC4" w:rsidRDefault="001544A4" w:rsidP="001544A4">
            <w:pPr>
              <w:rPr>
                <w:rFonts w:ascii="Arial" w:hAnsi="Arial" w:cs="Arial"/>
                <w:sz w:val="20"/>
                <w:szCs w:val="20"/>
              </w:rPr>
            </w:pPr>
            <w:r w:rsidRPr="00896FC4">
              <w:rPr>
                <w:rFonts w:ascii="Arial" w:hAnsi="Arial" w:cs="Arial"/>
                <w:color w:val="000000"/>
                <w:sz w:val="20"/>
                <w:szCs w:val="20"/>
              </w:rPr>
              <w:t>ARPA</w:t>
            </w:r>
            <w:r w:rsidRPr="00896FC4">
              <w:rPr>
                <w:rFonts w:ascii="Arial" w:hAnsi="Arial" w:cs="Arial"/>
                <w:sz w:val="20"/>
                <w:szCs w:val="20"/>
              </w:rPr>
              <w:t xml:space="preserve"> Capital Project Fund</w:t>
            </w:r>
          </w:p>
        </w:tc>
        <w:tc>
          <w:tcPr>
            <w:tcW w:w="1659" w:type="dxa"/>
            <w:vAlign w:val="center"/>
          </w:tcPr>
          <w:p w14:paraId="293F3E3C" w14:textId="2598D8FB" w:rsidR="001544A4" w:rsidRPr="000D14D4" w:rsidRDefault="001544A4" w:rsidP="001544A4">
            <w:pPr>
              <w:jc w:val="right"/>
              <w:rPr>
                <w:rFonts w:ascii="Arial" w:hAnsi="Arial" w:cs="Arial"/>
                <w:sz w:val="20"/>
                <w:szCs w:val="20"/>
                <w:u w:val="single"/>
              </w:rPr>
            </w:pPr>
            <w:r w:rsidRPr="000D14D4">
              <w:rPr>
                <w:rFonts w:ascii="Arial" w:hAnsi="Arial" w:cs="Arial"/>
                <w:sz w:val="20"/>
                <w:szCs w:val="20"/>
                <w:u w:val="single"/>
              </w:rPr>
              <w:t>$0</w:t>
            </w:r>
          </w:p>
        </w:tc>
        <w:tc>
          <w:tcPr>
            <w:tcW w:w="1659" w:type="dxa"/>
            <w:vAlign w:val="center"/>
          </w:tcPr>
          <w:p w14:paraId="4CC7D703" w14:textId="73C8D4CB" w:rsidR="001544A4" w:rsidRPr="000D14D4" w:rsidRDefault="001544A4" w:rsidP="001544A4">
            <w:pPr>
              <w:jc w:val="right"/>
              <w:rPr>
                <w:rFonts w:ascii="Arial" w:hAnsi="Arial" w:cs="Arial"/>
                <w:sz w:val="20"/>
                <w:szCs w:val="20"/>
                <w:u w:val="single"/>
              </w:rPr>
            </w:pPr>
            <w:r w:rsidRPr="000D14D4">
              <w:rPr>
                <w:rFonts w:ascii="Arial" w:hAnsi="Arial" w:cs="Arial"/>
                <w:sz w:val="20"/>
                <w:szCs w:val="20"/>
                <w:u w:val="single"/>
              </w:rPr>
              <w:t>$0</w:t>
            </w:r>
          </w:p>
        </w:tc>
        <w:tc>
          <w:tcPr>
            <w:tcW w:w="1659" w:type="dxa"/>
            <w:vAlign w:val="center"/>
          </w:tcPr>
          <w:p w14:paraId="390491D3" w14:textId="7A98781D" w:rsidR="001544A4" w:rsidRPr="000D14D4" w:rsidRDefault="001544A4" w:rsidP="001544A4">
            <w:pPr>
              <w:jc w:val="right"/>
              <w:rPr>
                <w:rFonts w:ascii="Arial" w:hAnsi="Arial" w:cs="Arial"/>
                <w:sz w:val="20"/>
                <w:szCs w:val="20"/>
                <w:u w:val="single"/>
              </w:rPr>
            </w:pPr>
            <w:r w:rsidRPr="000D14D4">
              <w:rPr>
                <w:rFonts w:ascii="Arial" w:hAnsi="Arial" w:cs="Arial"/>
                <w:color w:val="000000" w:themeColor="text1"/>
                <w:sz w:val="20"/>
                <w:szCs w:val="20"/>
                <w:u w:val="single"/>
              </w:rPr>
              <w:t>$1,814,766</w:t>
            </w:r>
          </w:p>
        </w:tc>
        <w:tc>
          <w:tcPr>
            <w:tcW w:w="1659" w:type="dxa"/>
            <w:shd w:val="clear" w:color="auto" w:fill="auto"/>
            <w:vAlign w:val="center"/>
          </w:tcPr>
          <w:p w14:paraId="6AC5A22D" w14:textId="310025A5" w:rsidR="001544A4" w:rsidRPr="000D14D4" w:rsidRDefault="001544A4" w:rsidP="001544A4">
            <w:pPr>
              <w:jc w:val="right"/>
              <w:rPr>
                <w:rFonts w:ascii="Arial" w:hAnsi="Arial" w:cs="Arial"/>
                <w:color w:val="000000" w:themeColor="text1"/>
                <w:sz w:val="20"/>
                <w:szCs w:val="20"/>
                <w:u w:val="single"/>
              </w:rPr>
            </w:pPr>
          </w:p>
        </w:tc>
      </w:tr>
      <w:tr w:rsidR="001544A4" w:rsidRPr="00133A72" w14:paraId="3E0165B1" w14:textId="77777777" w:rsidTr="00923BB5">
        <w:tc>
          <w:tcPr>
            <w:tcW w:w="3420" w:type="dxa"/>
            <w:vAlign w:val="bottom"/>
          </w:tcPr>
          <w:p w14:paraId="145D7D27" w14:textId="77777777" w:rsidR="001544A4" w:rsidRPr="00896FC4" w:rsidRDefault="001544A4" w:rsidP="001544A4">
            <w:pPr>
              <w:jc w:val="right"/>
              <w:rPr>
                <w:rFonts w:ascii="Arial" w:eastAsia="Arial Unicode MS" w:hAnsi="Arial" w:cs="Arial"/>
                <w:b/>
                <w:bCs/>
                <w:color w:val="000000"/>
                <w:sz w:val="20"/>
                <w:szCs w:val="20"/>
              </w:rPr>
            </w:pPr>
            <w:r w:rsidRPr="00896FC4">
              <w:rPr>
                <w:rFonts w:ascii="Arial" w:hAnsi="Arial" w:cs="Arial"/>
                <w:b/>
                <w:bCs/>
                <w:color w:val="000000"/>
                <w:sz w:val="20"/>
                <w:szCs w:val="20"/>
              </w:rPr>
              <w:t>Total</w:t>
            </w:r>
          </w:p>
        </w:tc>
        <w:tc>
          <w:tcPr>
            <w:tcW w:w="1659" w:type="dxa"/>
          </w:tcPr>
          <w:p w14:paraId="51F76281" w14:textId="5B72EFD3" w:rsidR="001544A4" w:rsidRPr="00896FC4" w:rsidRDefault="001544A4" w:rsidP="001544A4">
            <w:pPr>
              <w:jc w:val="right"/>
              <w:rPr>
                <w:rFonts w:ascii="Arial" w:hAnsi="Arial" w:cs="Arial"/>
                <w:b/>
                <w:bCs/>
                <w:color w:val="000000" w:themeColor="text1"/>
                <w:sz w:val="20"/>
                <w:szCs w:val="20"/>
              </w:rPr>
            </w:pPr>
            <w:r w:rsidRPr="00896FC4">
              <w:rPr>
                <w:rFonts w:ascii="Arial" w:hAnsi="Arial" w:cs="Arial"/>
                <w:b/>
                <w:bCs/>
                <w:color w:val="000000" w:themeColor="text1"/>
                <w:sz w:val="20"/>
                <w:szCs w:val="20"/>
              </w:rPr>
              <w:t>$8,557,720</w:t>
            </w:r>
          </w:p>
        </w:tc>
        <w:tc>
          <w:tcPr>
            <w:tcW w:w="1659" w:type="dxa"/>
          </w:tcPr>
          <w:p w14:paraId="1A8AC9AE" w14:textId="63674951" w:rsidR="001544A4" w:rsidRPr="00896FC4" w:rsidRDefault="001544A4" w:rsidP="001544A4">
            <w:pPr>
              <w:jc w:val="right"/>
              <w:rPr>
                <w:rFonts w:ascii="Arial" w:hAnsi="Arial" w:cs="Arial"/>
                <w:b/>
                <w:bCs/>
                <w:sz w:val="20"/>
                <w:szCs w:val="20"/>
              </w:rPr>
            </w:pPr>
            <w:r w:rsidRPr="00896FC4">
              <w:rPr>
                <w:rFonts w:ascii="Arial" w:hAnsi="Arial" w:cs="Arial"/>
                <w:b/>
                <w:bCs/>
                <w:color w:val="000000" w:themeColor="text1"/>
                <w:sz w:val="20"/>
                <w:szCs w:val="20"/>
              </w:rPr>
              <w:t>$7,423,031</w:t>
            </w:r>
          </w:p>
        </w:tc>
        <w:tc>
          <w:tcPr>
            <w:tcW w:w="1659" w:type="dxa"/>
            <w:shd w:val="clear" w:color="auto" w:fill="auto"/>
          </w:tcPr>
          <w:p w14:paraId="5967D161" w14:textId="0C749633" w:rsidR="001544A4" w:rsidRPr="00896FC4" w:rsidRDefault="001544A4" w:rsidP="001544A4">
            <w:pPr>
              <w:jc w:val="right"/>
              <w:rPr>
                <w:rFonts w:ascii="Arial" w:hAnsi="Arial" w:cs="Arial"/>
                <w:b/>
                <w:bCs/>
                <w:sz w:val="20"/>
                <w:szCs w:val="20"/>
              </w:rPr>
            </w:pPr>
            <w:r w:rsidRPr="4985FE67">
              <w:rPr>
                <w:rFonts w:ascii="Arial" w:hAnsi="Arial" w:cs="Arial"/>
                <w:b/>
                <w:bCs/>
                <w:color w:val="000000" w:themeColor="text1"/>
                <w:sz w:val="20"/>
                <w:szCs w:val="20"/>
              </w:rPr>
              <w:t>$9,1</w:t>
            </w:r>
            <w:r>
              <w:rPr>
                <w:rFonts w:ascii="Arial" w:hAnsi="Arial" w:cs="Arial"/>
                <w:b/>
                <w:bCs/>
                <w:color w:val="000000" w:themeColor="text1"/>
                <w:sz w:val="20"/>
                <w:szCs w:val="20"/>
              </w:rPr>
              <w:t>41,432</w:t>
            </w:r>
          </w:p>
        </w:tc>
        <w:tc>
          <w:tcPr>
            <w:tcW w:w="1659" w:type="dxa"/>
            <w:shd w:val="clear" w:color="auto" w:fill="auto"/>
          </w:tcPr>
          <w:p w14:paraId="1AA66465" w14:textId="05DE7860" w:rsidR="001544A4" w:rsidRPr="00896FC4" w:rsidRDefault="001544A4" w:rsidP="001544A4">
            <w:pPr>
              <w:jc w:val="right"/>
              <w:rPr>
                <w:rFonts w:ascii="Arial" w:hAnsi="Arial" w:cs="Arial"/>
                <w:b/>
                <w:bCs/>
                <w:color w:val="000000" w:themeColor="text1"/>
                <w:sz w:val="20"/>
                <w:szCs w:val="20"/>
              </w:rPr>
            </w:pPr>
          </w:p>
        </w:tc>
      </w:tr>
      <w:tr w:rsidR="001544A4" w:rsidRPr="00133A72" w14:paraId="1AC1B80F" w14:textId="77777777" w:rsidTr="00923BB5">
        <w:tc>
          <w:tcPr>
            <w:tcW w:w="3420" w:type="dxa"/>
            <w:shd w:val="clear" w:color="auto" w:fill="1F497D" w:themeFill="text2"/>
          </w:tcPr>
          <w:p w14:paraId="56A706F3" w14:textId="0DCF56BC" w:rsidR="001544A4" w:rsidRPr="00133A72" w:rsidRDefault="001544A4" w:rsidP="001544A4">
            <w:pPr>
              <w:jc w:val="both"/>
              <w:rPr>
                <w:rFonts w:ascii="Arial" w:hAnsi="Arial" w:cs="Arial"/>
                <w:b/>
                <w:bCs/>
                <w:color w:val="FFFFFF"/>
                <w:sz w:val="20"/>
              </w:rPr>
            </w:pPr>
            <w:r w:rsidRPr="00133A72">
              <w:rPr>
                <w:rFonts w:ascii="Arial" w:hAnsi="Arial" w:cs="Arial"/>
                <w:b/>
                <w:bCs/>
                <w:color w:val="FFFFFF"/>
                <w:sz w:val="20"/>
              </w:rPr>
              <w:t>Expenditures</w:t>
            </w:r>
          </w:p>
        </w:tc>
        <w:tc>
          <w:tcPr>
            <w:tcW w:w="1659" w:type="dxa"/>
            <w:shd w:val="clear" w:color="auto" w:fill="1F497D" w:themeFill="text2"/>
          </w:tcPr>
          <w:p w14:paraId="4EEBD9C0" w14:textId="31B83119" w:rsidR="001544A4" w:rsidRPr="00133A72" w:rsidRDefault="001544A4" w:rsidP="001544A4">
            <w:pPr>
              <w:jc w:val="right"/>
              <w:rPr>
                <w:rFonts w:ascii="Arial" w:hAnsi="Arial" w:cs="Arial"/>
                <w:b/>
                <w:bCs/>
                <w:color w:val="FFFFFF"/>
                <w:sz w:val="20"/>
              </w:rPr>
            </w:pPr>
            <w:r>
              <w:rPr>
                <w:rFonts w:ascii="Arial" w:hAnsi="Arial" w:cs="Arial"/>
                <w:b/>
                <w:bCs/>
                <w:color w:val="FFFFFF"/>
                <w:sz w:val="20"/>
              </w:rPr>
              <w:t>FY 2022</w:t>
            </w:r>
          </w:p>
        </w:tc>
        <w:tc>
          <w:tcPr>
            <w:tcW w:w="1659" w:type="dxa"/>
            <w:shd w:val="clear" w:color="auto" w:fill="1F497D" w:themeFill="text2"/>
          </w:tcPr>
          <w:p w14:paraId="490D8586" w14:textId="7C02FB5C" w:rsidR="001544A4" w:rsidRPr="00133A72" w:rsidRDefault="001544A4" w:rsidP="001544A4">
            <w:pPr>
              <w:jc w:val="right"/>
              <w:rPr>
                <w:rFonts w:ascii="Arial" w:hAnsi="Arial" w:cs="Arial"/>
                <w:b/>
                <w:bCs/>
                <w:color w:val="FFFFFF"/>
                <w:sz w:val="20"/>
              </w:rPr>
            </w:pPr>
            <w:r>
              <w:rPr>
                <w:rFonts w:ascii="Arial" w:hAnsi="Arial" w:cs="Arial"/>
                <w:b/>
                <w:bCs/>
                <w:color w:val="FFFFFF"/>
                <w:sz w:val="20"/>
              </w:rPr>
              <w:t>FY 2023</w:t>
            </w:r>
          </w:p>
        </w:tc>
        <w:tc>
          <w:tcPr>
            <w:tcW w:w="1659" w:type="dxa"/>
            <w:shd w:val="clear" w:color="auto" w:fill="1F497D" w:themeFill="text2"/>
          </w:tcPr>
          <w:p w14:paraId="26C8394D" w14:textId="4333E832" w:rsidR="001544A4" w:rsidRPr="00133A72" w:rsidRDefault="001544A4" w:rsidP="001544A4">
            <w:pPr>
              <w:jc w:val="right"/>
              <w:rPr>
                <w:rFonts w:ascii="Arial" w:hAnsi="Arial" w:cs="Arial"/>
                <w:b/>
                <w:bCs/>
                <w:color w:val="FFFFFF"/>
                <w:sz w:val="20"/>
              </w:rPr>
            </w:pPr>
            <w:r>
              <w:rPr>
                <w:rFonts w:ascii="Arial" w:hAnsi="Arial" w:cs="Arial"/>
                <w:b/>
                <w:bCs/>
                <w:color w:val="FFFFFF"/>
                <w:sz w:val="20"/>
              </w:rPr>
              <w:t>FY 2024</w:t>
            </w:r>
          </w:p>
        </w:tc>
        <w:tc>
          <w:tcPr>
            <w:tcW w:w="1659" w:type="dxa"/>
            <w:shd w:val="clear" w:color="auto" w:fill="1F497D" w:themeFill="text2"/>
          </w:tcPr>
          <w:p w14:paraId="37FCA358" w14:textId="2487382B" w:rsidR="001544A4" w:rsidRPr="00133A72" w:rsidRDefault="001544A4" w:rsidP="001544A4">
            <w:pPr>
              <w:jc w:val="right"/>
              <w:rPr>
                <w:rFonts w:ascii="Arial" w:hAnsi="Arial" w:cs="Arial"/>
                <w:b/>
                <w:bCs/>
                <w:color w:val="FFFFFF"/>
                <w:sz w:val="20"/>
              </w:rPr>
            </w:pPr>
            <w:r>
              <w:rPr>
                <w:rFonts w:ascii="Arial" w:hAnsi="Arial" w:cs="Arial"/>
                <w:b/>
                <w:bCs/>
                <w:color w:val="FFFFFF"/>
                <w:sz w:val="20"/>
              </w:rPr>
              <w:t>FY 2025</w:t>
            </w:r>
          </w:p>
        </w:tc>
      </w:tr>
      <w:tr w:rsidR="001544A4" w:rsidRPr="00133A72" w14:paraId="566CF04C" w14:textId="77777777" w:rsidTr="00923BB5">
        <w:tc>
          <w:tcPr>
            <w:tcW w:w="3420" w:type="dxa"/>
          </w:tcPr>
          <w:p w14:paraId="14BEDFC2" w14:textId="77777777" w:rsidR="001544A4" w:rsidRPr="00133A72" w:rsidRDefault="001544A4" w:rsidP="001544A4">
            <w:pPr>
              <w:jc w:val="both"/>
              <w:rPr>
                <w:rFonts w:ascii="Arial" w:hAnsi="Arial" w:cs="Arial"/>
                <w:sz w:val="20"/>
              </w:rPr>
            </w:pPr>
            <w:r w:rsidRPr="00133A72">
              <w:rPr>
                <w:rFonts w:ascii="Arial" w:hAnsi="Arial" w:cs="Arial"/>
                <w:sz w:val="20"/>
              </w:rPr>
              <w:t>Personnel Costs</w:t>
            </w:r>
          </w:p>
        </w:tc>
        <w:tc>
          <w:tcPr>
            <w:tcW w:w="1659" w:type="dxa"/>
            <w:vAlign w:val="bottom"/>
          </w:tcPr>
          <w:p w14:paraId="5C5A4860" w14:textId="100AB850" w:rsidR="001544A4" w:rsidRPr="00133A72" w:rsidRDefault="001544A4" w:rsidP="001544A4">
            <w:pPr>
              <w:jc w:val="right"/>
              <w:rPr>
                <w:rFonts w:ascii="Arial" w:hAnsi="Arial" w:cs="Arial"/>
                <w:sz w:val="20"/>
                <w:szCs w:val="20"/>
              </w:rPr>
            </w:pPr>
            <w:r w:rsidRPr="52652DF7">
              <w:rPr>
                <w:rFonts w:ascii="Arial" w:hAnsi="Arial" w:cs="Arial"/>
                <w:sz w:val="20"/>
                <w:szCs w:val="20"/>
              </w:rPr>
              <w:t>$2,796,589</w:t>
            </w:r>
          </w:p>
        </w:tc>
        <w:tc>
          <w:tcPr>
            <w:tcW w:w="1659" w:type="dxa"/>
            <w:vAlign w:val="bottom"/>
          </w:tcPr>
          <w:p w14:paraId="0E97605F" w14:textId="064D8339" w:rsidR="001544A4" w:rsidRPr="00133A72" w:rsidRDefault="001544A4" w:rsidP="001544A4">
            <w:pPr>
              <w:jc w:val="right"/>
              <w:rPr>
                <w:rFonts w:ascii="Arial" w:hAnsi="Arial" w:cs="Arial"/>
                <w:sz w:val="20"/>
                <w:szCs w:val="20"/>
              </w:rPr>
            </w:pPr>
            <w:r w:rsidRPr="79720D0A">
              <w:rPr>
                <w:rFonts w:ascii="Arial" w:hAnsi="Arial" w:cs="Arial"/>
                <w:sz w:val="20"/>
                <w:szCs w:val="20"/>
              </w:rPr>
              <w:t>$2,890,926</w:t>
            </w:r>
          </w:p>
        </w:tc>
        <w:tc>
          <w:tcPr>
            <w:tcW w:w="1659" w:type="dxa"/>
            <w:shd w:val="clear" w:color="auto" w:fill="auto"/>
            <w:vAlign w:val="bottom"/>
          </w:tcPr>
          <w:p w14:paraId="6058D9A7" w14:textId="66AFD0FC" w:rsidR="001544A4" w:rsidRPr="00133A72" w:rsidRDefault="001544A4" w:rsidP="001544A4">
            <w:pPr>
              <w:jc w:val="right"/>
              <w:rPr>
                <w:rFonts w:ascii="Arial" w:hAnsi="Arial" w:cs="Arial"/>
                <w:sz w:val="20"/>
                <w:szCs w:val="20"/>
              </w:rPr>
            </w:pPr>
            <w:r>
              <w:rPr>
                <w:rFonts w:ascii="Arial" w:hAnsi="Arial" w:cs="Arial"/>
                <w:sz w:val="20"/>
                <w:szCs w:val="20"/>
              </w:rPr>
              <w:t>$3,000,604</w:t>
            </w:r>
          </w:p>
        </w:tc>
        <w:tc>
          <w:tcPr>
            <w:tcW w:w="1659" w:type="dxa"/>
            <w:shd w:val="clear" w:color="auto" w:fill="auto"/>
            <w:vAlign w:val="bottom"/>
          </w:tcPr>
          <w:p w14:paraId="0E20B470" w14:textId="19EDF61B" w:rsidR="001544A4" w:rsidRPr="00133A72" w:rsidRDefault="001544A4" w:rsidP="001544A4">
            <w:pPr>
              <w:jc w:val="right"/>
              <w:rPr>
                <w:rFonts w:ascii="Arial" w:hAnsi="Arial" w:cs="Arial"/>
                <w:sz w:val="20"/>
                <w:szCs w:val="20"/>
              </w:rPr>
            </w:pPr>
          </w:p>
        </w:tc>
      </w:tr>
      <w:tr w:rsidR="001544A4" w:rsidRPr="00133A72" w14:paraId="3334827A" w14:textId="77777777" w:rsidTr="00923BB5">
        <w:tc>
          <w:tcPr>
            <w:tcW w:w="3420" w:type="dxa"/>
          </w:tcPr>
          <w:p w14:paraId="2C4B6489" w14:textId="77777777" w:rsidR="001544A4" w:rsidRPr="00133A72" w:rsidRDefault="001544A4" w:rsidP="001544A4">
            <w:pPr>
              <w:jc w:val="both"/>
              <w:rPr>
                <w:rFonts w:ascii="Arial" w:hAnsi="Arial" w:cs="Arial"/>
                <w:sz w:val="20"/>
              </w:rPr>
            </w:pPr>
            <w:r w:rsidRPr="00133A72">
              <w:rPr>
                <w:rFonts w:ascii="Arial" w:hAnsi="Arial" w:cs="Arial"/>
                <w:sz w:val="20"/>
              </w:rPr>
              <w:t>Operating Expenditures</w:t>
            </w:r>
          </w:p>
        </w:tc>
        <w:tc>
          <w:tcPr>
            <w:tcW w:w="1659" w:type="dxa"/>
            <w:vAlign w:val="bottom"/>
          </w:tcPr>
          <w:p w14:paraId="3D5BFF6A" w14:textId="1FF077E7" w:rsidR="001544A4" w:rsidRPr="00133A72" w:rsidRDefault="001544A4" w:rsidP="001544A4">
            <w:pPr>
              <w:jc w:val="right"/>
              <w:rPr>
                <w:rFonts w:ascii="Arial" w:hAnsi="Arial" w:cs="Arial"/>
                <w:sz w:val="20"/>
                <w:szCs w:val="20"/>
              </w:rPr>
            </w:pPr>
            <w:r w:rsidRPr="52652DF7">
              <w:rPr>
                <w:rFonts w:ascii="Arial" w:hAnsi="Arial" w:cs="Arial"/>
                <w:sz w:val="20"/>
                <w:szCs w:val="20"/>
              </w:rPr>
              <w:t>$3,164,488</w:t>
            </w:r>
          </w:p>
        </w:tc>
        <w:tc>
          <w:tcPr>
            <w:tcW w:w="1659" w:type="dxa"/>
            <w:vAlign w:val="bottom"/>
          </w:tcPr>
          <w:p w14:paraId="0D625DB4" w14:textId="6734922A" w:rsidR="001544A4" w:rsidRPr="00133A72" w:rsidRDefault="001544A4" w:rsidP="001544A4">
            <w:pPr>
              <w:jc w:val="right"/>
              <w:rPr>
                <w:rFonts w:ascii="Arial" w:hAnsi="Arial" w:cs="Arial"/>
                <w:sz w:val="20"/>
                <w:szCs w:val="20"/>
              </w:rPr>
            </w:pPr>
            <w:r w:rsidRPr="79720D0A">
              <w:rPr>
                <w:rFonts w:ascii="Arial" w:hAnsi="Arial" w:cs="Arial"/>
                <w:sz w:val="20"/>
                <w:szCs w:val="20"/>
              </w:rPr>
              <w:t>$3,335,580</w:t>
            </w:r>
          </w:p>
        </w:tc>
        <w:tc>
          <w:tcPr>
            <w:tcW w:w="1659" w:type="dxa"/>
            <w:shd w:val="clear" w:color="auto" w:fill="auto"/>
            <w:vAlign w:val="bottom"/>
          </w:tcPr>
          <w:p w14:paraId="11B16DDA" w14:textId="66D83D68" w:rsidR="001544A4" w:rsidRPr="00133A72" w:rsidRDefault="001544A4" w:rsidP="001544A4">
            <w:pPr>
              <w:jc w:val="right"/>
              <w:rPr>
                <w:rFonts w:ascii="Arial" w:hAnsi="Arial" w:cs="Arial"/>
                <w:sz w:val="20"/>
                <w:szCs w:val="20"/>
              </w:rPr>
            </w:pPr>
            <w:r>
              <w:rPr>
                <w:rFonts w:ascii="Arial" w:hAnsi="Arial" w:cs="Arial"/>
                <w:sz w:val="20"/>
                <w:szCs w:val="20"/>
              </w:rPr>
              <w:t>$3,259,287</w:t>
            </w:r>
          </w:p>
        </w:tc>
        <w:tc>
          <w:tcPr>
            <w:tcW w:w="1659" w:type="dxa"/>
            <w:shd w:val="clear" w:color="auto" w:fill="auto"/>
            <w:vAlign w:val="bottom"/>
          </w:tcPr>
          <w:p w14:paraId="57B64A77" w14:textId="200D43F9" w:rsidR="001544A4" w:rsidRPr="00133A72" w:rsidRDefault="001544A4" w:rsidP="001544A4">
            <w:pPr>
              <w:jc w:val="right"/>
              <w:rPr>
                <w:rFonts w:ascii="Arial" w:hAnsi="Arial" w:cs="Arial"/>
                <w:sz w:val="20"/>
                <w:szCs w:val="20"/>
              </w:rPr>
            </w:pPr>
          </w:p>
        </w:tc>
      </w:tr>
      <w:tr w:rsidR="001544A4" w:rsidRPr="00133A72" w14:paraId="6D04ABC3" w14:textId="77777777" w:rsidTr="00923BB5">
        <w:tc>
          <w:tcPr>
            <w:tcW w:w="3420" w:type="dxa"/>
          </w:tcPr>
          <w:p w14:paraId="007E3FFE" w14:textId="77777777" w:rsidR="001544A4" w:rsidRPr="00133A72" w:rsidRDefault="001544A4" w:rsidP="001544A4">
            <w:pPr>
              <w:jc w:val="both"/>
              <w:rPr>
                <w:rFonts w:ascii="Arial" w:hAnsi="Arial" w:cs="Arial"/>
                <w:sz w:val="20"/>
              </w:rPr>
            </w:pPr>
            <w:r w:rsidRPr="00133A72">
              <w:rPr>
                <w:rFonts w:ascii="Arial" w:hAnsi="Arial" w:cs="Arial"/>
                <w:sz w:val="20"/>
              </w:rPr>
              <w:t>Capital Outlay</w:t>
            </w:r>
          </w:p>
        </w:tc>
        <w:tc>
          <w:tcPr>
            <w:tcW w:w="1659" w:type="dxa"/>
            <w:vAlign w:val="bottom"/>
          </w:tcPr>
          <w:p w14:paraId="6D62BBE0" w14:textId="1786FD9F" w:rsidR="001544A4" w:rsidRPr="00133A72" w:rsidRDefault="001544A4" w:rsidP="001544A4">
            <w:pPr>
              <w:jc w:val="right"/>
              <w:rPr>
                <w:rFonts w:ascii="Arial" w:hAnsi="Arial" w:cs="Arial"/>
                <w:sz w:val="20"/>
                <w:szCs w:val="20"/>
              </w:rPr>
            </w:pPr>
            <w:r w:rsidRPr="19B1F5A6">
              <w:rPr>
                <w:rFonts w:ascii="Arial" w:hAnsi="Arial" w:cs="Arial"/>
                <w:sz w:val="20"/>
                <w:szCs w:val="20"/>
              </w:rPr>
              <w:t>$9,080</w:t>
            </w:r>
          </w:p>
        </w:tc>
        <w:tc>
          <w:tcPr>
            <w:tcW w:w="1659" w:type="dxa"/>
            <w:vAlign w:val="bottom"/>
          </w:tcPr>
          <w:p w14:paraId="7FCE733D" w14:textId="30BC85D1" w:rsidR="001544A4" w:rsidRPr="00133A72" w:rsidRDefault="001544A4" w:rsidP="001544A4">
            <w:pPr>
              <w:jc w:val="right"/>
              <w:rPr>
                <w:rFonts w:ascii="Arial" w:hAnsi="Arial" w:cs="Arial"/>
                <w:sz w:val="20"/>
                <w:szCs w:val="20"/>
              </w:rPr>
            </w:pPr>
            <w:r w:rsidRPr="79720D0A">
              <w:rPr>
                <w:rFonts w:ascii="Arial" w:hAnsi="Arial" w:cs="Arial"/>
                <w:sz w:val="20"/>
                <w:szCs w:val="20"/>
              </w:rPr>
              <w:t>$0</w:t>
            </w:r>
          </w:p>
        </w:tc>
        <w:tc>
          <w:tcPr>
            <w:tcW w:w="1659" w:type="dxa"/>
            <w:shd w:val="clear" w:color="auto" w:fill="auto"/>
            <w:vAlign w:val="bottom"/>
          </w:tcPr>
          <w:p w14:paraId="2E27D689" w14:textId="4B668096" w:rsidR="001544A4" w:rsidRPr="00133A72" w:rsidRDefault="001544A4" w:rsidP="001544A4">
            <w:pPr>
              <w:jc w:val="right"/>
              <w:rPr>
                <w:rFonts w:ascii="Arial" w:hAnsi="Arial" w:cs="Arial"/>
                <w:sz w:val="20"/>
                <w:szCs w:val="20"/>
              </w:rPr>
            </w:pPr>
            <w:r>
              <w:rPr>
                <w:rFonts w:ascii="Arial" w:hAnsi="Arial" w:cs="Arial"/>
                <w:sz w:val="20"/>
                <w:szCs w:val="20"/>
              </w:rPr>
              <w:t>$0</w:t>
            </w:r>
          </w:p>
        </w:tc>
        <w:tc>
          <w:tcPr>
            <w:tcW w:w="1659" w:type="dxa"/>
            <w:shd w:val="clear" w:color="auto" w:fill="auto"/>
            <w:vAlign w:val="bottom"/>
          </w:tcPr>
          <w:p w14:paraId="42DA3952" w14:textId="05976F97" w:rsidR="001544A4" w:rsidRPr="00133A72" w:rsidRDefault="001544A4" w:rsidP="001544A4">
            <w:pPr>
              <w:jc w:val="right"/>
              <w:rPr>
                <w:rFonts w:ascii="Arial" w:hAnsi="Arial" w:cs="Arial"/>
                <w:sz w:val="20"/>
                <w:szCs w:val="20"/>
              </w:rPr>
            </w:pPr>
          </w:p>
        </w:tc>
      </w:tr>
      <w:tr w:rsidR="001544A4" w:rsidRPr="00133A72" w14:paraId="2FF37F38" w14:textId="77777777" w:rsidTr="00923BB5">
        <w:tc>
          <w:tcPr>
            <w:tcW w:w="3420" w:type="dxa"/>
          </w:tcPr>
          <w:p w14:paraId="673E3C6E" w14:textId="77777777" w:rsidR="001544A4" w:rsidRPr="00133A72" w:rsidRDefault="001544A4" w:rsidP="001544A4">
            <w:pPr>
              <w:jc w:val="both"/>
              <w:rPr>
                <w:rFonts w:ascii="Arial" w:hAnsi="Arial" w:cs="Arial"/>
                <w:sz w:val="20"/>
              </w:rPr>
            </w:pPr>
            <w:r w:rsidRPr="00133A72">
              <w:rPr>
                <w:rFonts w:ascii="Arial" w:hAnsi="Arial" w:cs="Arial"/>
                <w:sz w:val="20"/>
              </w:rPr>
              <w:t>Trustee/Benefit Payments</w:t>
            </w:r>
          </w:p>
        </w:tc>
        <w:tc>
          <w:tcPr>
            <w:tcW w:w="1659" w:type="dxa"/>
            <w:vAlign w:val="bottom"/>
          </w:tcPr>
          <w:p w14:paraId="36DEE429" w14:textId="15AC4F31" w:rsidR="001544A4" w:rsidRPr="00133A72" w:rsidRDefault="001544A4" w:rsidP="001544A4">
            <w:pPr>
              <w:jc w:val="right"/>
              <w:rPr>
                <w:rFonts w:ascii="Arial" w:hAnsi="Arial" w:cs="Arial"/>
                <w:sz w:val="20"/>
                <w:szCs w:val="20"/>
                <w:u w:val="single"/>
              </w:rPr>
            </w:pPr>
            <w:r w:rsidRPr="19B1F5A6">
              <w:rPr>
                <w:rFonts w:ascii="Arial" w:hAnsi="Arial" w:cs="Arial"/>
                <w:sz w:val="20"/>
                <w:szCs w:val="20"/>
                <w:u w:val="single"/>
              </w:rPr>
              <w:t>$2,469,823</w:t>
            </w:r>
          </w:p>
        </w:tc>
        <w:tc>
          <w:tcPr>
            <w:tcW w:w="1659" w:type="dxa"/>
            <w:vAlign w:val="bottom"/>
          </w:tcPr>
          <w:p w14:paraId="1FE3CDF1" w14:textId="0E66C5C6" w:rsidR="001544A4" w:rsidRPr="00133A72" w:rsidRDefault="001544A4" w:rsidP="001544A4">
            <w:pPr>
              <w:jc w:val="right"/>
              <w:rPr>
                <w:rFonts w:ascii="Arial" w:hAnsi="Arial" w:cs="Arial"/>
                <w:sz w:val="20"/>
                <w:szCs w:val="20"/>
                <w:u w:val="single"/>
              </w:rPr>
            </w:pPr>
            <w:r w:rsidRPr="79720D0A">
              <w:rPr>
                <w:rFonts w:ascii="Arial" w:hAnsi="Arial" w:cs="Arial"/>
                <w:sz w:val="20"/>
                <w:szCs w:val="20"/>
                <w:u w:val="single"/>
              </w:rPr>
              <w:t>$1,196,525</w:t>
            </w:r>
          </w:p>
        </w:tc>
        <w:tc>
          <w:tcPr>
            <w:tcW w:w="1659" w:type="dxa"/>
            <w:shd w:val="clear" w:color="auto" w:fill="auto"/>
            <w:vAlign w:val="bottom"/>
          </w:tcPr>
          <w:p w14:paraId="01605040" w14:textId="17BDEE89" w:rsidR="001544A4" w:rsidRPr="00133A72" w:rsidRDefault="001544A4" w:rsidP="001544A4">
            <w:pPr>
              <w:jc w:val="right"/>
              <w:rPr>
                <w:rFonts w:ascii="Arial" w:hAnsi="Arial" w:cs="Arial"/>
                <w:sz w:val="20"/>
                <w:szCs w:val="20"/>
                <w:u w:val="single"/>
              </w:rPr>
            </w:pPr>
            <w:r>
              <w:rPr>
                <w:rFonts w:ascii="Arial" w:hAnsi="Arial" w:cs="Arial"/>
                <w:sz w:val="20"/>
                <w:szCs w:val="20"/>
                <w:u w:val="single"/>
              </w:rPr>
              <w:t>$2,775,967</w:t>
            </w:r>
          </w:p>
        </w:tc>
        <w:tc>
          <w:tcPr>
            <w:tcW w:w="1659" w:type="dxa"/>
            <w:shd w:val="clear" w:color="auto" w:fill="auto"/>
            <w:vAlign w:val="bottom"/>
          </w:tcPr>
          <w:p w14:paraId="2B956A82" w14:textId="5D6BDE2C" w:rsidR="001544A4" w:rsidRPr="00133A72" w:rsidRDefault="001544A4" w:rsidP="001544A4">
            <w:pPr>
              <w:jc w:val="right"/>
              <w:rPr>
                <w:rFonts w:ascii="Arial" w:hAnsi="Arial" w:cs="Arial"/>
                <w:sz w:val="20"/>
                <w:szCs w:val="20"/>
                <w:u w:val="single"/>
              </w:rPr>
            </w:pPr>
          </w:p>
        </w:tc>
      </w:tr>
      <w:tr w:rsidR="001544A4" w:rsidRPr="00133A72" w14:paraId="0E09060A" w14:textId="77777777" w:rsidTr="00923BB5">
        <w:tc>
          <w:tcPr>
            <w:tcW w:w="3420" w:type="dxa"/>
          </w:tcPr>
          <w:p w14:paraId="2B645CC3" w14:textId="77777777" w:rsidR="001544A4" w:rsidRPr="00133A72" w:rsidRDefault="001544A4" w:rsidP="001544A4">
            <w:pPr>
              <w:ind w:left="240"/>
              <w:jc w:val="right"/>
              <w:rPr>
                <w:rFonts w:ascii="Arial" w:hAnsi="Arial" w:cs="Arial"/>
                <w:b/>
                <w:bCs/>
                <w:sz w:val="20"/>
              </w:rPr>
            </w:pPr>
            <w:r w:rsidRPr="00133A72">
              <w:rPr>
                <w:rFonts w:ascii="Arial" w:hAnsi="Arial" w:cs="Arial"/>
                <w:b/>
                <w:bCs/>
                <w:sz w:val="20"/>
              </w:rPr>
              <w:t>Total</w:t>
            </w:r>
          </w:p>
        </w:tc>
        <w:tc>
          <w:tcPr>
            <w:tcW w:w="1659" w:type="dxa"/>
            <w:vAlign w:val="bottom"/>
          </w:tcPr>
          <w:p w14:paraId="20232C4C" w14:textId="552ABF43" w:rsidR="001544A4" w:rsidRPr="00133A72" w:rsidRDefault="001544A4" w:rsidP="001544A4">
            <w:pPr>
              <w:jc w:val="right"/>
              <w:rPr>
                <w:rFonts w:ascii="Arial" w:hAnsi="Arial" w:cs="Arial"/>
                <w:b/>
                <w:bCs/>
                <w:sz w:val="20"/>
                <w:szCs w:val="20"/>
              </w:rPr>
            </w:pPr>
            <w:r w:rsidRPr="19B1F5A6">
              <w:rPr>
                <w:rFonts w:ascii="Arial" w:hAnsi="Arial" w:cs="Arial"/>
                <w:b/>
                <w:bCs/>
                <w:sz w:val="20"/>
                <w:szCs w:val="20"/>
              </w:rPr>
              <w:t>$8,439,980</w:t>
            </w:r>
          </w:p>
        </w:tc>
        <w:tc>
          <w:tcPr>
            <w:tcW w:w="1659" w:type="dxa"/>
            <w:vAlign w:val="bottom"/>
          </w:tcPr>
          <w:p w14:paraId="00673209" w14:textId="63F8588F" w:rsidR="001544A4" w:rsidRPr="00133A72" w:rsidRDefault="001544A4" w:rsidP="001544A4">
            <w:pPr>
              <w:jc w:val="right"/>
              <w:rPr>
                <w:rFonts w:ascii="Arial" w:hAnsi="Arial" w:cs="Arial"/>
                <w:b/>
                <w:bCs/>
                <w:sz w:val="20"/>
                <w:szCs w:val="20"/>
              </w:rPr>
            </w:pPr>
            <w:r w:rsidRPr="79720D0A">
              <w:rPr>
                <w:rFonts w:ascii="Arial" w:hAnsi="Arial" w:cs="Arial"/>
                <w:b/>
                <w:bCs/>
                <w:sz w:val="20"/>
                <w:szCs w:val="20"/>
              </w:rPr>
              <w:t>$7,423,031</w:t>
            </w:r>
          </w:p>
        </w:tc>
        <w:tc>
          <w:tcPr>
            <w:tcW w:w="1659" w:type="dxa"/>
            <w:shd w:val="clear" w:color="auto" w:fill="auto"/>
            <w:vAlign w:val="bottom"/>
          </w:tcPr>
          <w:p w14:paraId="11F72F41" w14:textId="496A6361" w:rsidR="001544A4" w:rsidRPr="00133A72" w:rsidRDefault="001544A4" w:rsidP="001544A4">
            <w:pPr>
              <w:jc w:val="right"/>
              <w:rPr>
                <w:rFonts w:ascii="Arial" w:hAnsi="Arial" w:cs="Arial"/>
                <w:b/>
                <w:bCs/>
                <w:sz w:val="20"/>
                <w:szCs w:val="20"/>
              </w:rPr>
            </w:pPr>
            <w:r>
              <w:rPr>
                <w:rFonts w:ascii="Arial" w:hAnsi="Arial" w:cs="Arial"/>
                <w:b/>
                <w:bCs/>
                <w:sz w:val="20"/>
                <w:szCs w:val="20"/>
              </w:rPr>
              <w:t>$9,035,588</w:t>
            </w:r>
          </w:p>
        </w:tc>
        <w:tc>
          <w:tcPr>
            <w:tcW w:w="1659" w:type="dxa"/>
            <w:shd w:val="clear" w:color="auto" w:fill="auto"/>
            <w:vAlign w:val="bottom"/>
          </w:tcPr>
          <w:p w14:paraId="6C61CF27" w14:textId="1EC79C50" w:rsidR="001544A4" w:rsidRPr="00133A72" w:rsidRDefault="001544A4" w:rsidP="001544A4">
            <w:pPr>
              <w:jc w:val="right"/>
              <w:rPr>
                <w:rFonts w:ascii="Arial" w:hAnsi="Arial" w:cs="Arial"/>
                <w:b/>
                <w:bCs/>
                <w:sz w:val="20"/>
                <w:szCs w:val="20"/>
              </w:rPr>
            </w:pPr>
          </w:p>
        </w:tc>
      </w:tr>
      <w:bookmarkEnd w:id="2"/>
    </w:tbl>
    <w:p w14:paraId="0B396CBA" w14:textId="77777777" w:rsidR="008C4309" w:rsidRPr="00133A72" w:rsidRDefault="008C4309" w:rsidP="0007543C">
      <w:pPr>
        <w:jc w:val="both"/>
        <w:rPr>
          <w:rFonts w:ascii="Arial" w:hAnsi="Arial" w:cs="Arial"/>
          <w:bCs/>
          <w:szCs w:val="20"/>
        </w:rPr>
      </w:pPr>
    </w:p>
    <w:p w14:paraId="3B729094" w14:textId="3673E540" w:rsidR="001D59D0" w:rsidRDefault="001D59D0" w:rsidP="0007543C">
      <w:pPr>
        <w:rPr>
          <w:rFonts w:ascii="Arial" w:hAnsi="Arial" w:cs="Arial"/>
          <w:b/>
          <w:bCs/>
        </w:rPr>
      </w:pPr>
      <w:bookmarkStart w:id="3" w:name="_Hlk44915504"/>
      <w:r w:rsidRPr="00133A72">
        <w:rPr>
          <w:rFonts w:ascii="Arial" w:hAnsi="Arial" w:cs="Arial"/>
          <w:b/>
          <w:bCs/>
        </w:rPr>
        <w:t>Profile of Cases Managed and/or Key Services Provided</w:t>
      </w:r>
    </w:p>
    <w:p w14:paraId="0A1A1976" w14:textId="77777777" w:rsidR="00AB6A1D" w:rsidRPr="00133A72" w:rsidRDefault="00AB6A1D" w:rsidP="0007543C">
      <w:pPr>
        <w:rPr>
          <w:rFonts w:ascii="Arial" w:hAnsi="Arial" w:cs="Arial"/>
          <w:b/>
          <w:bC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1350"/>
        <w:gridCol w:w="1350"/>
        <w:gridCol w:w="1350"/>
        <w:gridCol w:w="1350"/>
      </w:tblGrid>
      <w:tr w:rsidR="001544A4" w:rsidRPr="00133A72" w14:paraId="3AB63519" w14:textId="77777777" w:rsidTr="00CB5C14">
        <w:trPr>
          <w:tblHeader/>
        </w:trPr>
        <w:tc>
          <w:tcPr>
            <w:tcW w:w="4680" w:type="dxa"/>
            <w:shd w:val="clear" w:color="auto" w:fill="1F497D" w:themeFill="text2"/>
            <w:vAlign w:val="bottom"/>
          </w:tcPr>
          <w:bookmarkEnd w:id="3"/>
          <w:p w14:paraId="352140C1" w14:textId="77777777" w:rsidR="001544A4" w:rsidRPr="00133A72" w:rsidRDefault="001544A4" w:rsidP="001544A4">
            <w:pPr>
              <w:jc w:val="center"/>
              <w:rPr>
                <w:rFonts w:ascii="Arial" w:hAnsi="Arial" w:cs="Arial"/>
                <w:b/>
                <w:bCs/>
                <w:color w:val="FFFFFF"/>
                <w:sz w:val="20"/>
              </w:rPr>
            </w:pPr>
            <w:r w:rsidRPr="00133A72">
              <w:rPr>
                <w:rFonts w:ascii="Arial" w:hAnsi="Arial" w:cs="Arial"/>
                <w:b/>
                <w:bCs/>
                <w:color w:val="FFFFFF"/>
                <w:sz w:val="20"/>
              </w:rPr>
              <w:t>Cases Managed and/or Key Services Provided</w:t>
            </w:r>
          </w:p>
        </w:tc>
        <w:tc>
          <w:tcPr>
            <w:tcW w:w="1350" w:type="dxa"/>
            <w:shd w:val="clear" w:color="auto" w:fill="1F497D" w:themeFill="text2"/>
          </w:tcPr>
          <w:p w14:paraId="69CBA8EC" w14:textId="7DB60A2B" w:rsidR="001544A4" w:rsidRPr="00133A72" w:rsidRDefault="001544A4" w:rsidP="001544A4">
            <w:pPr>
              <w:jc w:val="center"/>
              <w:rPr>
                <w:rFonts w:ascii="Arial" w:hAnsi="Arial" w:cs="Arial"/>
                <w:b/>
                <w:bCs/>
                <w:color w:val="FFFFFF"/>
                <w:sz w:val="20"/>
              </w:rPr>
            </w:pPr>
            <w:r>
              <w:rPr>
                <w:rFonts w:ascii="Arial" w:hAnsi="Arial" w:cs="Arial"/>
                <w:b/>
                <w:bCs/>
                <w:color w:val="FFFFFF"/>
                <w:sz w:val="20"/>
              </w:rPr>
              <w:t>FY 2022</w:t>
            </w:r>
          </w:p>
        </w:tc>
        <w:tc>
          <w:tcPr>
            <w:tcW w:w="1350" w:type="dxa"/>
            <w:shd w:val="clear" w:color="auto" w:fill="1F497D" w:themeFill="text2"/>
          </w:tcPr>
          <w:p w14:paraId="451C4B1D" w14:textId="6180AC59" w:rsidR="001544A4" w:rsidRPr="00133A72" w:rsidRDefault="001544A4" w:rsidP="001544A4">
            <w:pPr>
              <w:jc w:val="center"/>
              <w:rPr>
                <w:rFonts w:ascii="Arial" w:hAnsi="Arial" w:cs="Arial"/>
                <w:b/>
                <w:bCs/>
                <w:color w:val="FFFFFF"/>
                <w:sz w:val="20"/>
              </w:rPr>
            </w:pPr>
            <w:r>
              <w:rPr>
                <w:rFonts w:ascii="Arial" w:hAnsi="Arial" w:cs="Arial"/>
                <w:b/>
                <w:bCs/>
                <w:color w:val="FFFFFF"/>
                <w:sz w:val="20"/>
              </w:rPr>
              <w:t>FY 2023</w:t>
            </w:r>
          </w:p>
        </w:tc>
        <w:tc>
          <w:tcPr>
            <w:tcW w:w="1350" w:type="dxa"/>
            <w:shd w:val="clear" w:color="auto" w:fill="1F497D" w:themeFill="text2"/>
          </w:tcPr>
          <w:p w14:paraId="697A6828" w14:textId="3B041FC4" w:rsidR="001544A4" w:rsidRPr="00133A72" w:rsidRDefault="001544A4" w:rsidP="001544A4">
            <w:pPr>
              <w:jc w:val="center"/>
              <w:rPr>
                <w:rFonts w:ascii="Arial" w:hAnsi="Arial" w:cs="Arial"/>
                <w:b/>
                <w:bCs/>
                <w:color w:val="FFFFFF"/>
                <w:sz w:val="20"/>
              </w:rPr>
            </w:pPr>
            <w:r>
              <w:rPr>
                <w:rFonts w:ascii="Arial" w:hAnsi="Arial" w:cs="Arial"/>
                <w:b/>
                <w:bCs/>
                <w:color w:val="FFFFFF"/>
                <w:sz w:val="20"/>
              </w:rPr>
              <w:t>FY 2024</w:t>
            </w:r>
          </w:p>
        </w:tc>
        <w:tc>
          <w:tcPr>
            <w:tcW w:w="1350" w:type="dxa"/>
            <w:shd w:val="clear" w:color="auto" w:fill="1F497D" w:themeFill="text2"/>
          </w:tcPr>
          <w:p w14:paraId="3F34010A" w14:textId="3D2EC3DF" w:rsidR="001544A4" w:rsidRPr="00133A72" w:rsidRDefault="001544A4" w:rsidP="001544A4">
            <w:pPr>
              <w:jc w:val="center"/>
              <w:rPr>
                <w:rFonts w:ascii="Arial" w:hAnsi="Arial" w:cs="Arial"/>
                <w:b/>
                <w:bCs/>
                <w:color w:val="FFFFFF"/>
                <w:sz w:val="20"/>
              </w:rPr>
            </w:pPr>
            <w:r>
              <w:rPr>
                <w:rFonts w:ascii="Arial" w:hAnsi="Arial" w:cs="Arial"/>
                <w:b/>
                <w:bCs/>
                <w:color w:val="FFFFFF"/>
                <w:sz w:val="20"/>
              </w:rPr>
              <w:t>FY 2025</w:t>
            </w:r>
          </w:p>
        </w:tc>
      </w:tr>
      <w:tr w:rsidR="001544A4" w:rsidRPr="00133A72" w14:paraId="2A11AC79" w14:textId="77777777" w:rsidTr="005B4AD7">
        <w:trPr>
          <w:trHeight w:val="70"/>
        </w:trPr>
        <w:tc>
          <w:tcPr>
            <w:tcW w:w="4680" w:type="dxa"/>
            <w:vAlign w:val="center"/>
          </w:tcPr>
          <w:p w14:paraId="0D4A1E3E" w14:textId="7E2BAA75" w:rsidR="001544A4" w:rsidRPr="00133A72" w:rsidRDefault="001544A4" w:rsidP="001544A4">
            <w:pPr>
              <w:rPr>
                <w:rFonts w:ascii="Arial" w:hAnsi="Arial" w:cs="Arial"/>
                <w:sz w:val="20"/>
                <w:szCs w:val="20"/>
              </w:rPr>
            </w:pPr>
            <w:proofErr w:type="spellStart"/>
            <w:r w:rsidRPr="00133A72">
              <w:rPr>
                <w:rFonts w:ascii="Arial" w:hAnsi="Arial" w:cs="Arial"/>
                <w:sz w:val="20"/>
                <w:szCs w:val="20"/>
              </w:rPr>
              <w:t>LiLI</w:t>
            </w:r>
            <w:proofErr w:type="spellEnd"/>
            <w:r w:rsidRPr="00133A72">
              <w:rPr>
                <w:rFonts w:ascii="Arial" w:hAnsi="Arial" w:cs="Arial"/>
                <w:sz w:val="20"/>
                <w:szCs w:val="20"/>
              </w:rPr>
              <w:t xml:space="preserve"> Databases Full Text Views</w:t>
            </w:r>
            <w:r>
              <w:rPr>
                <w:rFonts w:ascii="Arial" w:hAnsi="Arial" w:cs="Arial"/>
                <w:sz w:val="20"/>
                <w:szCs w:val="20"/>
                <w:vertAlign w:val="superscript"/>
              </w:rPr>
              <w:t>1</w:t>
            </w:r>
          </w:p>
        </w:tc>
        <w:tc>
          <w:tcPr>
            <w:tcW w:w="1350" w:type="dxa"/>
            <w:vAlign w:val="center"/>
          </w:tcPr>
          <w:p w14:paraId="38CDC7A0" w14:textId="0531E8BC" w:rsidR="001544A4" w:rsidRPr="00133A72" w:rsidRDefault="001544A4" w:rsidP="001544A4">
            <w:pPr>
              <w:jc w:val="right"/>
              <w:rPr>
                <w:rFonts w:ascii="Arial" w:hAnsi="Arial" w:cs="Arial"/>
                <w:sz w:val="20"/>
                <w:szCs w:val="20"/>
              </w:rPr>
            </w:pPr>
            <w:r>
              <w:rPr>
                <w:rFonts w:ascii="Arial" w:hAnsi="Arial" w:cs="Arial"/>
                <w:sz w:val="20"/>
                <w:szCs w:val="20"/>
              </w:rPr>
              <w:t>9,052,172</w:t>
            </w:r>
          </w:p>
        </w:tc>
        <w:tc>
          <w:tcPr>
            <w:tcW w:w="1350" w:type="dxa"/>
            <w:vAlign w:val="center"/>
          </w:tcPr>
          <w:p w14:paraId="497004BD" w14:textId="66BA37E1" w:rsidR="001544A4" w:rsidRPr="00133A72" w:rsidRDefault="001544A4" w:rsidP="001544A4">
            <w:pPr>
              <w:jc w:val="right"/>
              <w:rPr>
                <w:rFonts w:ascii="Arial" w:hAnsi="Arial" w:cs="Arial"/>
                <w:sz w:val="20"/>
                <w:szCs w:val="20"/>
              </w:rPr>
            </w:pPr>
            <w:r>
              <w:rPr>
                <w:rFonts w:ascii="Arial" w:hAnsi="Arial" w:cs="Arial"/>
                <w:sz w:val="20"/>
                <w:szCs w:val="20"/>
              </w:rPr>
              <w:t>7,805,526</w:t>
            </w:r>
          </w:p>
        </w:tc>
        <w:tc>
          <w:tcPr>
            <w:tcW w:w="1350" w:type="dxa"/>
            <w:vAlign w:val="center"/>
          </w:tcPr>
          <w:p w14:paraId="6972A8AA" w14:textId="10FEACCD" w:rsidR="001544A4" w:rsidRPr="00133A72" w:rsidRDefault="001544A4" w:rsidP="001544A4">
            <w:pPr>
              <w:jc w:val="right"/>
              <w:rPr>
                <w:rFonts w:ascii="Arial" w:hAnsi="Arial" w:cs="Arial"/>
                <w:sz w:val="20"/>
                <w:szCs w:val="20"/>
              </w:rPr>
            </w:pPr>
            <w:r>
              <w:rPr>
                <w:rFonts w:ascii="Arial" w:hAnsi="Arial" w:cs="Arial"/>
                <w:sz w:val="20"/>
                <w:szCs w:val="20"/>
              </w:rPr>
              <w:t>7,841,063</w:t>
            </w:r>
          </w:p>
        </w:tc>
        <w:tc>
          <w:tcPr>
            <w:tcW w:w="1350" w:type="dxa"/>
            <w:vAlign w:val="center"/>
          </w:tcPr>
          <w:p w14:paraId="74C69590" w14:textId="17DD3413" w:rsidR="001544A4" w:rsidRPr="00133A72" w:rsidRDefault="001544A4" w:rsidP="001544A4">
            <w:pPr>
              <w:jc w:val="right"/>
              <w:rPr>
                <w:rFonts w:ascii="Arial" w:hAnsi="Arial" w:cs="Arial"/>
                <w:sz w:val="20"/>
                <w:szCs w:val="20"/>
              </w:rPr>
            </w:pPr>
          </w:p>
        </w:tc>
      </w:tr>
      <w:tr w:rsidR="001544A4" w:rsidRPr="00133A72" w14:paraId="321F51FD" w14:textId="77777777" w:rsidTr="005B4AD7">
        <w:trPr>
          <w:trHeight w:val="70"/>
        </w:trPr>
        <w:tc>
          <w:tcPr>
            <w:tcW w:w="4680" w:type="dxa"/>
            <w:vAlign w:val="center"/>
          </w:tcPr>
          <w:p w14:paraId="031278D9" w14:textId="7C7528DE" w:rsidR="001544A4" w:rsidRPr="00133A72" w:rsidRDefault="001544A4" w:rsidP="001544A4">
            <w:pPr>
              <w:rPr>
                <w:rFonts w:ascii="Arial" w:hAnsi="Arial" w:cs="Arial"/>
                <w:sz w:val="20"/>
                <w:szCs w:val="20"/>
                <w:vertAlign w:val="superscript"/>
              </w:rPr>
            </w:pPr>
            <w:proofErr w:type="spellStart"/>
            <w:r w:rsidRPr="00133A72">
              <w:rPr>
                <w:rFonts w:ascii="Arial" w:hAnsi="Arial" w:cs="Arial"/>
                <w:sz w:val="20"/>
                <w:szCs w:val="20"/>
              </w:rPr>
              <w:t>LearningExpress</w:t>
            </w:r>
            <w:proofErr w:type="spellEnd"/>
            <w:r w:rsidRPr="00133A72">
              <w:rPr>
                <w:rFonts w:ascii="Arial" w:hAnsi="Arial" w:cs="Arial"/>
                <w:sz w:val="20"/>
                <w:szCs w:val="20"/>
              </w:rPr>
              <w:t xml:space="preserve"> Library Site Visits </w:t>
            </w:r>
          </w:p>
        </w:tc>
        <w:tc>
          <w:tcPr>
            <w:tcW w:w="1350" w:type="dxa"/>
            <w:vAlign w:val="center"/>
          </w:tcPr>
          <w:p w14:paraId="74CE2774" w14:textId="1C2C0E11" w:rsidR="001544A4" w:rsidRPr="00133A72" w:rsidRDefault="001544A4" w:rsidP="001544A4">
            <w:pPr>
              <w:jc w:val="right"/>
              <w:rPr>
                <w:rFonts w:ascii="Arial" w:hAnsi="Arial" w:cs="Arial"/>
                <w:sz w:val="20"/>
                <w:szCs w:val="20"/>
              </w:rPr>
            </w:pPr>
            <w:r>
              <w:rPr>
                <w:rFonts w:ascii="Arial" w:hAnsi="Arial" w:cs="Arial"/>
                <w:sz w:val="20"/>
                <w:szCs w:val="20"/>
              </w:rPr>
              <w:t>2,978</w:t>
            </w:r>
          </w:p>
        </w:tc>
        <w:tc>
          <w:tcPr>
            <w:tcW w:w="1350" w:type="dxa"/>
            <w:vAlign w:val="center"/>
          </w:tcPr>
          <w:p w14:paraId="23CC8434" w14:textId="612451AE" w:rsidR="001544A4" w:rsidRPr="00133A72" w:rsidRDefault="001544A4" w:rsidP="001544A4">
            <w:pPr>
              <w:jc w:val="right"/>
              <w:rPr>
                <w:rFonts w:ascii="Arial" w:hAnsi="Arial" w:cs="Arial"/>
                <w:sz w:val="20"/>
                <w:szCs w:val="20"/>
              </w:rPr>
            </w:pPr>
            <w:r>
              <w:rPr>
                <w:rFonts w:ascii="Arial" w:hAnsi="Arial" w:cs="Arial"/>
                <w:sz w:val="20"/>
                <w:szCs w:val="20"/>
              </w:rPr>
              <w:t>2,238</w:t>
            </w:r>
          </w:p>
        </w:tc>
        <w:tc>
          <w:tcPr>
            <w:tcW w:w="1350" w:type="dxa"/>
            <w:vAlign w:val="center"/>
          </w:tcPr>
          <w:p w14:paraId="77F88A7D" w14:textId="495E6032" w:rsidR="001544A4" w:rsidRPr="00133A72" w:rsidRDefault="001544A4" w:rsidP="001544A4">
            <w:pPr>
              <w:jc w:val="right"/>
              <w:rPr>
                <w:rFonts w:ascii="Arial" w:hAnsi="Arial" w:cs="Arial"/>
                <w:sz w:val="20"/>
                <w:szCs w:val="20"/>
              </w:rPr>
            </w:pPr>
            <w:r>
              <w:rPr>
                <w:rFonts w:ascii="Arial" w:hAnsi="Arial" w:cs="Arial"/>
                <w:sz w:val="20"/>
                <w:szCs w:val="20"/>
              </w:rPr>
              <w:t>2,799</w:t>
            </w:r>
          </w:p>
        </w:tc>
        <w:tc>
          <w:tcPr>
            <w:tcW w:w="1350" w:type="dxa"/>
            <w:vAlign w:val="center"/>
          </w:tcPr>
          <w:p w14:paraId="36BB79E3" w14:textId="4ECD456A" w:rsidR="001544A4" w:rsidRPr="00133A72" w:rsidRDefault="001544A4" w:rsidP="001544A4">
            <w:pPr>
              <w:jc w:val="right"/>
              <w:rPr>
                <w:rFonts w:ascii="Arial" w:hAnsi="Arial" w:cs="Arial"/>
                <w:sz w:val="20"/>
                <w:szCs w:val="20"/>
              </w:rPr>
            </w:pPr>
          </w:p>
        </w:tc>
      </w:tr>
      <w:tr w:rsidR="001544A4" w:rsidRPr="00133A72" w14:paraId="45305B6A" w14:textId="77777777" w:rsidTr="005B4AD7">
        <w:trPr>
          <w:trHeight w:val="70"/>
        </w:trPr>
        <w:tc>
          <w:tcPr>
            <w:tcW w:w="4680" w:type="dxa"/>
            <w:vAlign w:val="center"/>
          </w:tcPr>
          <w:p w14:paraId="76992BA7" w14:textId="66B86307" w:rsidR="001544A4" w:rsidRPr="00133A72" w:rsidRDefault="001544A4" w:rsidP="001544A4">
            <w:pPr>
              <w:rPr>
                <w:rFonts w:ascii="Arial" w:hAnsi="Arial" w:cs="Arial"/>
                <w:sz w:val="20"/>
                <w:szCs w:val="20"/>
                <w:vertAlign w:val="superscript"/>
              </w:rPr>
            </w:pPr>
            <w:proofErr w:type="spellStart"/>
            <w:r w:rsidRPr="00133A72">
              <w:rPr>
                <w:rFonts w:ascii="Arial" w:hAnsi="Arial" w:cs="Arial"/>
                <w:sz w:val="20"/>
                <w:szCs w:val="20"/>
              </w:rPr>
              <w:t>LearningExpress</w:t>
            </w:r>
            <w:proofErr w:type="spellEnd"/>
            <w:r w:rsidRPr="00133A72">
              <w:rPr>
                <w:rFonts w:ascii="Arial" w:hAnsi="Arial" w:cs="Arial"/>
                <w:sz w:val="20"/>
                <w:szCs w:val="20"/>
              </w:rPr>
              <w:t xml:space="preserve"> Library Learning Resources</w:t>
            </w:r>
            <w:r w:rsidRPr="00133A72">
              <w:rPr>
                <w:rFonts w:ascii="Arial" w:hAnsi="Arial" w:cs="Arial"/>
                <w:sz w:val="20"/>
                <w:szCs w:val="20"/>
                <w:vertAlign w:val="superscript"/>
              </w:rPr>
              <w:t>2</w:t>
            </w:r>
          </w:p>
        </w:tc>
        <w:tc>
          <w:tcPr>
            <w:tcW w:w="1350" w:type="dxa"/>
            <w:vAlign w:val="center"/>
          </w:tcPr>
          <w:p w14:paraId="5308EF79" w14:textId="5CA5C51D" w:rsidR="001544A4" w:rsidRPr="00133A72" w:rsidRDefault="001544A4" w:rsidP="001544A4">
            <w:pPr>
              <w:jc w:val="right"/>
              <w:rPr>
                <w:rFonts w:ascii="Arial" w:hAnsi="Arial" w:cs="Arial"/>
                <w:sz w:val="20"/>
                <w:szCs w:val="20"/>
              </w:rPr>
            </w:pPr>
            <w:r>
              <w:rPr>
                <w:rFonts w:ascii="Arial" w:hAnsi="Arial" w:cs="Arial"/>
                <w:i/>
                <w:sz w:val="20"/>
                <w:szCs w:val="20"/>
              </w:rPr>
              <w:t>NA*</w:t>
            </w:r>
          </w:p>
        </w:tc>
        <w:tc>
          <w:tcPr>
            <w:tcW w:w="1350" w:type="dxa"/>
            <w:vAlign w:val="center"/>
          </w:tcPr>
          <w:p w14:paraId="18D7C8BB" w14:textId="5E87D67B" w:rsidR="001544A4" w:rsidRPr="00133A72" w:rsidRDefault="001544A4" w:rsidP="001544A4">
            <w:pPr>
              <w:jc w:val="right"/>
              <w:rPr>
                <w:rFonts w:ascii="Arial" w:hAnsi="Arial" w:cs="Arial"/>
                <w:sz w:val="20"/>
                <w:szCs w:val="20"/>
              </w:rPr>
            </w:pPr>
            <w:r>
              <w:rPr>
                <w:rFonts w:ascii="Arial" w:hAnsi="Arial" w:cs="Arial"/>
                <w:i/>
                <w:sz w:val="20"/>
                <w:szCs w:val="20"/>
              </w:rPr>
              <w:t>NA*</w:t>
            </w:r>
          </w:p>
        </w:tc>
        <w:tc>
          <w:tcPr>
            <w:tcW w:w="1350" w:type="dxa"/>
            <w:vAlign w:val="center"/>
          </w:tcPr>
          <w:p w14:paraId="293C6442" w14:textId="1C3C0A92" w:rsidR="001544A4" w:rsidRPr="00133A72" w:rsidRDefault="001544A4" w:rsidP="001544A4">
            <w:pPr>
              <w:jc w:val="right"/>
              <w:rPr>
                <w:rFonts w:ascii="Arial" w:hAnsi="Arial" w:cs="Arial"/>
                <w:sz w:val="20"/>
                <w:szCs w:val="20"/>
              </w:rPr>
            </w:pPr>
            <w:r>
              <w:rPr>
                <w:rFonts w:ascii="Arial" w:hAnsi="Arial" w:cs="Arial"/>
                <w:i/>
                <w:sz w:val="20"/>
                <w:szCs w:val="20"/>
              </w:rPr>
              <w:t>NA*</w:t>
            </w:r>
          </w:p>
        </w:tc>
        <w:tc>
          <w:tcPr>
            <w:tcW w:w="1350" w:type="dxa"/>
            <w:vAlign w:val="center"/>
          </w:tcPr>
          <w:p w14:paraId="5ECFA5ED" w14:textId="7057F495" w:rsidR="001544A4" w:rsidRPr="00133A72" w:rsidRDefault="001544A4" w:rsidP="001544A4">
            <w:pPr>
              <w:jc w:val="right"/>
              <w:rPr>
                <w:rFonts w:ascii="Arial" w:hAnsi="Arial" w:cs="Arial"/>
                <w:i/>
                <w:sz w:val="20"/>
                <w:szCs w:val="20"/>
              </w:rPr>
            </w:pPr>
          </w:p>
        </w:tc>
      </w:tr>
      <w:tr w:rsidR="001544A4" w:rsidRPr="00133A72" w14:paraId="0D37548E" w14:textId="77777777" w:rsidTr="005B4AD7">
        <w:trPr>
          <w:trHeight w:val="70"/>
        </w:trPr>
        <w:tc>
          <w:tcPr>
            <w:tcW w:w="4680" w:type="dxa"/>
            <w:vAlign w:val="center"/>
          </w:tcPr>
          <w:p w14:paraId="6B2FBF6E" w14:textId="77777777" w:rsidR="001544A4" w:rsidRPr="00133A72" w:rsidRDefault="001544A4" w:rsidP="001544A4">
            <w:pPr>
              <w:rPr>
                <w:rFonts w:ascii="Arial" w:hAnsi="Arial" w:cs="Arial"/>
                <w:sz w:val="20"/>
                <w:szCs w:val="20"/>
              </w:rPr>
            </w:pPr>
            <w:r w:rsidRPr="00133A72">
              <w:rPr>
                <w:rFonts w:ascii="Arial" w:hAnsi="Arial" w:cs="Arial"/>
                <w:sz w:val="20"/>
                <w:szCs w:val="20"/>
              </w:rPr>
              <w:t>Talking Book Service Patrons</w:t>
            </w:r>
          </w:p>
        </w:tc>
        <w:tc>
          <w:tcPr>
            <w:tcW w:w="1350" w:type="dxa"/>
            <w:vAlign w:val="center"/>
          </w:tcPr>
          <w:p w14:paraId="62F24529" w14:textId="109AF02F" w:rsidR="001544A4" w:rsidRPr="00133A72" w:rsidRDefault="001544A4" w:rsidP="001544A4">
            <w:pPr>
              <w:jc w:val="right"/>
              <w:rPr>
                <w:rFonts w:ascii="Arial" w:hAnsi="Arial" w:cs="Arial"/>
                <w:sz w:val="20"/>
                <w:szCs w:val="20"/>
              </w:rPr>
            </w:pPr>
            <w:r>
              <w:rPr>
                <w:rFonts w:ascii="Arial" w:hAnsi="Arial" w:cs="Arial"/>
                <w:sz w:val="20"/>
                <w:szCs w:val="20"/>
              </w:rPr>
              <w:t>3,105</w:t>
            </w:r>
          </w:p>
        </w:tc>
        <w:tc>
          <w:tcPr>
            <w:tcW w:w="1350" w:type="dxa"/>
            <w:vAlign w:val="center"/>
          </w:tcPr>
          <w:p w14:paraId="0354125C" w14:textId="22FCF72B" w:rsidR="001544A4" w:rsidRPr="00133A72" w:rsidRDefault="001544A4" w:rsidP="001544A4">
            <w:pPr>
              <w:jc w:val="right"/>
              <w:rPr>
                <w:rFonts w:ascii="Arial" w:hAnsi="Arial" w:cs="Arial"/>
                <w:sz w:val="20"/>
                <w:szCs w:val="20"/>
              </w:rPr>
            </w:pPr>
            <w:r>
              <w:rPr>
                <w:rFonts w:ascii="Arial" w:hAnsi="Arial" w:cs="Arial"/>
                <w:sz w:val="20"/>
                <w:szCs w:val="20"/>
              </w:rPr>
              <w:t>3,163</w:t>
            </w:r>
          </w:p>
        </w:tc>
        <w:tc>
          <w:tcPr>
            <w:tcW w:w="1350" w:type="dxa"/>
            <w:vAlign w:val="center"/>
          </w:tcPr>
          <w:p w14:paraId="4B510C71" w14:textId="5DA2FA05" w:rsidR="001544A4" w:rsidRPr="00133A72" w:rsidRDefault="001544A4" w:rsidP="001544A4">
            <w:pPr>
              <w:jc w:val="right"/>
              <w:rPr>
                <w:rFonts w:ascii="Arial" w:hAnsi="Arial" w:cs="Arial"/>
                <w:sz w:val="20"/>
                <w:szCs w:val="20"/>
              </w:rPr>
            </w:pPr>
            <w:r>
              <w:rPr>
                <w:rFonts w:ascii="Arial" w:hAnsi="Arial" w:cs="Arial"/>
                <w:sz w:val="20"/>
                <w:szCs w:val="20"/>
              </w:rPr>
              <w:t>3,286</w:t>
            </w:r>
          </w:p>
        </w:tc>
        <w:tc>
          <w:tcPr>
            <w:tcW w:w="1350" w:type="dxa"/>
            <w:vAlign w:val="center"/>
          </w:tcPr>
          <w:p w14:paraId="4D78FC93" w14:textId="4F0A9AA5" w:rsidR="001544A4" w:rsidRPr="00133A72" w:rsidRDefault="001544A4" w:rsidP="001544A4">
            <w:pPr>
              <w:jc w:val="right"/>
              <w:rPr>
                <w:rFonts w:ascii="Arial" w:hAnsi="Arial" w:cs="Arial"/>
                <w:sz w:val="20"/>
                <w:szCs w:val="20"/>
              </w:rPr>
            </w:pPr>
          </w:p>
        </w:tc>
      </w:tr>
      <w:tr w:rsidR="001544A4" w:rsidRPr="00133A72" w14:paraId="57FA9BC6" w14:textId="77777777" w:rsidTr="005B4AD7">
        <w:trPr>
          <w:trHeight w:val="70"/>
        </w:trPr>
        <w:tc>
          <w:tcPr>
            <w:tcW w:w="4680" w:type="dxa"/>
            <w:vAlign w:val="center"/>
          </w:tcPr>
          <w:p w14:paraId="1EB3929F" w14:textId="77777777" w:rsidR="001544A4" w:rsidRPr="00133A72" w:rsidRDefault="001544A4" w:rsidP="001544A4">
            <w:pPr>
              <w:rPr>
                <w:rFonts w:ascii="Arial" w:hAnsi="Arial" w:cs="Arial"/>
                <w:sz w:val="20"/>
                <w:szCs w:val="20"/>
              </w:rPr>
            </w:pPr>
            <w:proofErr w:type="gramStart"/>
            <w:r w:rsidRPr="00133A72">
              <w:rPr>
                <w:rFonts w:ascii="Arial" w:hAnsi="Arial" w:cs="Arial"/>
                <w:sz w:val="20"/>
                <w:szCs w:val="20"/>
              </w:rPr>
              <w:t>Talking</w:t>
            </w:r>
            <w:proofErr w:type="gramEnd"/>
            <w:r w:rsidRPr="00133A72">
              <w:rPr>
                <w:rFonts w:ascii="Arial" w:hAnsi="Arial" w:cs="Arial"/>
                <w:sz w:val="20"/>
                <w:szCs w:val="20"/>
              </w:rPr>
              <w:t xml:space="preserve"> Book Service Circulations </w:t>
            </w:r>
          </w:p>
        </w:tc>
        <w:tc>
          <w:tcPr>
            <w:tcW w:w="1350" w:type="dxa"/>
            <w:vAlign w:val="center"/>
          </w:tcPr>
          <w:p w14:paraId="4E7F785F" w14:textId="54FB13AC" w:rsidR="001544A4" w:rsidRPr="00133A72" w:rsidRDefault="001544A4" w:rsidP="001544A4">
            <w:pPr>
              <w:jc w:val="right"/>
              <w:rPr>
                <w:rFonts w:ascii="Arial" w:hAnsi="Arial" w:cs="Arial"/>
                <w:sz w:val="20"/>
                <w:szCs w:val="20"/>
              </w:rPr>
            </w:pPr>
            <w:r>
              <w:rPr>
                <w:rFonts w:ascii="Arial" w:hAnsi="Arial" w:cs="Arial"/>
                <w:sz w:val="20"/>
                <w:szCs w:val="20"/>
              </w:rPr>
              <w:t>273,892</w:t>
            </w:r>
          </w:p>
        </w:tc>
        <w:tc>
          <w:tcPr>
            <w:tcW w:w="1350" w:type="dxa"/>
            <w:vAlign w:val="center"/>
          </w:tcPr>
          <w:p w14:paraId="0B39B566" w14:textId="3F2E8A3F" w:rsidR="001544A4" w:rsidRPr="00133A72" w:rsidRDefault="001544A4" w:rsidP="001544A4">
            <w:pPr>
              <w:jc w:val="right"/>
              <w:rPr>
                <w:rFonts w:ascii="Arial" w:hAnsi="Arial" w:cs="Arial"/>
                <w:sz w:val="20"/>
                <w:szCs w:val="20"/>
              </w:rPr>
            </w:pPr>
            <w:r>
              <w:rPr>
                <w:rFonts w:ascii="Arial" w:hAnsi="Arial" w:cs="Arial"/>
                <w:sz w:val="20"/>
                <w:szCs w:val="20"/>
              </w:rPr>
              <w:t>247,219</w:t>
            </w:r>
          </w:p>
        </w:tc>
        <w:tc>
          <w:tcPr>
            <w:tcW w:w="1350" w:type="dxa"/>
            <w:vAlign w:val="center"/>
          </w:tcPr>
          <w:p w14:paraId="3FF0B836" w14:textId="777A67C7" w:rsidR="001544A4" w:rsidRPr="00133A72" w:rsidRDefault="001544A4" w:rsidP="001544A4">
            <w:pPr>
              <w:jc w:val="right"/>
              <w:rPr>
                <w:rFonts w:ascii="Arial" w:hAnsi="Arial" w:cs="Arial"/>
                <w:sz w:val="20"/>
                <w:szCs w:val="20"/>
              </w:rPr>
            </w:pPr>
            <w:r>
              <w:rPr>
                <w:rFonts w:ascii="Arial" w:hAnsi="Arial" w:cs="Arial"/>
                <w:sz w:val="20"/>
                <w:szCs w:val="20"/>
              </w:rPr>
              <w:t>218,384</w:t>
            </w:r>
          </w:p>
        </w:tc>
        <w:tc>
          <w:tcPr>
            <w:tcW w:w="1350" w:type="dxa"/>
            <w:vAlign w:val="center"/>
          </w:tcPr>
          <w:p w14:paraId="261DD5F6" w14:textId="71D8A42A" w:rsidR="001544A4" w:rsidRPr="00133A72" w:rsidRDefault="001544A4" w:rsidP="001544A4">
            <w:pPr>
              <w:jc w:val="right"/>
              <w:rPr>
                <w:rFonts w:ascii="Arial" w:hAnsi="Arial" w:cs="Arial"/>
                <w:sz w:val="20"/>
                <w:szCs w:val="20"/>
              </w:rPr>
            </w:pPr>
          </w:p>
        </w:tc>
      </w:tr>
      <w:tr w:rsidR="001544A4" w:rsidRPr="00133A72" w14:paraId="44362E82" w14:textId="77777777" w:rsidTr="005B4AD7">
        <w:trPr>
          <w:trHeight w:val="70"/>
        </w:trPr>
        <w:tc>
          <w:tcPr>
            <w:tcW w:w="4680" w:type="dxa"/>
            <w:vAlign w:val="center"/>
          </w:tcPr>
          <w:p w14:paraId="4436CD50" w14:textId="6C3741F0" w:rsidR="001544A4" w:rsidRPr="00133A72" w:rsidRDefault="001544A4" w:rsidP="001544A4">
            <w:pPr>
              <w:rPr>
                <w:rFonts w:ascii="Arial" w:hAnsi="Arial" w:cs="Arial"/>
                <w:sz w:val="20"/>
                <w:szCs w:val="20"/>
                <w:vertAlign w:val="superscript"/>
              </w:rPr>
            </w:pPr>
            <w:r w:rsidRPr="00133A72">
              <w:rPr>
                <w:rFonts w:ascii="Arial" w:hAnsi="Arial" w:cs="Arial"/>
                <w:sz w:val="20"/>
                <w:szCs w:val="20"/>
              </w:rPr>
              <w:t>Attendance at Public Libraries</w:t>
            </w:r>
            <w:r w:rsidRPr="00133A72">
              <w:rPr>
                <w:rFonts w:ascii="Arial" w:hAnsi="Arial" w:cs="Arial"/>
                <w:sz w:val="20"/>
                <w:szCs w:val="20"/>
                <w:vertAlign w:val="superscript"/>
              </w:rPr>
              <w:t>3</w:t>
            </w:r>
          </w:p>
        </w:tc>
        <w:tc>
          <w:tcPr>
            <w:tcW w:w="1350" w:type="dxa"/>
            <w:vAlign w:val="center"/>
          </w:tcPr>
          <w:p w14:paraId="40B7666B" w14:textId="59D7F021" w:rsidR="001544A4" w:rsidRPr="00133A72" w:rsidRDefault="001544A4" w:rsidP="001544A4">
            <w:pPr>
              <w:jc w:val="right"/>
              <w:rPr>
                <w:rFonts w:ascii="Arial" w:hAnsi="Arial" w:cs="Arial"/>
                <w:sz w:val="20"/>
                <w:szCs w:val="20"/>
                <w:vertAlign w:val="superscript"/>
              </w:rPr>
            </w:pPr>
            <w:r>
              <w:rPr>
                <w:rFonts w:ascii="Arial" w:hAnsi="Arial" w:cs="Arial"/>
                <w:sz w:val="20"/>
                <w:szCs w:val="20"/>
              </w:rPr>
              <w:t>3,784,794</w:t>
            </w:r>
          </w:p>
        </w:tc>
        <w:tc>
          <w:tcPr>
            <w:tcW w:w="1350" w:type="dxa"/>
            <w:vAlign w:val="center"/>
          </w:tcPr>
          <w:p w14:paraId="56E0F0DC" w14:textId="4C23FDDA" w:rsidR="001544A4" w:rsidRPr="00133A72" w:rsidRDefault="001544A4" w:rsidP="001544A4">
            <w:pPr>
              <w:jc w:val="right"/>
              <w:rPr>
                <w:rFonts w:ascii="Arial" w:hAnsi="Arial" w:cs="Arial"/>
                <w:sz w:val="20"/>
                <w:szCs w:val="20"/>
                <w:vertAlign w:val="superscript"/>
              </w:rPr>
            </w:pPr>
            <w:r>
              <w:rPr>
                <w:rFonts w:ascii="Arial" w:hAnsi="Arial" w:cs="Arial"/>
                <w:sz w:val="20"/>
                <w:szCs w:val="20"/>
              </w:rPr>
              <w:t>4,974,031</w:t>
            </w:r>
          </w:p>
        </w:tc>
        <w:tc>
          <w:tcPr>
            <w:tcW w:w="1350" w:type="dxa"/>
            <w:vAlign w:val="center"/>
          </w:tcPr>
          <w:p w14:paraId="0E850789" w14:textId="1BCE6233" w:rsidR="001544A4" w:rsidRPr="00133A72" w:rsidRDefault="001544A4" w:rsidP="001544A4">
            <w:pPr>
              <w:jc w:val="right"/>
              <w:rPr>
                <w:rFonts w:ascii="Arial" w:hAnsi="Arial" w:cs="Arial"/>
                <w:sz w:val="20"/>
                <w:szCs w:val="20"/>
                <w:vertAlign w:val="superscript"/>
              </w:rPr>
            </w:pPr>
            <w:r>
              <w:rPr>
                <w:rFonts w:ascii="Arial" w:hAnsi="Arial" w:cs="Arial"/>
                <w:sz w:val="20"/>
                <w:szCs w:val="20"/>
              </w:rPr>
              <w:t>5,725,604</w:t>
            </w:r>
          </w:p>
        </w:tc>
        <w:tc>
          <w:tcPr>
            <w:tcW w:w="1350" w:type="dxa"/>
            <w:vAlign w:val="center"/>
          </w:tcPr>
          <w:p w14:paraId="5C250444" w14:textId="07A3A3AC" w:rsidR="001544A4" w:rsidRPr="00133A72" w:rsidRDefault="001544A4" w:rsidP="001544A4">
            <w:pPr>
              <w:jc w:val="right"/>
              <w:rPr>
                <w:rFonts w:ascii="Arial" w:hAnsi="Arial" w:cs="Arial"/>
                <w:sz w:val="20"/>
                <w:szCs w:val="20"/>
              </w:rPr>
            </w:pPr>
          </w:p>
        </w:tc>
      </w:tr>
      <w:tr w:rsidR="001544A4" w:rsidRPr="00133A72" w14:paraId="29592A17" w14:textId="77777777">
        <w:trPr>
          <w:trHeight w:val="233"/>
        </w:trPr>
        <w:tc>
          <w:tcPr>
            <w:tcW w:w="4680" w:type="dxa"/>
            <w:vAlign w:val="center"/>
          </w:tcPr>
          <w:p w14:paraId="6DA30EA9" w14:textId="77777777" w:rsidR="001544A4" w:rsidRPr="00133A72" w:rsidRDefault="001544A4" w:rsidP="001544A4">
            <w:pPr>
              <w:rPr>
                <w:rFonts w:ascii="Arial" w:hAnsi="Arial" w:cs="Arial"/>
                <w:sz w:val="20"/>
                <w:szCs w:val="20"/>
              </w:rPr>
            </w:pPr>
            <w:r w:rsidRPr="00133A72">
              <w:rPr>
                <w:rFonts w:ascii="Arial" w:hAnsi="Arial" w:cs="Arial"/>
                <w:sz w:val="20"/>
                <w:szCs w:val="20"/>
              </w:rPr>
              <w:t>Continuing Library Education</w:t>
            </w:r>
          </w:p>
          <w:p w14:paraId="237656A4" w14:textId="4FE1F146" w:rsidR="001544A4" w:rsidRPr="00133A72" w:rsidRDefault="001544A4" w:rsidP="001544A4">
            <w:pPr>
              <w:rPr>
                <w:rFonts w:ascii="Arial" w:hAnsi="Arial" w:cs="Arial"/>
                <w:sz w:val="20"/>
                <w:szCs w:val="20"/>
              </w:rPr>
            </w:pPr>
            <w:r w:rsidRPr="00133A72">
              <w:rPr>
                <w:rFonts w:ascii="Arial" w:hAnsi="Arial" w:cs="Arial"/>
                <w:sz w:val="20"/>
                <w:szCs w:val="20"/>
              </w:rPr>
              <w:t>- Events Sponsored</w:t>
            </w:r>
          </w:p>
          <w:p w14:paraId="0DE6A520" w14:textId="4321D675" w:rsidR="001544A4" w:rsidRPr="00133A72" w:rsidRDefault="001544A4" w:rsidP="001544A4">
            <w:pPr>
              <w:rPr>
                <w:rFonts w:ascii="Arial" w:hAnsi="Arial" w:cs="Arial"/>
                <w:sz w:val="20"/>
                <w:szCs w:val="20"/>
              </w:rPr>
            </w:pPr>
            <w:r w:rsidRPr="00133A72">
              <w:rPr>
                <w:rFonts w:ascii="Arial" w:hAnsi="Arial" w:cs="Arial"/>
                <w:sz w:val="20"/>
                <w:szCs w:val="20"/>
              </w:rPr>
              <w:t>- Participants</w:t>
            </w:r>
          </w:p>
        </w:tc>
        <w:tc>
          <w:tcPr>
            <w:tcW w:w="1350" w:type="dxa"/>
          </w:tcPr>
          <w:p w14:paraId="393ABF90" w14:textId="5799F560" w:rsidR="001544A4" w:rsidRPr="00133A72" w:rsidRDefault="001544A4" w:rsidP="001544A4">
            <w:pPr>
              <w:jc w:val="right"/>
              <w:rPr>
                <w:rFonts w:ascii="Arial" w:hAnsi="Arial" w:cs="Arial"/>
                <w:sz w:val="20"/>
                <w:szCs w:val="20"/>
              </w:rPr>
            </w:pPr>
            <w:r>
              <w:rPr>
                <w:rFonts w:ascii="Arial" w:hAnsi="Arial" w:cs="Arial"/>
                <w:sz w:val="20"/>
                <w:szCs w:val="20"/>
              </w:rPr>
              <w:br/>
              <w:t>52</w:t>
            </w:r>
            <w:r>
              <w:rPr>
                <w:rFonts w:ascii="Arial" w:hAnsi="Arial" w:cs="Arial"/>
                <w:sz w:val="20"/>
                <w:szCs w:val="20"/>
              </w:rPr>
              <w:br/>
              <w:t>1,296</w:t>
            </w:r>
          </w:p>
        </w:tc>
        <w:tc>
          <w:tcPr>
            <w:tcW w:w="1350" w:type="dxa"/>
          </w:tcPr>
          <w:p w14:paraId="1DD3BC06" w14:textId="48673C37" w:rsidR="001544A4" w:rsidRPr="00133A72" w:rsidRDefault="001544A4" w:rsidP="001544A4">
            <w:pPr>
              <w:jc w:val="right"/>
              <w:rPr>
                <w:rFonts w:ascii="Arial" w:hAnsi="Arial" w:cs="Arial"/>
                <w:sz w:val="20"/>
                <w:szCs w:val="20"/>
              </w:rPr>
            </w:pPr>
            <w:r>
              <w:rPr>
                <w:rFonts w:ascii="Arial" w:hAnsi="Arial" w:cs="Arial"/>
                <w:sz w:val="20"/>
                <w:szCs w:val="20"/>
              </w:rPr>
              <w:br/>
              <w:t>101</w:t>
            </w:r>
            <w:r>
              <w:rPr>
                <w:rFonts w:ascii="Arial" w:hAnsi="Arial" w:cs="Arial"/>
                <w:sz w:val="20"/>
                <w:szCs w:val="20"/>
              </w:rPr>
              <w:br/>
              <w:t>2,707</w:t>
            </w:r>
          </w:p>
        </w:tc>
        <w:tc>
          <w:tcPr>
            <w:tcW w:w="1350" w:type="dxa"/>
            <w:shd w:val="clear" w:color="auto" w:fill="FFFFFF" w:themeFill="background1"/>
          </w:tcPr>
          <w:p w14:paraId="5EE0FB4F" w14:textId="3B7DE9BD" w:rsidR="001544A4" w:rsidRPr="00133A72" w:rsidRDefault="001544A4" w:rsidP="001544A4">
            <w:pPr>
              <w:jc w:val="right"/>
              <w:rPr>
                <w:rFonts w:ascii="Arial" w:hAnsi="Arial" w:cs="Arial"/>
                <w:sz w:val="20"/>
                <w:szCs w:val="20"/>
              </w:rPr>
            </w:pPr>
            <w:r>
              <w:rPr>
                <w:rFonts w:ascii="Arial" w:hAnsi="Arial" w:cs="Arial"/>
                <w:sz w:val="20"/>
                <w:szCs w:val="20"/>
              </w:rPr>
              <w:br/>
              <w:t>119</w:t>
            </w:r>
            <w:r>
              <w:rPr>
                <w:rFonts w:ascii="Arial" w:hAnsi="Arial" w:cs="Arial"/>
                <w:sz w:val="20"/>
                <w:szCs w:val="20"/>
              </w:rPr>
              <w:br/>
              <w:t>2,413</w:t>
            </w:r>
          </w:p>
        </w:tc>
        <w:tc>
          <w:tcPr>
            <w:tcW w:w="1350" w:type="dxa"/>
            <w:shd w:val="clear" w:color="auto" w:fill="FFFFFF" w:themeFill="background1"/>
          </w:tcPr>
          <w:p w14:paraId="3282BC22" w14:textId="08C30967" w:rsidR="001544A4" w:rsidRPr="00133A72" w:rsidRDefault="001544A4" w:rsidP="001544A4">
            <w:pPr>
              <w:jc w:val="right"/>
              <w:rPr>
                <w:rFonts w:ascii="Arial" w:hAnsi="Arial" w:cs="Arial"/>
                <w:sz w:val="20"/>
                <w:szCs w:val="20"/>
              </w:rPr>
            </w:pPr>
          </w:p>
        </w:tc>
      </w:tr>
      <w:tr w:rsidR="001544A4" w14:paraId="7022A638" w14:textId="77777777">
        <w:trPr>
          <w:trHeight w:val="70"/>
        </w:trPr>
        <w:tc>
          <w:tcPr>
            <w:tcW w:w="4680" w:type="dxa"/>
            <w:vAlign w:val="center"/>
          </w:tcPr>
          <w:p w14:paraId="5CB07E3C" w14:textId="3FFAFF1B" w:rsidR="001544A4" w:rsidRPr="00133A72" w:rsidRDefault="001544A4" w:rsidP="001544A4">
            <w:pPr>
              <w:rPr>
                <w:rFonts w:ascii="Arial" w:hAnsi="Arial" w:cs="Arial"/>
                <w:sz w:val="20"/>
                <w:szCs w:val="20"/>
              </w:rPr>
            </w:pPr>
            <w:r w:rsidRPr="00133A72">
              <w:rPr>
                <w:rFonts w:ascii="Arial" w:hAnsi="Arial" w:cs="Arial"/>
                <w:sz w:val="20"/>
                <w:szCs w:val="20"/>
              </w:rPr>
              <w:t>E-Course Completions</w:t>
            </w:r>
          </w:p>
        </w:tc>
        <w:tc>
          <w:tcPr>
            <w:tcW w:w="1350" w:type="dxa"/>
            <w:vAlign w:val="center"/>
          </w:tcPr>
          <w:p w14:paraId="7BCB702E" w14:textId="1847241F" w:rsidR="001544A4" w:rsidRPr="00133A72" w:rsidRDefault="001544A4" w:rsidP="001544A4">
            <w:pPr>
              <w:jc w:val="right"/>
              <w:rPr>
                <w:rFonts w:ascii="Arial" w:hAnsi="Arial" w:cs="Arial"/>
                <w:sz w:val="20"/>
                <w:szCs w:val="20"/>
              </w:rPr>
            </w:pPr>
            <w:r>
              <w:rPr>
                <w:rFonts w:ascii="Arial" w:hAnsi="Arial" w:cs="Arial"/>
                <w:sz w:val="20"/>
                <w:szCs w:val="20"/>
              </w:rPr>
              <w:t>10,590</w:t>
            </w:r>
          </w:p>
        </w:tc>
        <w:tc>
          <w:tcPr>
            <w:tcW w:w="1350" w:type="dxa"/>
            <w:vAlign w:val="center"/>
          </w:tcPr>
          <w:p w14:paraId="469B827B" w14:textId="7C417EB8" w:rsidR="001544A4" w:rsidRPr="00133A72" w:rsidRDefault="001544A4" w:rsidP="001544A4">
            <w:pPr>
              <w:jc w:val="right"/>
              <w:rPr>
                <w:rFonts w:ascii="Arial" w:hAnsi="Arial" w:cs="Arial"/>
                <w:sz w:val="20"/>
                <w:szCs w:val="20"/>
              </w:rPr>
            </w:pPr>
            <w:r>
              <w:rPr>
                <w:rFonts w:ascii="Arial" w:hAnsi="Arial" w:cs="Arial"/>
                <w:sz w:val="20"/>
                <w:szCs w:val="20"/>
              </w:rPr>
              <w:t>10,714</w:t>
            </w:r>
          </w:p>
        </w:tc>
        <w:tc>
          <w:tcPr>
            <w:tcW w:w="1350" w:type="dxa"/>
            <w:shd w:val="clear" w:color="auto" w:fill="FFFFFF" w:themeFill="background1"/>
            <w:vAlign w:val="center"/>
          </w:tcPr>
          <w:p w14:paraId="56E98691" w14:textId="77A7414A" w:rsidR="001544A4" w:rsidRPr="00133A72" w:rsidRDefault="001544A4" w:rsidP="001544A4">
            <w:pPr>
              <w:jc w:val="right"/>
              <w:rPr>
                <w:rFonts w:ascii="Arial" w:hAnsi="Arial" w:cs="Arial"/>
                <w:sz w:val="20"/>
                <w:szCs w:val="20"/>
              </w:rPr>
            </w:pPr>
            <w:r>
              <w:rPr>
                <w:rFonts w:ascii="Arial" w:hAnsi="Arial" w:cs="Arial"/>
                <w:sz w:val="20"/>
                <w:szCs w:val="20"/>
              </w:rPr>
              <w:t>12,437</w:t>
            </w:r>
          </w:p>
        </w:tc>
        <w:tc>
          <w:tcPr>
            <w:tcW w:w="1350" w:type="dxa"/>
            <w:shd w:val="clear" w:color="auto" w:fill="FFFFFF" w:themeFill="background1"/>
            <w:vAlign w:val="center"/>
          </w:tcPr>
          <w:p w14:paraId="290323D0" w14:textId="48C0B680" w:rsidR="001544A4" w:rsidRPr="002528D2" w:rsidRDefault="001544A4" w:rsidP="001544A4">
            <w:pPr>
              <w:jc w:val="right"/>
              <w:rPr>
                <w:rFonts w:ascii="Arial" w:hAnsi="Arial" w:cs="Arial"/>
                <w:sz w:val="20"/>
                <w:szCs w:val="20"/>
              </w:rPr>
            </w:pPr>
          </w:p>
        </w:tc>
      </w:tr>
    </w:tbl>
    <w:p w14:paraId="7A1A0DD1" w14:textId="35E0BB57" w:rsidR="00BA3F0D" w:rsidRPr="003B5BCB" w:rsidRDefault="00CF06DE" w:rsidP="00990044">
      <w:pPr>
        <w:rPr>
          <w:rFonts w:ascii="Arial" w:hAnsi="Arial" w:cs="Arial"/>
          <w:bCs/>
          <w:sz w:val="18"/>
          <w:szCs w:val="18"/>
        </w:rPr>
      </w:pPr>
      <w:r w:rsidRPr="003B5BCB">
        <w:rPr>
          <w:rFonts w:ascii="Arial" w:hAnsi="Arial" w:cs="Arial"/>
          <w:sz w:val="18"/>
          <w:szCs w:val="18"/>
          <w:vertAlign w:val="superscript"/>
        </w:rPr>
        <w:t xml:space="preserve">1 </w:t>
      </w:r>
      <w:r w:rsidR="00BA3F0D" w:rsidRPr="003B5BCB">
        <w:rPr>
          <w:rFonts w:ascii="Arial" w:hAnsi="Arial" w:cs="Arial"/>
          <w:bCs/>
          <w:sz w:val="18"/>
          <w:szCs w:val="18"/>
        </w:rPr>
        <w:t xml:space="preserve">Full text views </w:t>
      </w:r>
      <w:r w:rsidR="00041756" w:rsidRPr="003B5BCB">
        <w:rPr>
          <w:rFonts w:ascii="Arial" w:hAnsi="Arial" w:cs="Arial"/>
          <w:bCs/>
          <w:sz w:val="18"/>
          <w:szCs w:val="18"/>
        </w:rPr>
        <w:t>are</w:t>
      </w:r>
      <w:r w:rsidR="00BA3F0D" w:rsidRPr="003B5BCB">
        <w:rPr>
          <w:rFonts w:ascii="Arial" w:hAnsi="Arial" w:cs="Arial"/>
          <w:bCs/>
          <w:sz w:val="18"/>
          <w:szCs w:val="18"/>
        </w:rPr>
        <w:t xml:space="preserve"> a more accurate indicator than logins due to the way stats are now collected.</w:t>
      </w:r>
    </w:p>
    <w:p w14:paraId="7C4FAA3A" w14:textId="3F57277E" w:rsidR="001D59D0" w:rsidRPr="003B5BCB" w:rsidRDefault="00A64CE2" w:rsidP="0007543C">
      <w:pPr>
        <w:tabs>
          <w:tab w:val="left" w:pos="360"/>
        </w:tabs>
        <w:rPr>
          <w:rFonts w:ascii="Arial" w:hAnsi="Arial" w:cs="Arial"/>
          <w:sz w:val="18"/>
          <w:szCs w:val="18"/>
        </w:rPr>
      </w:pPr>
      <w:r w:rsidRPr="003B5BCB">
        <w:rPr>
          <w:rFonts w:ascii="Arial" w:hAnsi="Arial" w:cs="Arial"/>
          <w:sz w:val="18"/>
          <w:szCs w:val="18"/>
          <w:vertAlign w:val="superscript"/>
        </w:rPr>
        <w:t>2</w:t>
      </w:r>
      <w:r w:rsidR="00990044" w:rsidRPr="003B5BCB">
        <w:rPr>
          <w:rFonts w:ascii="Arial" w:hAnsi="Arial" w:cs="Arial"/>
          <w:sz w:val="18"/>
          <w:szCs w:val="18"/>
          <w:vertAlign w:val="superscript"/>
        </w:rPr>
        <w:t xml:space="preserve"> </w:t>
      </w:r>
      <w:r w:rsidR="00D546C7" w:rsidRPr="003B5BCB">
        <w:rPr>
          <w:rFonts w:ascii="Arial" w:hAnsi="Arial" w:cs="Arial"/>
          <w:sz w:val="18"/>
          <w:szCs w:val="18"/>
        </w:rPr>
        <w:t xml:space="preserve">The number of resources provided can also be counted in </w:t>
      </w:r>
      <w:r w:rsidR="009D10BE" w:rsidRPr="003B5BCB">
        <w:rPr>
          <w:rFonts w:ascii="Arial" w:hAnsi="Arial" w:cs="Arial"/>
          <w:sz w:val="18"/>
          <w:szCs w:val="18"/>
        </w:rPr>
        <w:t>diverse ways</w:t>
      </w:r>
      <w:r w:rsidR="00D546C7" w:rsidRPr="003B5BCB">
        <w:rPr>
          <w:rFonts w:ascii="Arial" w:hAnsi="Arial" w:cs="Arial"/>
          <w:sz w:val="18"/>
          <w:szCs w:val="18"/>
        </w:rPr>
        <w:t xml:space="preserve"> and is not a very meaningful metric</w:t>
      </w:r>
      <w:r w:rsidR="00D27D2A" w:rsidRPr="003B5BCB">
        <w:rPr>
          <w:rFonts w:ascii="Arial" w:hAnsi="Arial" w:cs="Arial"/>
          <w:sz w:val="18"/>
          <w:szCs w:val="18"/>
        </w:rPr>
        <w:t>.</w:t>
      </w:r>
    </w:p>
    <w:p w14:paraId="1DE60DA0" w14:textId="68848BD8" w:rsidR="005C4638" w:rsidRPr="003B5BCB" w:rsidRDefault="00A64CE2" w:rsidP="0007543C">
      <w:pPr>
        <w:tabs>
          <w:tab w:val="left" w:pos="360"/>
        </w:tabs>
        <w:rPr>
          <w:rFonts w:ascii="Arial" w:hAnsi="Arial" w:cs="Arial"/>
          <w:sz w:val="18"/>
          <w:szCs w:val="18"/>
        </w:rPr>
      </w:pPr>
      <w:bookmarkStart w:id="4" w:name="_Hlk44915540"/>
      <w:r w:rsidRPr="003B5BCB">
        <w:rPr>
          <w:rFonts w:ascii="Arial" w:hAnsi="Arial" w:cs="Arial"/>
          <w:sz w:val="18"/>
          <w:szCs w:val="18"/>
          <w:vertAlign w:val="superscript"/>
        </w:rPr>
        <w:t>3</w:t>
      </w:r>
      <w:r w:rsidR="00D546C7" w:rsidRPr="003B5BCB">
        <w:rPr>
          <w:rFonts w:ascii="Arial" w:hAnsi="Arial" w:cs="Arial"/>
          <w:sz w:val="18"/>
          <w:szCs w:val="18"/>
          <w:vertAlign w:val="superscript"/>
        </w:rPr>
        <w:t xml:space="preserve"> </w:t>
      </w:r>
      <w:r w:rsidR="00D546C7" w:rsidRPr="003B5BCB">
        <w:rPr>
          <w:rFonts w:ascii="Arial" w:hAnsi="Arial" w:cs="Arial"/>
          <w:sz w:val="18"/>
          <w:szCs w:val="18"/>
        </w:rPr>
        <w:t>Because</w:t>
      </w:r>
      <w:r w:rsidR="009D10BE" w:rsidRPr="003B5BCB">
        <w:rPr>
          <w:rFonts w:ascii="Arial" w:hAnsi="Arial" w:cs="Arial"/>
          <w:sz w:val="18"/>
          <w:szCs w:val="18"/>
        </w:rPr>
        <w:t xml:space="preserve"> of the October 1-September 30 fiscal year, the latest data available from public libraries lags one year.</w:t>
      </w:r>
    </w:p>
    <w:bookmarkEnd w:id="4"/>
    <w:p w14:paraId="0DF51954" w14:textId="2DE651C4" w:rsidR="006635A6" w:rsidRPr="0044233F" w:rsidRDefault="0044233F" w:rsidP="004F097A">
      <w:pPr>
        <w:rPr>
          <w:rFonts w:ascii="Arial" w:hAnsi="Arial" w:cs="Arial"/>
          <w:bCs/>
          <w:sz w:val="20"/>
          <w:szCs w:val="20"/>
        </w:rPr>
      </w:pPr>
      <w:r>
        <w:rPr>
          <w:rFonts w:ascii="Arial" w:hAnsi="Arial" w:cs="Arial"/>
          <w:bCs/>
          <w:sz w:val="20"/>
          <w:szCs w:val="20"/>
        </w:rPr>
        <w:t xml:space="preserve"> </w:t>
      </w:r>
      <w:r w:rsidRPr="0044233F">
        <w:rPr>
          <w:rFonts w:ascii="Arial" w:hAnsi="Arial" w:cs="Arial"/>
          <w:bCs/>
          <w:sz w:val="20"/>
          <w:szCs w:val="20"/>
        </w:rPr>
        <w:t xml:space="preserve"> </w:t>
      </w:r>
    </w:p>
    <w:p w14:paraId="616893B8" w14:textId="364AFBAE" w:rsidR="004F097A" w:rsidRPr="00E378D9" w:rsidRDefault="003A374A" w:rsidP="004F097A">
      <w:pPr>
        <w:rPr>
          <w:rFonts w:ascii="Arial" w:hAnsi="Arial" w:cs="Arial"/>
          <w:b/>
          <w:i/>
          <w:szCs w:val="20"/>
        </w:rPr>
      </w:pPr>
      <w:r>
        <w:rPr>
          <w:rFonts w:ascii="Arial" w:hAnsi="Arial" w:cs="Arial"/>
          <w:b/>
          <w:bCs/>
        </w:rPr>
        <w:t>FY 2024</w:t>
      </w:r>
      <w:r w:rsidR="00BE28A8">
        <w:rPr>
          <w:rFonts w:ascii="Arial" w:hAnsi="Arial" w:cs="Arial"/>
          <w:b/>
          <w:bCs/>
        </w:rPr>
        <w:t xml:space="preserve"> Performance Highlights</w:t>
      </w:r>
    </w:p>
    <w:p w14:paraId="457276A8" w14:textId="77777777" w:rsidR="00B1031B" w:rsidRPr="00ED22A3" w:rsidRDefault="00B1031B" w:rsidP="008F5DCC">
      <w:pPr>
        <w:rPr>
          <w:rFonts w:ascii="Arial" w:hAnsi="Arial" w:cs="Arial"/>
          <w:sz w:val="20"/>
          <w:szCs w:val="20"/>
        </w:rPr>
      </w:pPr>
    </w:p>
    <w:p w14:paraId="4B7AEB34" w14:textId="3D9D57D5" w:rsidR="00A25B34" w:rsidRDefault="00C04308" w:rsidP="00FF7BA5">
      <w:pPr>
        <w:rPr>
          <w:rFonts w:ascii="Arial" w:hAnsi="Arial" w:cs="Arial"/>
          <w:sz w:val="20"/>
          <w:szCs w:val="20"/>
        </w:rPr>
      </w:pPr>
      <w:r w:rsidRPr="00635E20">
        <w:rPr>
          <w:rFonts w:ascii="Arial" w:hAnsi="Arial" w:cs="Arial"/>
          <w:sz w:val="20"/>
          <w:szCs w:val="20"/>
        </w:rPr>
        <w:t xml:space="preserve">The </w:t>
      </w:r>
      <w:proofErr w:type="spellStart"/>
      <w:r w:rsidRPr="00635E20">
        <w:rPr>
          <w:rFonts w:ascii="Arial" w:hAnsi="Arial" w:cs="Arial"/>
          <w:sz w:val="20"/>
          <w:szCs w:val="20"/>
        </w:rPr>
        <w:t>ICfL</w:t>
      </w:r>
      <w:proofErr w:type="spellEnd"/>
      <w:r w:rsidRPr="00635E20">
        <w:rPr>
          <w:rFonts w:ascii="Arial" w:hAnsi="Arial" w:cs="Arial"/>
          <w:sz w:val="20"/>
          <w:szCs w:val="20"/>
        </w:rPr>
        <w:t xml:space="preserve"> staff </w:t>
      </w:r>
      <w:r w:rsidR="00A759B1" w:rsidRPr="00635E20">
        <w:rPr>
          <w:rFonts w:ascii="Arial" w:hAnsi="Arial" w:cs="Arial"/>
          <w:sz w:val="20"/>
          <w:szCs w:val="20"/>
        </w:rPr>
        <w:t>are</w:t>
      </w:r>
      <w:r w:rsidRPr="00635E20">
        <w:rPr>
          <w:rFonts w:ascii="Arial" w:hAnsi="Arial" w:cs="Arial"/>
          <w:sz w:val="20"/>
          <w:szCs w:val="20"/>
        </w:rPr>
        <w:t xml:space="preserve"> adaptive and agile in delivering professional development via in-person </w:t>
      </w:r>
      <w:proofErr w:type="gramStart"/>
      <w:r w:rsidRPr="00635E20">
        <w:rPr>
          <w:rFonts w:ascii="Arial" w:hAnsi="Arial" w:cs="Arial"/>
          <w:sz w:val="20"/>
          <w:szCs w:val="20"/>
        </w:rPr>
        <w:t>trainings</w:t>
      </w:r>
      <w:proofErr w:type="gramEnd"/>
      <w:r w:rsidRPr="00635E20">
        <w:rPr>
          <w:rFonts w:ascii="Arial" w:hAnsi="Arial" w:cs="Arial"/>
          <w:sz w:val="20"/>
          <w:szCs w:val="20"/>
        </w:rPr>
        <w:t xml:space="preserve"> and online learning events. In addition to </w:t>
      </w:r>
      <w:r w:rsidR="00F61548" w:rsidRPr="00635E20">
        <w:rPr>
          <w:rFonts w:ascii="Arial" w:hAnsi="Arial" w:cs="Arial"/>
          <w:sz w:val="20"/>
          <w:szCs w:val="20"/>
        </w:rPr>
        <w:t>119</w:t>
      </w:r>
      <w:r w:rsidRPr="00635E20">
        <w:rPr>
          <w:rFonts w:ascii="Arial" w:hAnsi="Arial" w:cs="Arial"/>
          <w:sz w:val="20"/>
          <w:szCs w:val="20"/>
        </w:rPr>
        <w:t xml:space="preserve"> formal training events, another </w:t>
      </w:r>
      <w:r w:rsidR="00A759B1" w:rsidRPr="00635E20">
        <w:rPr>
          <w:rFonts w:ascii="Arial" w:hAnsi="Arial" w:cs="Arial"/>
          <w:sz w:val="20"/>
          <w:szCs w:val="20"/>
        </w:rPr>
        <w:t>145</w:t>
      </w:r>
      <w:r w:rsidRPr="00635E20">
        <w:rPr>
          <w:rFonts w:ascii="Arial" w:hAnsi="Arial" w:cs="Arial"/>
          <w:sz w:val="20"/>
          <w:szCs w:val="20"/>
        </w:rPr>
        <w:t xml:space="preserve"> informal learning opportunities</w:t>
      </w:r>
      <w:r w:rsidR="2195DAF3" w:rsidRPr="00635E20">
        <w:rPr>
          <w:rFonts w:ascii="Arial" w:hAnsi="Arial" w:cs="Arial"/>
          <w:sz w:val="20"/>
          <w:szCs w:val="20"/>
        </w:rPr>
        <w:t xml:space="preserve"> were offered</w:t>
      </w:r>
      <w:r w:rsidRPr="00635E20">
        <w:rPr>
          <w:rFonts w:ascii="Arial" w:hAnsi="Arial" w:cs="Arial"/>
          <w:sz w:val="20"/>
          <w:szCs w:val="20"/>
        </w:rPr>
        <w:t xml:space="preserve">, reaching over </w:t>
      </w:r>
      <w:r w:rsidR="00635E20" w:rsidRPr="00635E20">
        <w:rPr>
          <w:rFonts w:ascii="Arial" w:hAnsi="Arial" w:cs="Arial"/>
          <w:sz w:val="20"/>
          <w:szCs w:val="20"/>
        </w:rPr>
        <w:t>4</w:t>
      </w:r>
      <w:r w:rsidRPr="00635E20">
        <w:rPr>
          <w:rFonts w:ascii="Arial" w:hAnsi="Arial" w:cs="Arial"/>
          <w:sz w:val="20"/>
          <w:szCs w:val="20"/>
        </w:rPr>
        <w:t>,</w:t>
      </w:r>
      <w:r w:rsidR="00635E20" w:rsidRPr="00635E20">
        <w:rPr>
          <w:rFonts w:ascii="Arial" w:hAnsi="Arial" w:cs="Arial"/>
          <w:sz w:val="20"/>
          <w:szCs w:val="20"/>
        </w:rPr>
        <w:t>4</w:t>
      </w:r>
      <w:r w:rsidRPr="00635E20">
        <w:rPr>
          <w:rFonts w:ascii="Arial" w:hAnsi="Arial" w:cs="Arial"/>
          <w:sz w:val="20"/>
          <w:szCs w:val="20"/>
        </w:rPr>
        <w:t>00 customers.</w:t>
      </w:r>
    </w:p>
    <w:p w14:paraId="74E91E5A" w14:textId="77777777" w:rsidR="00001AFF" w:rsidRDefault="00001AFF" w:rsidP="00FF7BA5">
      <w:pPr>
        <w:rPr>
          <w:rFonts w:ascii="Arial" w:hAnsi="Arial" w:cs="Arial"/>
          <w:sz w:val="20"/>
          <w:szCs w:val="20"/>
        </w:rPr>
      </w:pPr>
    </w:p>
    <w:p w14:paraId="265CF1A8" w14:textId="7D805A3E" w:rsidR="00001AFF" w:rsidRDefault="00001AFF" w:rsidP="00FF7BA5">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ICfL</w:t>
      </w:r>
      <w:proofErr w:type="spellEnd"/>
      <w:r>
        <w:rPr>
          <w:rFonts w:ascii="Arial" w:hAnsi="Arial" w:cs="Arial"/>
          <w:sz w:val="20"/>
          <w:szCs w:val="20"/>
        </w:rPr>
        <w:t xml:space="preserve"> </w:t>
      </w:r>
      <w:r w:rsidR="00DF285E">
        <w:rPr>
          <w:rFonts w:ascii="Arial" w:hAnsi="Arial" w:cs="Arial"/>
          <w:sz w:val="20"/>
          <w:szCs w:val="20"/>
        </w:rPr>
        <w:t>completed</w:t>
      </w:r>
      <w:r>
        <w:rPr>
          <w:rFonts w:ascii="Arial" w:hAnsi="Arial" w:cs="Arial"/>
          <w:sz w:val="20"/>
          <w:szCs w:val="20"/>
        </w:rPr>
        <w:t xml:space="preserve"> </w:t>
      </w:r>
      <w:r w:rsidR="005C01B6">
        <w:rPr>
          <w:rFonts w:ascii="Arial" w:hAnsi="Arial" w:cs="Arial"/>
          <w:sz w:val="20"/>
          <w:szCs w:val="20"/>
        </w:rPr>
        <w:t>the</w:t>
      </w:r>
      <w:r w:rsidR="00DF285E">
        <w:rPr>
          <w:rFonts w:ascii="Arial" w:hAnsi="Arial" w:cs="Arial"/>
          <w:sz w:val="20"/>
          <w:szCs w:val="20"/>
        </w:rPr>
        <w:t xml:space="preserve"> Digital Access for All Idahoans plan, the</w:t>
      </w:r>
      <w:r w:rsidR="005C01B6">
        <w:rPr>
          <w:rFonts w:ascii="Arial" w:hAnsi="Arial" w:cs="Arial"/>
          <w:sz w:val="20"/>
          <w:szCs w:val="20"/>
        </w:rPr>
        <w:t xml:space="preserve"> state’s first statewide digital access plan</w:t>
      </w:r>
      <w:r w:rsidR="00DF285E">
        <w:rPr>
          <w:rFonts w:ascii="Arial" w:hAnsi="Arial" w:cs="Arial"/>
          <w:sz w:val="20"/>
          <w:szCs w:val="20"/>
        </w:rPr>
        <w:t>,</w:t>
      </w:r>
      <w:r w:rsidR="005C01B6">
        <w:rPr>
          <w:rFonts w:ascii="Arial" w:hAnsi="Arial" w:cs="Arial"/>
          <w:sz w:val="20"/>
          <w:szCs w:val="20"/>
        </w:rPr>
        <w:t xml:space="preserve"> in November 2023</w:t>
      </w:r>
      <w:r w:rsidR="00F74C1E">
        <w:rPr>
          <w:rFonts w:ascii="Arial" w:hAnsi="Arial" w:cs="Arial"/>
          <w:sz w:val="20"/>
          <w:szCs w:val="20"/>
        </w:rPr>
        <w:t xml:space="preserve">. The plan was </w:t>
      </w:r>
      <w:r w:rsidR="0014504F">
        <w:rPr>
          <w:rFonts w:ascii="Arial" w:hAnsi="Arial" w:cs="Arial"/>
          <w:sz w:val="20"/>
          <w:szCs w:val="20"/>
        </w:rPr>
        <w:t>developed throughout 2023 with the input</w:t>
      </w:r>
      <w:r w:rsidR="002B5B3C">
        <w:rPr>
          <w:rFonts w:ascii="Arial" w:hAnsi="Arial" w:cs="Arial"/>
          <w:sz w:val="20"/>
          <w:szCs w:val="20"/>
        </w:rPr>
        <w:t xml:space="preserve"> and collaboration</w:t>
      </w:r>
      <w:r w:rsidR="0014504F">
        <w:rPr>
          <w:rFonts w:ascii="Arial" w:hAnsi="Arial" w:cs="Arial"/>
          <w:sz w:val="20"/>
          <w:szCs w:val="20"/>
        </w:rPr>
        <w:t xml:space="preserve"> of </w:t>
      </w:r>
      <w:r w:rsidR="002B5B3C">
        <w:rPr>
          <w:rFonts w:ascii="Arial" w:hAnsi="Arial" w:cs="Arial"/>
          <w:sz w:val="20"/>
          <w:szCs w:val="20"/>
        </w:rPr>
        <w:t>numerous partners, including the Idaho Broadband Office</w:t>
      </w:r>
      <w:r w:rsidR="00994244">
        <w:rPr>
          <w:rFonts w:ascii="Arial" w:hAnsi="Arial" w:cs="Arial"/>
          <w:sz w:val="20"/>
          <w:szCs w:val="20"/>
        </w:rPr>
        <w:t>, the Boise State University Idaho Policy Institute, and the University of Idaho Extension Digital Economy Program</w:t>
      </w:r>
      <w:r w:rsidR="00EA7321">
        <w:rPr>
          <w:rFonts w:ascii="Arial" w:hAnsi="Arial" w:cs="Arial"/>
          <w:sz w:val="20"/>
          <w:szCs w:val="20"/>
        </w:rPr>
        <w:t xml:space="preserve">. The plan was formally accepted by the National Telecommunication and Information Administration (NTIA) in February 2024, </w:t>
      </w:r>
      <w:r w:rsidR="00D719CC">
        <w:rPr>
          <w:rFonts w:ascii="Arial" w:hAnsi="Arial" w:cs="Arial"/>
          <w:sz w:val="20"/>
          <w:szCs w:val="20"/>
        </w:rPr>
        <w:t>with Idaho being</w:t>
      </w:r>
      <w:r w:rsidR="0057476C">
        <w:rPr>
          <w:rFonts w:ascii="Arial" w:hAnsi="Arial" w:cs="Arial"/>
          <w:sz w:val="20"/>
          <w:szCs w:val="20"/>
        </w:rPr>
        <w:t xml:space="preserve"> one of the first six states to have a fully accepted state digital access plan. </w:t>
      </w:r>
      <w:r w:rsidR="00846824">
        <w:rPr>
          <w:rFonts w:ascii="Arial" w:hAnsi="Arial" w:cs="Arial"/>
          <w:sz w:val="20"/>
          <w:szCs w:val="20"/>
        </w:rPr>
        <w:t>Having an accepted state digital access plan</w:t>
      </w:r>
      <w:r w:rsidR="00D73CAB">
        <w:rPr>
          <w:rFonts w:ascii="Arial" w:hAnsi="Arial" w:cs="Arial"/>
          <w:sz w:val="20"/>
          <w:szCs w:val="20"/>
        </w:rPr>
        <w:t xml:space="preserve"> enables the </w:t>
      </w:r>
      <w:proofErr w:type="spellStart"/>
      <w:r w:rsidR="00D73CAB">
        <w:rPr>
          <w:rFonts w:ascii="Arial" w:hAnsi="Arial" w:cs="Arial"/>
          <w:sz w:val="20"/>
          <w:szCs w:val="20"/>
        </w:rPr>
        <w:t>ICfL</w:t>
      </w:r>
      <w:proofErr w:type="spellEnd"/>
      <w:r w:rsidR="00D73CAB">
        <w:rPr>
          <w:rFonts w:ascii="Arial" w:hAnsi="Arial" w:cs="Arial"/>
          <w:sz w:val="20"/>
          <w:szCs w:val="20"/>
        </w:rPr>
        <w:t xml:space="preserve"> to receive</w:t>
      </w:r>
      <w:r w:rsidR="003303F3">
        <w:rPr>
          <w:rFonts w:ascii="Arial" w:hAnsi="Arial" w:cs="Arial"/>
          <w:sz w:val="20"/>
          <w:szCs w:val="20"/>
        </w:rPr>
        <w:t xml:space="preserve"> federal digital access capacity grant funds </w:t>
      </w:r>
      <w:r w:rsidR="00BC1635">
        <w:rPr>
          <w:rFonts w:ascii="Arial" w:hAnsi="Arial" w:cs="Arial"/>
          <w:sz w:val="20"/>
          <w:szCs w:val="20"/>
        </w:rPr>
        <w:t>to implement the plan statewide over the next five years and work to close the digital divide.</w:t>
      </w:r>
    </w:p>
    <w:p w14:paraId="6B81BD15" w14:textId="77777777" w:rsidR="00711485" w:rsidRDefault="00711485" w:rsidP="00FF7BA5">
      <w:pPr>
        <w:rPr>
          <w:rFonts w:ascii="Arial" w:hAnsi="Arial" w:cs="Arial"/>
          <w:sz w:val="20"/>
          <w:szCs w:val="20"/>
        </w:rPr>
      </w:pPr>
    </w:p>
    <w:p w14:paraId="0504BA35" w14:textId="5C99DE30" w:rsidR="0007762B" w:rsidRDefault="0007762B" w:rsidP="00FF7BA5">
      <w:pPr>
        <w:rPr>
          <w:rFonts w:ascii="Arial" w:hAnsi="Arial" w:cs="Arial"/>
          <w:sz w:val="20"/>
          <w:szCs w:val="20"/>
        </w:rPr>
      </w:pPr>
      <w:r w:rsidRPr="0007762B">
        <w:rPr>
          <w:rFonts w:ascii="Arial" w:hAnsi="Arial" w:cs="Arial"/>
          <w:sz w:val="20"/>
          <w:szCs w:val="20"/>
        </w:rPr>
        <w:t xml:space="preserve">The Idaho Commission for Libraries launched the Facilities Improvement Grant in 2023. The </w:t>
      </w:r>
      <w:proofErr w:type="spellStart"/>
      <w:r w:rsidRPr="0007762B">
        <w:rPr>
          <w:rFonts w:ascii="Arial" w:hAnsi="Arial" w:cs="Arial"/>
          <w:sz w:val="20"/>
          <w:szCs w:val="20"/>
        </w:rPr>
        <w:t>ICfL</w:t>
      </w:r>
      <w:proofErr w:type="spellEnd"/>
      <w:r w:rsidRPr="0007762B">
        <w:rPr>
          <w:rFonts w:ascii="Arial" w:hAnsi="Arial" w:cs="Arial"/>
          <w:sz w:val="20"/>
          <w:szCs w:val="20"/>
        </w:rPr>
        <w:t xml:space="preserve"> awarded grants ranging from $4,800 to $500,000 to fifteen subrecipients throughout the state. The libraries will improve, repair, </w:t>
      </w:r>
      <w:r w:rsidRPr="0007762B">
        <w:rPr>
          <w:rFonts w:ascii="Arial" w:hAnsi="Arial" w:cs="Arial"/>
          <w:sz w:val="20"/>
          <w:szCs w:val="20"/>
        </w:rPr>
        <w:lastRenderedPageBreak/>
        <w:t xml:space="preserve">expand, or construct new facilities that directly and jointly enable work, education, and health monitoring. When completed, the libraries will offer services through enhanced facilities in 15 cities and towns. The </w:t>
      </w:r>
      <w:proofErr w:type="gramStart"/>
      <w:r w:rsidRPr="0007762B">
        <w:rPr>
          <w:rFonts w:ascii="Arial" w:hAnsi="Arial" w:cs="Arial"/>
          <w:sz w:val="20"/>
          <w:szCs w:val="20"/>
        </w:rPr>
        <w:t>totaled</w:t>
      </w:r>
      <w:proofErr w:type="gramEnd"/>
      <w:r w:rsidRPr="0007762B">
        <w:rPr>
          <w:rFonts w:ascii="Arial" w:hAnsi="Arial" w:cs="Arial"/>
          <w:sz w:val="20"/>
          <w:szCs w:val="20"/>
        </w:rPr>
        <w:t xml:space="preserve"> service area populations for the libraries indicate this subgrant program will reach an estimated 136,000 people in Idaho. Through this program, these communities will gain access to valuable spaces that can be used to access services relating to workforce development, educational opportunities outside of elementary and secondary school, and telehealth connections to healthcare providers. Recipients of the grant have until August 2026 to complete their projects. This program is made possible with funds from the U.S. Department of the Treasury through the Capital Projects Fund (CPF).</w:t>
      </w:r>
    </w:p>
    <w:p w14:paraId="3789A447" w14:textId="77777777" w:rsidR="0007762B" w:rsidRDefault="0007762B" w:rsidP="00FF7BA5">
      <w:pPr>
        <w:rPr>
          <w:rFonts w:ascii="Arial" w:hAnsi="Arial" w:cs="Arial"/>
          <w:sz w:val="20"/>
          <w:szCs w:val="20"/>
        </w:rPr>
      </w:pPr>
    </w:p>
    <w:p w14:paraId="0C653B22" w14:textId="1F1674C5" w:rsidR="562AEA20" w:rsidRDefault="00711485" w:rsidP="0007762B">
      <w:pPr>
        <w:rPr>
          <w:rFonts w:ascii="Arial" w:hAnsi="Arial" w:cs="Arial"/>
          <w:sz w:val="20"/>
          <w:szCs w:val="20"/>
          <w:highlight w:val="yellow"/>
        </w:rPr>
      </w:pPr>
      <w:r w:rsidRPr="562AEA20">
        <w:rPr>
          <w:rFonts w:ascii="Arial" w:hAnsi="Arial" w:cs="Arial"/>
          <w:sz w:val="20"/>
          <w:szCs w:val="20"/>
        </w:rPr>
        <w:t>The Let’s Talk About It (LTAI) program has been bringing adult reading discussion groups together with humanities scholars in Idaho’s public libraries to discuss literature since 1985.</w:t>
      </w:r>
      <w:r w:rsidR="00133B99" w:rsidRPr="562AEA20">
        <w:rPr>
          <w:rFonts w:ascii="Arial" w:hAnsi="Arial" w:cs="Arial"/>
          <w:sz w:val="20"/>
          <w:szCs w:val="20"/>
        </w:rPr>
        <w:t xml:space="preserve"> </w:t>
      </w:r>
      <w:r w:rsidRPr="562AEA20">
        <w:rPr>
          <w:rFonts w:ascii="Arial" w:hAnsi="Arial" w:cs="Arial"/>
          <w:sz w:val="20"/>
          <w:szCs w:val="20"/>
        </w:rPr>
        <w:t>These book readings and discussions explore American values, history, culture, aging, classics, and much more. The presentation by, and interaction with, a program scholar is what sets these sessions apart from traditional book club discussions. The Let’s Talk About It program is made possible by the Idaho Humanities Council, the National Endowment for the Humanities, a grant from the Institute of Museum and Library Services which administers the Library Services and Technology Act, and the program is administered by the Idaho Commission for Libraries. Fifteen Idaho libraries benefited from the LTAI program in 2023</w:t>
      </w:r>
      <w:r w:rsidR="00033BAC">
        <w:rPr>
          <w:rFonts w:ascii="Arial" w:hAnsi="Arial" w:cs="Arial"/>
          <w:sz w:val="20"/>
          <w:szCs w:val="20"/>
        </w:rPr>
        <w:t>-</w:t>
      </w:r>
      <w:r w:rsidRPr="562AEA20">
        <w:rPr>
          <w:rFonts w:ascii="Arial" w:hAnsi="Arial" w:cs="Arial"/>
          <w:sz w:val="20"/>
          <w:szCs w:val="20"/>
        </w:rPr>
        <w:t>2024 with a total of 45 programs offered, 432 individuals in attendance, and 20 scholars presented. Funds were also used to refresh the collections and theme development.</w:t>
      </w:r>
    </w:p>
    <w:p w14:paraId="75CE6B91" w14:textId="77777777" w:rsidR="0006079A" w:rsidRDefault="0006079A" w:rsidP="0006079A">
      <w:pPr>
        <w:rPr>
          <w:rFonts w:ascii="Arial" w:hAnsi="Arial" w:cs="Arial"/>
          <w:b/>
          <w:i/>
          <w:color w:val="000080"/>
          <w:sz w:val="28"/>
          <w:szCs w:val="28"/>
        </w:rPr>
      </w:pPr>
    </w:p>
    <w:p w14:paraId="4C495971" w14:textId="1C97A5AE" w:rsidR="00DA55D8" w:rsidRDefault="00300746" w:rsidP="005079F6">
      <w:pPr>
        <w:spacing w:after="60"/>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6B67A02F" w14:textId="77777777" w:rsidR="00AB6A1D" w:rsidRPr="005079F6" w:rsidRDefault="00AB6A1D" w:rsidP="005079F6">
      <w:pPr>
        <w:spacing w:after="60"/>
        <w:jc w:val="both"/>
        <w:outlineLvl w:val="0"/>
        <w:rPr>
          <w:rFonts w:ascii="Arial" w:hAnsi="Arial" w:cs="Arial"/>
          <w:b/>
          <w:i/>
          <w:color w:val="000080"/>
          <w:sz w:val="28"/>
          <w:szCs w:val="28"/>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740"/>
        <w:gridCol w:w="720"/>
        <w:gridCol w:w="1377"/>
        <w:gridCol w:w="1260"/>
        <w:gridCol w:w="1323"/>
        <w:gridCol w:w="1350"/>
        <w:gridCol w:w="1260"/>
        <w:gridCol w:w="225"/>
      </w:tblGrid>
      <w:tr w:rsidR="001544A4" w14:paraId="1D6C31BB" w14:textId="77777777" w:rsidTr="004C60CD">
        <w:trPr>
          <w:tblHeader/>
        </w:trPr>
        <w:tc>
          <w:tcPr>
            <w:tcW w:w="3460" w:type="dxa"/>
            <w:gridSpan w:val="2"/>
            <w:shd w:val="clear" w:color="auto" w:fill="1F497D" w:themeFill="text2"/>
            <w:vAlign w:val="bottom"/>
          </w:tcPr>
          <w:p w14:paraId="42A9EBA8" w14:textId="77777777" w:rsidR="001544A4" w:rsidRDefault="001544A4" w:rsidP="001544A4">
            <w:pPr>
              <w:jc w:val="center"/>
              <w:rPr>
                <w:rFonts w:ascii="Arial" w:hAnsi="Arial" w:cs="Arial"/>
                <w:b/>
                <w:bCs/>
                <w:color w:val="FFFFFF"/>
                <w:sz w:val="20"/>
              </w:rPr>
            </w:pPr>
            <w:bookmarkStart w:id="5" w:name="_Hlk78298663"/>
            <w:r>
              <w:rPr>
                <w:rFonts w:ascii="Arial" w:hAnsi="Arial" w:cs="Arial"/>
                <w:b/>
                <w:bCs/>
                <w:color w:val="FFFFFF"/>
                <w:sz w:val="20"/>
              </w:rPr>
              <w:t>Performance Measure</w:t>
            </w:r>
          </w:p>
        </w:tc>
        <w:tc>
          <w:tcPr>
            <w:tcW w:w="1377" w:type="dxa"/>
            <w:shd w:val="clear" w:color="auto" w:fill="1F497D" w:themeFill="text2"/>
          </w:tcPr>
          <w:p w14:paraId="0BC25670" w14:textId="7A4C0C5E" w:rsidR="001544A4" w:rsidRDefault="001544A4" w:rsidP="001544A4">
            <w:pPr>
              <w:jc w:val="center"/>
              <w:rPr>
                <w:rFonts w:ascii="Arial" w:hAnsi="Arial" w:cs="Arial"/>
                <w:b/>
                <w:bCs/>
                <w:color w:val="FFFFFF"/>
                <w:sz w:val="20"/>
              </w:rPr>
            </w:pPr>
            <w:r>
              <w:rPr>
                <w:rFonts w:ascii="Arial" w:hAnsi="Arial" w:cs="Arial"/>
                <w:b/>
                <w:bCs/>
                <w:color w:val="FFFFFF"/>
                <w:sz w:val="20"/>
              </w:rPr>
              <w:t>FY 2022</w:t>
            </w:r>
          </w:p>
        </w:tc>
        <w:tc>
          <w:tcPr>
            <w:tcW w:w="1260" w:type="dxa"/>
            <w:shd w:val="clear" w:color="auto" w:fill="1F497D" w:themeFill="text2"/>
          </w:tcPr>
          <w:p w14:paraId="397AC853" w14:textId="158AB21B" w:rsidR="001544A4" w:rsidRDefault="001544A4" w:rsidP="001544A4">
            <w:pPr>
              <w:jc w:val="center"/>
              <w:rPr>
                <w:rFonts w:ascii="Arial" w:hAnsi="Arial" w:cs="Arial"/>
                <w:b/>
                <w:bCs/>
                <w:color w:val="FFFFFF"/>
                <w:sz w:val="20"/>
              </w:rPr>
            </w:pPr>
            <w:r>
              <w:rPr>
                <w:rFonts w:ascii="Arial" w:hAnsi="Arial" w:cs="Arial"/>
                <w:b/>
                <w:bCs/>
                <w:color w:val="FFFFFF"/>
                <w:sz w:val="20"/>
              </w:rPr>
              <w:t>FY 2023</w:t>
            </w:r>
          </w:p>
        </w:tc>
        <w:tc>
          <w:tcPr>
            <w:tcW w:w="1323" w:type="dxa"/>
            <w:shd w:val="clear" w:color="auto" w:fill="1F497D" w:themeFill="text2"/>
          </w:tcPr>
          <w:p w14:paraId="3663F67D" w14:textId="0BF06F03" w:rsidR="001544A4" w:rsidRDefault="001544A4" w:rsidP="001544A4">
            <w:pPr>
              <w:jc w:val="center"/>
              <w:rPr>
                <w:rFonts w:ascii="Arial" w:hAnsi="Arial" w:cs="Arial"/>
                <w:b/>
                <w:bCs/>
                <w:color w:val="FFFFFF"/>
                <w:sz w:val="20"/>
              </w:rPr>
            </w:pPr>
            <w:r>
              <w:rPr>
                <w:rFonts w:ascii="Arial" w:hAnsi="Arial" w:cs="Arial"/>
                <w:b/>
                <w:bCs/>
                <w:color w:val="FFFFFF"/>
                <w:sz w:val="20"/>
              </w:rPr>
              <w:t>FY 2024</w:t>
            </w:r>
          </w:p>
        </w:tc>
        <w:tc>
          <w:tcPr>
            <w:tcW w:w="1350" w:type="dxa"/>
            <w:shd w:val="clear" w:color="auto" w:fill="1F497D" w:themeFill="text2"/>
          </w:tcPr>
          <w:p w14:paraId="33F3E730" w14:textId="14B4E7F2" w:rsidR="001544A4" w:rsidRDefault="001544A4" w:rsidP="001544A4">
            <w:pPr>
              <w:jc w:val="center"/>
              <w:rPr>
                <w:rFonts w:ascii="Arial" w:hAnsi="Arial" w:cs="Arial"/>
                <w:b/>
                <w:bCs/>
                <w:color w:val="FFFFFF"/>
                <w:sz w:val="20"/>
              </w:rPr>
            </w:pPr>
            <w:r>
              <w:rPr>
                <w:rFonts w:ascii="Arial" w:hAnsi="Arial" w:cs="Arial"/>
                <w:b/>
                <w:bCs/>
                <w:color w:val="FFFFFF"/>
                <w:sz w:val="20"/>
              </w:rPr>
              <w:t>FY 2025</w:t>
            </w:r>
          </w:p>
        </w:tc>
        <w:tc>
          <w:tcPr>
            <w:tcW w:w="1485" w:type="dxa"/>
            <w:gridSpan w:val="2"/>
            <w:shd w:val="clear" w:color="auto" w:fill="1F497D" w:themeFill="text2"/>
            <w:vAlign w:val="bottom"/>
          </w:tcPr>
          <w:p w14:paraId="2EF8E4BF" w14:textId="50D3B507" w:rsidR="001544A4" w:rsidRDefault="001544A4" w:rsidP="001544A4">
            <w:pPr>
              <w:jc w:val="center"/>
              <w:rPr>
                <w:rFonts w:ascii="Arial" w:hAnsi="Arial" w:cs="Arial"/>
                <w:b/>
                <w:bCs/>
                <w:color w:val="FFFFFF"/>
                <w:sz w:val="20"/>
              </w:rPr>
            </w:pPr>
            <w:r>
              <w:rPr>
                <w:rFonts w:ascii="Arial" w:hAnsi="Arial" w:cs="Arial"/>
                <w:b/>
                <w:bCs/>
                <w:color w:val="FFFFFF"/>
                <w:sz w:val="20"/>
              </w:rPr>
              <w:t>FY 2026</w:t>
            </w:r>
          </w:p>
        </w:tc>
      </w:tr>
      <w:bookmarkEnd w:id="5"/>
      <w:tr w:rsidR="001544A4" w14:paraId="2A071352" w14:textId="77777777" w:rsidTr="1A7F43EA">
        <w:trPr>
          <w:trHeight w:val="323"/>
        </w:trPr>
        <w:tc>
          <w:tcPr>
            <w:tcW w:w="10255" w:type="dxa"/>
            <w:gridSpan w:val="8"/>
            <w:shd w:val="clear" w:color="auto" w:fill="DBE5F1" w:themeFill="accent1" w:themeFillTint="33"/>
            <w:vAlign w:val="center"/>
          </w:tcPr>
          <w:p w14:paraId="39FA7F0F" w14:textId="69FA4E92" w:rsidR="001544A4" w:rsidRPr="007019B1" w:rsidRDefault="001544A4" w:rsidP="001544A4">
            <w:pPr>
              <w:jc w:val="center"/>
              <w:rPr>
                <w:rFonts w:ascii="Arial" w:hAnsi="Arial" w:cs="Arial"/>
                <w:b/>
                <w:sz w:val="20"/>
                <w:u w:val="single"/>
              </w:rPr>
            </w:pPr>
            <w:r w:rsidRPr="007019B1">
              <w:rPr>
                <w:rFonts w:ascii="Arial" w:hAnsi="Arial" w:cs="Arial"/>
                <w:b/>
                <w:sz w:val="20"/>
                <w:u w:val="single"/>
              </w:rPr>
              <w:t>Goal 1</w:t>
            </w:r>
          </w:p>
          <w:p w14:paraId="0E35338B" w14:textId="7D9235BA" w:rsidR="001544A4" w:rsidRPr="00B20EFE" w:rsidRDefault="001544A4" w:rsidP="001544A4">
            <w:pPr>
              <w:rPr>
                <w:rFonts w:ascii="Arial" w:hAnsi="Arial" w:cs="Arial"/>
                <w:i/>
                <w:sz w:val="20"/>
                <w:szCs w:val="20"/>
              </w:rPr>
            </w:pPr>
            <w:r w:rsidRPr="00B20EFE">
              <w:rPr>
                <w:rFonts w:ascii="Arial" w:hAnsi="Arial" w:cs="Arial"/>
                <w:sz w:val="20"/>
                <w:szCs w:val="20"/>
              </w:rPr>
              <w:t>Build the institutional capacity of libraries to better serve their communities.</w:t>
            </w:r>
          </w:p>
        </w:tc>
      </w:tr>
      <w:tr w:rsidR="001544A4" w:rsidRPr="00133A72" w14:paraId="68670417" w14:textId="77777777" w:rsidTr="1A7F43EA">
        <w:trPr>
          <w:trHeight w:val="288"/>
        </w:trPr>
        <w:tc>
          <w:tcPr>
            <w:tcW w:w="2740" w:type="dxa"/>
            <w:vMerge w:val="restart"/>
          </w:tcPr>
          <w:p w14:paraId="6C7CF0A0" w14:textId="013EC2C8" w:rsidR="001544A4" w:rsidRPr="00133A72" w:rsidRDefault="001544A4" w:rsidP="001544A4">
            <w:pPr>
              <w:pStyle w:val="ListParagraph"/>
              <w:numPr>
                <w:ilvl w:val="0"/>
                <w:numId w:val="20"/>
              </w:numPr>
              <w:ind w:left="342"/>
              <w:rPr>
                <w:rFonts w:ascii="Arial" w:hAnsi="Arial" w:cs="Arial"/>
                <w:bCs/>
                <w:sz w:val="20"/>
              </w:rPr>
            </w:pPr>
            <w:r w:rsidRPr="00133A72">
              <w:rPr>
                <w:rFonts w:ascii="Arial" w:hAnsi="Arial" w:cs="Arial"/>
                <w:bCs/>
                <w:sz w:val="20"/>
                <w:szCs w:val="20"/>
              </w:rPr>
              <w:t xml:space="preserve">Percentage increase in interlibrary loans through </w:t>
            </w:r>
            <w:proofErr w:type="spellStart"/>
            <w:r w:rsidRPr="00133A72">
              <w:rPr>
                <w:rFonts w:ascii="Arial" w:hAnsi="Arial" w:cs="Arial"/>
                <w:bCs/>
                <w:sz w:val="20"/>
                <w:szCs w:val="20"/>
              </w:rPr>
              <w:t>ShareIdaho</w:t>
            </w:r>
            <w:proofErr w:type="spellEnd"/>
            <w:r w:rsidRPr="00133A72">
              <w:rPr>
                <w:rFonts w:ascii="Arial" w:hAnsi="Arial" w:cs="Arial"/>
                <w:bCs/>
                <w:sz w:val="20"/>
                <w:szCs w:val="20"/>
              </w:rPr>
              <w:t xml:space="preserve"> (formerly </w:t>
            </w:r>
            <w:proofErr w:type="spellStart"/>
            <w:r w:rsidRPr="00133A72">
              <w:rPr>
                <w:rFonts w:ascii="Arial" w:hAnsi="Arial" w:cs="Arial"/>
                <w:bCs/>
                <w:sz w:val="20"/>
                <w:szCs w:val="20"/>
              </w:rPr>
              <w:t>LiLI</w:t>
            </w:r>
            <w:proofErr w:type="spellEnd"/>
            <w:r w:rsidRPr="00133A72">
              <w:rPr>
                <w:rFonts w:ascii="Arial" w:hAnsi="Arial" w:cs="Arial"/>
                <w:bCs/>
                <w:sz w:val="20"/>
                <w:szCs w:val="20"/>
              </w:rPr>
              <w:t xml:space="preserve"> Unlimited) (to/from)</w:t>
            </w:r>
          </w:p>
        </w:tc>
        <w:tc>
          <w:tcPr>
            <w:tcW w:w="720" w:type="dxa"/>
            <w:shd w:val="clear" w:color="auto" w:fill="D9D9D9" w:themeFill="background1" w:themeFillShade="D9"/>
            <w:vAlign w:val="center"/>
          </w:tcPr>
          <w:p w14:paraId="1028210A" w14:textId="77777777" w:rsidR="001544A4" w:rsidRPr="00133A72" w:rsidRDefault="001544A4" w:rsidP="001544A4">
            <w:pPr>
              <w:jc w:val="center"/>
              <w:rPr>
                <w:rFonts w:ascii="Arial" w:hAnsi="Arial" w:cs="Arial"/>
                <w:sz w:val="20"/>
              </w:rPr>
            </w:pPr>
            <w:r w:rsidRPr="00133A72">
              <w:rPr>
                <w:rFonts w:ascii="Arial" w:hAnsi="Arial" w:cs="Arial"/>
                <w:sz w:val="20"/>
              </w:rPr>
              <w:t>actual</w:t>
            </w:r>
          </w:p>
        </w:tc>
        <w:tc>
          <w:tcPr>
            <w:tcW w:w="1377" w:type="dxa"/>
            <w:shd w:val="clear" w:color="auto" w:fill="D9D9D9" w:themeFill="background1" w:themeFillShade="D9"/>
            <w:vAlign w:val="center"/>
          </w:tcPr>
          <w:p w14:paraId="6E883A4C" w14:textId="563C3E70" w:rsidR="001544A4" w:rsidRPr="00133A72" w:rsidRDefault="001544A4" w:rsidP="001544A4">
            <w:pPr>
              <w:jc w:val="center"/>
              <w:rPr>
                <w:rFonts w:ascii="Arial" w:hAnsi="Arial" w:cs="Arial"/>
                <w:sz w:val="18"/>
                <w:szCs w:val="18"/>
              </w:rPr>
            </w:pPr>
            <w:r>
              <w:rPr>
                <w:rFonts w:ascii="Arial" w:hAnsi="Arial" w:cs="Arial"/>
                <w:sz w:val="18"/>
                <w:szCs w:val="18"/>
              </w:rPr>
              <w:t>15.04%</w:t>
            </w:r>
            <w:r>
              <w:rPr>
                <w:rFonts w:ascii="Arial" w:hAnsi="Arial" w:cs="Arial"/>
                <w:sz w:val="18"/>
                <w:szCs w:val="18"/>
              </w:rPr>
              <w:br/>
              <w:t>(68,098)</w:t>
            </w:r>
          </w:p>
        </w:tc>
        <w:tc>
          <w:tcPr>
            <w:tcW w:w="1260" w:type="dxa"/>
            <w:shd w:val="clear" w:color="auto" w:fill="D9D9D9" w:themeFill="background1" w:themeFillShade="D9"/>
            <w:vAlign w:val="center"/>
          </w:tcPr>
          <w:p w14:paraId="7B316241" w14:textId="60342FCB" w:rsidR="001544A4" w:rsidRPr="00133A72" w:rsidRDefault="001544A4" w:rsidP="001544A4">
            <w:pPr>
              <w:jc w:val="center"/>
              <w:rPr>
                <w:rFonts w:ascii="Arial" w:hAnsi="Arial" w:cs="Arial"/>
                <w:sz w:val="18"/>
                <w:szCs w:val="18"/>
              </w:rPr>
            </w:pPr>
            <w:r>
              <w:rPr>
                <w:rFonts w:ascii="Arial" w:hAnsi="Arial" w:cs="Arial"/>
                <w:sz w:val="18"/>
                <w:szCs w:val="18"/>
              </w:rPr>
              <w:t>-5.22%</w:t>
            </w:r>
            <w:r>
              <w:rPr>
                <w:rFonts w:ascii="Arial" w:hAnsi="Arial" w:cs="Arial"/>
                <w:sz w:val="18"/>
                <w:szCs w:val="18"/>
              </w:rPr>
              <w:br/>
              <w:t>(64,541)</w:t>
            </w:r>
          </w:p>
        </w:tc>
        <w:tc>
          <w:tcPr>
            <w:tcW w:w="1323" w:type="dxa"/>
            <w:shd w:val="clear" w:color="auto" w:fill="D9D9D9" w:themeFill="background1" w:themeFillShade="D9"/>
            <w:vAlign w:val="center"/>
          </w:tcPr>
          <w:p w14:paraId="30933FFD" w14:textId="4D1A682B" w:rsidR="001544A4" w:rsidRPr="00133A72" w:rsidRDefault="001544A4" w:rsidP="001544A4">
            <w:pPr>
              <w:jc w:val="center"/>
              <w:rPr>
                <w:rFonts w:ascii="Arial" w:hAnsi="Arial" w:cs="Arial"/>
                <w:sz w:val="18"/>
                <w:szCs w:val="18"/>
              </w:rPr>
            </w:pPr>
            <w:r>
              <w:rPr>
                <w:rFonts w:ascii="Arial" w:hAnsi="Arial" w:cs="Arial"/>
                <w:sz w:val="18"/>
                <w:szCs w:val="18"/>
              </w:rPr>
              <w:t>-0.72% (64,075)</w:t>
            </w:r>
          </w:p>
        </w:tc>
        <w:tc>
          <w:tcPr>
            <w:tcW w:w="1350" w:type="dxa"/>
            <w:shd w:val="clear" w:color="auto" w:fill="D9D9D9" w:themeFill="background1" w:themeFillShade="D9"/>
            <w:vAlign w:val="center"/>
          </w:tcPr>
          <w:p w14:paraId="1C0AA7CD" w14:textId="168AB157" w:rsidR="001544A4" w:rsidRPr="00133A72" w:rsidRDefault="001544A4" w:rsidP="001544A4">
            <w:pPr>
              <w:jc w:val="center"/>
              <w:rPr>
                <w:rFonts w:ascii="Arial" w:hAnsi="Arial" w:cs="Arial"/>
                <w:sz w:val="18"/>
                <w:szCs w:val="18"/>
              </w:rPr>
            </w:pPr>
          </w:p>
        </w:tc>
        <w:tc>
          <w:tcPr>
            <w:tcW w:w="1485" w:type="dxa"/>
            <w:gridSpan w:val="2"/>
            <w:shd w:val="clear" w:color="auto" w:fill="D9D9D9" w:themeFill="background1" w:themeFillShade="D9"/>
            <w:vAlign w:val="center"/>
          </w:tcPr>
          <w:p w14:paraId="5FD4239C" w14:textId="05F100C5" w:rsidR="001544A4" w:rsidRPr="00133A72" w:rsidRDefault="001544A4" w:rsidP="001544A4">
            <w:pPr>
              <w:jc w:val="center"/>
              <w:rPr>
                <w:rFonts w:ascii="Arial" w:hAnsi="Arial" w:cs="Arial"/>
                <w:sz w:val="20"/>
              </w:rPr>
            </w:pPr>
          </w:p>
        </w:tc>
      </w:tr>
      <w:tr w:rsidR="001544A4" w:rsidRPr="00133A72" w14:paraId="6018CDAC" w14:textId="77777777" w:rsidTr="1A7F43EA">
        <w:trPr>
          <w:trHeight w:val="288"/>
        </w:trPr>
        <w:tc>
          <w:tcPr>
            <w:tcW w:w="2740" w:type="dxa"/>
            <w:vMerge/>
          </w:tcPr>
          <w:p w14:paraId="5314E030" w14:textId="77777777" w:rsidR="001544A4" w:rsidRPr="00133A72" w:rsidRDefault="001544A4" w:rsidP="001544A4">
            <w:pPr>
              <w:pStyle w:val="ListParagraph"/>
              <w:numPr>
                <w:ilvl w:val="0"/>
                <w:numId w:val="20"/>
              </w:numPr>
              <w:tabs>
                <w:tab w:val="left" w:pos="2985"/>
              </w:tabs>
              <w:ind w:left="342"/>
              <w:rPr>
                <w:rFonts w:ascii="Arial" w:hAnsi="Arial" w:cs="Arial"/>
                <w:sz w:val="20"/>
              </w:rPr>
            </w:pPr>
          </w:p>
        </w:tc>
        <w:tc>
          <w:tcPr>
            <w:tcW w:w="720" w:type="dxa"/>
            <w:shd w:val="clear" w:color="auto" w:fill="FFFFFF" w:themeFill="background1"/>
            <w:vAlign w:val="center"/>
          </w:tcPr>
          <w:p w14:paraId="62E9789D" w14:textId="4B554FD2" w:rsidR="001544A4" w:rsidRPr="00133A72" w:rsidRDefault="001544A4" w:rsidP="001544A4">
            <w:pPr>
              <w:jc w:val="center"/>
              <w:rPr>
                <w:rFonts w:ascii="Arial" w:hAnsi="Arial" w:cs="Arial"/>
                <w:i/>
                <w:sz w:val="16"/>
                <w:szCs w:val="16"/>
              </w:rPr>
            </w:pPr>
            <w:r w:rsidRPr="00133A72">
              <w:rPr>
                <w:rFonts w:ascii="Arial" w:hAnsi="Arial" w:cs="Arial"/>
                <w:i/>
                <w:sz w:val="16"/>
                <w:szCs w:val="16"/>
              </w:rPr>
              <w:t>target</w:t>
            </w:r>
          </w:p>
        </w:tc>
        <w:tc>
          <w:tcPr>
            <w:tcW w:w="1377" w:type="dxa"/>
            <w:shd w:val="clear" w:color="auto" w:fill="FFFFFF" w:themeFill="background1"/>
            <w:vAlign w:val="center"/>
          </w:tcPr>
          <w:p w14:paraId="31C4FD72" w14:textId="720AE1E7" w:rsidR="001544A4" w:rsidRPr="00133A72" w:rsidRDefault="001544A4" w:rsidP="001544A4">
            <w:pPr>
              <w:jc w:val="center"/>
              <w:rPr>
                <w:rFonts w:ascii="Arial" w:hAnsi="Arial" w:cs="Arial"/>
                <w:i/>
                <w:sz w:val="16"/>
                <w:szCs w:val="16"/>
              </w:rPr>
            </w:pPr>
            <w:r>
              <w:rPr>
                <w:rFonts w:ascii="Arial" w:hAnsi="Arial" w:cs="Arial"/>
                <w:i/>
                <w:sz w:val="16"/>
                <w:szCs w:val="16"/>
              </w:rPr>
              <w:t>1% annual increase</w:t>
            </w:r>
          </w:p>
        </w:tc>
        <w:tc>
          <w:tcPr>
            <w:tcW w:w="1260" w:type="dxa"/>
            <w:shd w:val="clear" w:color="auto" w:fill="FFFFFF" w:themeFill="background1"/>
            <w:vAlign w:val="center"/>
          </w:tcPr>
          <w:p w14:paraId="6D3BD328" w14:textId="268950B5" w:rsidR="001544A4" w:rsidRPr="00133A72" w:rsidRDefault="001544A4" w:rsidP="001544A4">
            <w:pPr>
              <w:jc w:val="center"/>
              <w:rPr>
                <w:rFonts w:ascii="Arial" w:hAnsi="Arial" w:cs="Arial"/>
                <w:i/>
                <w:sz w:val="16"/>
                <w:szCs w:val="16"/>
              </w:rPr>
            </w:pPr>
            <w:r>
              <w:rPr>
                <w:rFonts w:ascii="Arial" w:hAnsi="Arial" w:cs="Arial"/>
                <w:i/>
                <w:sz w:val="16"/>
                <w:szCs w:val="16"/>
              </w:rPr>
              <w:t>1% annual increase</w:t>
            </w:r>
          </w:p>
        </w:tc>
        <w:tc>
          <w:tcPr>
            <w:tcW w:w="1323" w:type="dxa"/>
            <w:shd w:val="clear" w:color="auto" w:fill="FFFFFF" w:themeFill="background1"/>
            <w:vAlign w:val="center"/>
          </w:tcPr>
          <w:p w14:paraId="2B209015" w14:textId="7CE9F7E8" w:rsidR="001544A4" w:rsidRPr="00133A72" w:rsidRDefault="001544A4" w:rsidP="001544A4">
            <w:pPr>
              <w:jc w:val="center"/>
              <w:rPr>
                <w:rFonts w:ascii="Arial" w:hAnsi="Arial" w:cs="Arial"/>
                <w:i/>
                <w:sz w:val="16"/>
                <w:szCs w:val="16"/>
              </w:rPr>
            </w:pPr>
            <w:r>
              <w:rPr>
                <w:rFonts w:ascii="Arial" w:hAnsi="Arial" w:cs="Arial"/>
                <w:i/>
                <w:sz w:val="16"/>
                <w:szCs w:val="16"/>
              </w:rPr>
              <w:t>1% annual increase</w:t>
            </w:r>
          </w:p>
        </w:tc>
        <w:tc>
          <w:tcPr>
            <w:tcW w:w="1350" w:type="dxa"/>
            <w:shd w:val="clear" w:color="auto" w:fill="FFFFFF" w:themeFill="background1"/>
            <w:vAlign w:val="center"/>
          </w:tcPr>
          <w:p w14:paraId="1B443459" w14:textId="123D5325" w:rsidR="001544A4" w:rsidRPr="00133A72" w:rsidRDefault="001544A4" w:rsidP="001544A4">
            <w:pPr>
              <w:jc w:val="center"/>
              <w:rPr>
                <w:rFonts w:ascii="Arial" w:hAnsi="Arial" w:cs="Arial"/>
                <w:i/>
                <w:sz w:val="16"/>
                <w:szCs w:val="16"/>
              </w:rPr>
            </w:pPr>
          </w:p>
        </w:tc>
        <w:tc>
          <w:tcPr>
            <w:tcW w:w="1485" w:type="dxa"/>
            <w:gridSpan w:val="2"/>
            <w:shd w:val="clear" w:color="auto" w:fill="FFFFFF" w:themeFill="background1"/>
            <w:vAlign w:val="center"/>
          </w:tcPr>
          <w:p w14:paraId="2298EF15" w14:textId="0D927E3F" w:rsidR="001544A4" w:rsidRPr="00133A72" w:rsidRDefault="001544A4" w:rsidP="001544A4">
            <w:pPr>
              <w:jc w:val="center"/>
              <w:rPr>
                <w:rFonts w:ascii="Arial" w:hAnsi="Arial" w:cs="Arial"/>
                <w:i/>
                <w:sz w:val="16"/>
                <w:szCs w:val="16"/>
              </w:rPr>
            </w:pPr>
          </w:p>
        </w:tc>
      </w:tr>
      <w:tr w:rsidR="001544A4" w:rsidRPr="00133A72" w14:paraId="6BBDCEC6" w14:textId="77777777" w:rsidTr="1A7F43EA">
        <w:trPr>
          <w:trHeight w:val="288"/>
        </w:trPr>
        <w:tc>
          <w:tcPr>
            <w:tcW w:w="2740" w:type="dxa"/>
            <w:vMerge w:val="restart"/>
          </w:tcPr>
          <w:p w14:paraId="32971F8B" w14:textId="35D1BC7E" w:rsidR="001544A4" w:rsidRPr="00133A72" w:rsidRDefault="001544A4" w:rsidP="001544A4">
            <w:pPr>
              <w:pStyle w:val="ListParagraph"/>
              <w:numPr>
                <w:ilvl w:val="0"/>
                <w:numId w:val="20"/>
              </w:numPr>
              <w:ind w:left="342"/>
              <w:rPr>
                <w:rFonts w:ascii="Arial" w:hAnsi="Arial" w:cs="Arial"/>
                <w:bCs/>
                <w:sz w:val="20"/>
              </w:rPr>
            </w:pPr>
            <w:r w:rsidRPr="00133A72">
              <w:rPr>
                <w:rFonts w:ascii="Arial" w:hAnsi="Arial" w:cs="Arial"/>
                <w:bCs/>
                <w:sz w:val="20"/>
              </w:rPr>
              <w:t>New measure: Percentage of libraries with speeds greater than 10 Mbps</w:t>
            </w:r>
          </w:p>
        </w:tc>
        <w:tc>
          <w:tcPr>
            <w:tcW w:w="720" w:type="dxa"/>
            <w:shd w:val="clear" w:color="auto" w:fill="D9D9D9" w:themeFill="background1" w:themeFillShade="D9"/>
            <w:vAlign w:val="center"/>
          </w:tcPr>
          <w:p w14:paraId="6AA1EC16" w14:textId="3E1FFF00" w:rsidR="001544A4" w:rsidRPr="00133A72" w:rsidRDefault="001544A4" w:rsidP="001544A4">
            <w:pPr>
              <w:jc w:val="center"/>
              <w:rPr>
                <w:rFonts w:ascii="Arial" w:hAnsi="Arial" w:cs="Arial"/>
                <w:sz w:val="20"/>
              </w:rPr>
            </w:pPr>
            <w:r w:rsidRPr="00133A72">
              <w:rPr>
                <w:rFonts w:ascii="Arial" w:hAnsi="Arial" w:cs="Arial"/>
                <w:sz w:val="20"/>
              </w:rPr>
              <w:t>actual</w:t>
            </w:r>
          </w:p>
        </w:tc>
        <w:tc>
          <w:tcPr>
            <w:tcW w:w="1377" w:type="dxa"/>
            <w:shd w:val="clear" w:color="auto" w:fill="D9D9D9" w:themeFill="background1" w:themeFillShade="D9"/>
            <w:vAlign w:val="center"/>
          </w:tcPr>
          <w:p w14:paraId="60EB0AF7" w14:textId="2A29AF2C" w:rsidR="001544A4" w:rsidRPr="00133A72" w:rsidRDefault="001544A4" w:rsidP="001544A4">
            <w:pPr>
              <w:jc w:val="center"/>
              <w:rPr>
                <w:rFonts w:ascii="Arial" w:hAnsi="Arial" w:cs="Arial"/>
                <w:sz w:val="18"/>
                <w:szCs w:val="18"/>
              </w:rPr>
            </w:pPr>
            <w:r>
              <w:rPr>
                <w:rFonts w:ascii="Arial" w:hAnsi="Arial" w:cs="Arial"/>
                <w:sz w:val="18"/>
                <w:szCs w:val="18"/>
              </w:rPr>
              <w:t>100 of 147</w:t>
            </w:r>
            <w:r>
              <w:rPr>
                <w:rFonts w:ascii="Arial" w:hAnsi="Arial" w:cs="Arial"/>
                <w:sz w:val="18"/>
                <w:szCs w:val="18"/>
              </w:rPr>
              <w:br/>
              <w:t>68.03%</w:t>
            </w:r>
            <w:r>
              <w:rPr>
                <w:rFonts w:ascii="Arial" w:hAnsi="Arial" w:cs="Arial"/>
                <w:sz w:val="18"/>
                <w:szCs w:val="18"/>
              </w:rPr>
              <w:br/>
            </w:r>
            <w:r w:rsidRPr="0063132C">
              <w:rPr>
                <w:rFonts w:ascii="Arial" w:hAnsi="Arial" w:cs="Arial"/>
                <w:i/>
                <w:iCs/>
                <w:sz w:val="16"/>
                <w:szCs w:val="16"/>
              </w:rPr>
              <w:t>24.1% increase</w:t>
            </w:r>
          </w:p>
        </w:tc>
        <w:tc>
          <w:tcPr>
            <w:tcW w:w="1260" w:type="dxa"/>
            <w:shd w:val="clear" w:color="auto" w:fill="D9D9D9" w:themeFill="background1" w:themeFillShade="D9"/>
            <w:vAlign w:val="center"/>
          </w:tcPr>
          <w:p w14:paraId="3410930D" w14:textId="1C31FB76" w:rsidR="001544A4" w:rsidRPr="00133A72" w:rsidRDefault="001544A4" w:rsidP="001544A4">
            <w:pPr>
              <w:jc w:val="center"/>
              <w:rPr>
                <w:rFonts w:ascii="Arial" w:hAnsi="Arial" w:cs="Arial"/>
                <w:sz w:val="18"/>
                <w:szCs w:val="18"/>
              </w:rPr>
            </w:pPr>
            <w:r>
              <w:rPr>
                <w:rFonts w:ascii="Arial" w:hAnsi="Arial" w:cs="Arial"/>
                <w:sz w:val="18"/>
                <w:szCs w:val="18"/>
              </w:rPr>
              <w:t>133 of 162</w:t>
            </w:r>
            <w:r>
              <w:rPr>
                <w:rFonts w:ascii="Arial" w:hAnsi="Arial" w:cs="Arial"/>
                <w:sz w:val="18"/>
                <w:szCs w:val="18"/>
              </w:rPr>
              <w:br/>
              <w:t>82.09%</w:t>
            </w:r>
            <w:r>
              <w:rPr>
                <w:rFonts w:ascii="Arial" w:hAnsi="Arial" w:cs="Arial"/>
                <w:sz w:val="18"/>
                <w:szCs w:val="18"/>
              </w:rPr>
              <w:br/>
            </w:r>
            <w:r w:rsidRPr="00F07C08">
              <w:rPr>
                <w:rFonts w:ascii="Arial" w:hAnsi="Arial" w:cs="Arial"/>
                <w:i/>
                <w:iCs/>
                <w:sz w:val="16"/>
                <w:szCs w:val="16"/>
              </w:rPr>
              <w:t>20.7% increase</w:t>
            </w:r>
          </w:p>
        </w:tc>
        <w:tc>
          <w:tcPr>
            <w:tcW w:w="1323" w:type="dxa"/>
            <w:shd w:val="clear" w:color="auto" w:fill="D9D9D9" w:themeFill="background1" w:themeFillShade="D9"/>
            <w:vAlign w:val="center"/>
          </w:tcPr>
          <w:p w14:paraId="7AE63415" w14:textId="4488947D" w:rsidR="001544A4" w:rsidRPr="00133A72" w:rsidRDefault="001544A4" w:rsidP="001544A4">
            <w:pPr>
              <w:jc w:val="center"/>
              <w:rPr>
                <w:rFonts w:ascii="Arial" w:hAnsi="Arial" w:cs="Arial"/>
                <w:sz w:val="18"/>
                <w:szCs w:val="18"/>
              </w:rPr>
            </w:pPr>
            <w:r w:rsidRPr="1A7F43EA">
              <w:rPr>
                <w:rFonts w:ascii="Arial" w:hAnsi="Arial" w:cs="Arial"/>
                <w:sz w:val="18"/>
                <w:szCs w:val="18"/>
              </w:rPr>
              <w:t>142 of 169</w:t>
            </w:r>
            <w:r>
              <w:br/>
            </w:r>
            <w:r w:rsidRPr="1A7F43EA">
              <w:rPr>
                <w:rFonts w:ascii="Arial" w:hAnsi="Arial" w:cs="Arial"/>
                <w:sz w:val="18"/>
                <w:szCs w:val="18"/>
              </w:rPr>
              <w:t>84.02%</w:t>
            </w:r>
            <w:r>
              <w:br/>
            </w:r>
            <w:r w:rsidRPr="1A7F43EA">
              <w:rPr>
                <w:rFonts w:ascii="Arial" w:hAnsi="Arial" w:cs="Arial"/>
                <w:i/>
                <w:iCs/>
                <w:sz w:val="16"/>
                <w:szCs w:val="16"/>
              </w:rPr>
              <w:t>1.93% increase</w:t>
            </w:r>
          </w:p>
        </w:tc>
        <w:tc>
          <w:tcPr>
            <w:tcW w:w="1350" w:type="dxa"/>
            <w:shd w:val="clear" w:color="auto" w:fill="D9D9D9" w:themeFill="background1" w:themeFillShade="D9"/>
            <w:vAlign w:val="center"/>
          </w:tcPr>
          <w:p w14:paraId="6C690C14" w14:textId="722EEC22" w:rsidR="001544A4" w:rsidRPr="004422A6" w:rsidRDefault="001544A4" w:rsidP="001544A4">
            <w:pPr>
              <w:jc w:val="center"/>
              <w:rPr>
                <w:rFonts w:ascii="Arial" w:hAnsi="Arial" w:cs="Arial"/>
                <w:i/>
                <w:iCs/>
                <w:sz w:val="16"/>
                <w:szCs w:val="16"/>
              </w:rPr>
            </w:pPr>
          </w:p>
        </w:tc>
        <w:tc>
          <w:tcPr>
            <w:tcW w:w="1485" w:type="dxa"/>
            <w:gridSpan w:val="2"/>
            <w:shd w:val="clear" w:color="auto" w:fill="D9D9D9" w:themeFill="background1" w:themeFillShade="D9"/>
            <w:vAlign w:val="center"/>
          </w:tcPr>
          <w:p w14:paraId="15013E40" w14:textId="66450C27" w:rsidR="001544A4" w:rsidRPr="00133A72" w:rsidRDefault="001544A4" w:rsidP="001544A4">
            <w:pPr>
              <w:jc w:val="center"/>
              <w:rPr>
                <w:rFonts w:ascii="Arial" w:hAnsi="Arial" w:cs="Arial"/>
                <w:sz w:val="18"/>
                <w:szCs w:val="18"/>
              </w:rPr>
            </w:pPr>
          </w:p>
        </w:tc>
      </w:tr>
      <w:tr w:rsidR="001544A4" w:rsidRPr="00133A72" w14:paraId="3E28E590" w14:textId="77777777" w:rsidTr="1A7F43EA">
        <w:trPr>
          <w:trHeight w:val="288"/>
        </w:trPr>
        <w:tc>
          <w:tcPr>
            <w:tcW w:w="2740" w:type="dxa"/>
            <w:vMerge/>
          </w:tcPr>
          <w:p w14:paraId="6BB2849A" w14:textId="77777777" w:rsidR="001544A4" w:rsidRPr="00133A72" w:rsidRDefault="001544A4" w:rsidP="001544A4">
            <w:pPr>
              <w:pStyle w:val="ListParagraph"/>
              <w:numPr>
                <w:ilvl w:val="0"/>
                <w:numId w:val="20"/>
              </w:numPr>
              <w:tabs>
                <w:tab w:val="left" w:pos="2985"/>
              </w:tabs>
              <w:ind w:left="342"/>
              <w:rPr>
                <w:rFonts w:ascii="Arial" w:hAnsi="Arial" w:cs="Arial"/>
                <w:sz w:val="20"/>
              </w:rPr>
            </w:pPr>
          </w:p>
        </w:tc>
        <w:tc>
          <w:tcPr>
            <w:tcW w:w="720" w:type="dxa"/>
            <w:shd w:val="clear" w:color="auto" w:fill="FFFFFF" w:themeFill="background1"/>
            <w:vAlign w:val="center"/>
          </w:tcPr>
          <w:p w14:paraId="3A95FFC2" w14:textId="5927856D" w:rsidR="001544A4" w:rsidRPr="00133A72" w:rsidRDefault="001544A4" w:rsidP="001544A4">
            <w:pPr>
              <w:jc w:val="center"/>
              <w:rPr>
                <w:rFonts w:ascii="Arial" w:hAnsi="Arial" w:cs="Arial"/>
                <w:i/>
                <w:sz w:val="20"/>
              </w:rPr>
            </w:pPr>
            <w:r w:rsidRPr="00133A72">
              <w:rPr>
                <w:rFonts w:ascii="Arial" w:hAnsi="Arial" w:cs="Arial"/>
                <w:i/>
                <w:sz w:val="16"/>
                <w:szCs w:val="16"/>
              </w:rPr>
              <w:t>target</w:t>
            </w:r>
          </w:p>
        </w:tc>
        <w:tc>
          <w:tcPr>
            <w:tcW w:w="1377" w:type="dxa"/>
            <w:shd w:val="clear" w:color="auto" w:fill="FFFFFF" w:themeFill="background1"/>
            <w:vAlign w:val="center"/>
          </w:tcPr>
          <w:p w14:paraId="27817A0A" w14:textId="38920260" w:rsidR="001544A4" w:rsidRPr="00133A72" w:rsidRDefault="001544A4" w:rsidP="001544A4">
            <w:pPr>
              <w:jc w:val="center"/>
              <w:rPr>
                <w:rFonts w:ascii="Arial" w:hAnsi="Arial" w:cs="Arial"/>
                <w:i/>
                <w:sz w:val="16"/>
                <w:szCs w:val="16"/>
              </w:rPr>
            </w:pPr>
            <w:r>
              <w:rPr>
                <w:rFonts w:ascii="Arial" w:hAnsi="Arial" w:cs="Arial"/>
                <w:i/>
                <w:sz w:val="16"/>
                <w:szCs w:val="16"/>
              </w:rPr>
              <w:t>2% annual increase</w:t>
            </w:r>
          </w:p>
        </w:tc>
        <w:tc>
          <w:tcPr>
            <w:tcW w:w="1260" w:type="dxa"/>
            <w:shd w:val="clear" w:color="auto" w:fill="FFFFFF" w:themeFill="background1"/>
            <w:vAlign w:val="center"/>
          </w:tcPr>
          <w:p w14:paraId="2D338CD4" w14:textId="5471FAD6" w:rsidR="001544A4" w:rsidRPr="00133A72" w:rsidRDefault="001544A4" w:rsidP="001544A4">
            <w:pPr>
              <w:jc w:val="center"/>
              <w:rPr>
                <w:rFonts w:ascii="Arial" w:hAnsi="Arial" w:cs="Arial"/>
                <w:i/>
                <w:sz w:val="16"/>
                <w:szCs w:val="16"/>
              </w:rPr>
            </w:pPr>
            <w:r>
              <w:rPr>
                <w:rFonts w:ascii="Arial" w:hAnsi="Arial" w:cs="Arial"/>
                <w:i/>
                <w:sz w:val="16"/>
                <w:szCs w:val="16"/>
              </w:rPr>
              <w:t>2% annual increase</w:t>
            </w:r>
          </w:p>
        </w:tc>
        <w:tc>
          <w:tcPr>
            <w:tcW w:w="1323" w:type="dxa"/>
            <w:shd w:val="clear" w:color="auto" w:fill="FFFFFF" w:themeFill="background1"/>
            <w:vAlign w:val="center"/>
          </w:tcPr>
          <w:p w14:paraId="2DAE6786" w14:textId="33B0B50A" w:rsidR="001544A4" w:rsidRPr="00133A72" w:rsidRDefault="001544A4" w:rsidP="001544A4">
            <w:pPr>
              <w:jc w:val="center"/>
              <w:rPr>
                <w:rFonts w:ascii="Arial" w:hAnsi="Arial" w:cs="Arial"/>
                <w:i/>
                <w:sz w:val="16"/>
                <w:szCs w:val="16"/>
              </w:rPr>
            </w:pPr>
            <w:r>
              <w:rPr>
                <w:rFonts w:ascii="Arial" w:hAnsi="Arial" w:cs="Arial"/>
                <w:i/>
                <w:sz w:val="16"/>
                <w:szCs w:val="16"/>
              </w:rPr>
              <w:t>2% annual increase</w:t>
            </w:r>
          </w:p>
        </w:tc>
        <w:tc>
          <w:tcPr>
            <w:tcW w:w="1350" w:type="dxa"/>
            <w:shd w:val="clear" w:color="auto" w:fill="FFFFFF" w:themeFill="background1"/>
            <w:vAlign w:val="center"/>
          </w:tcPr>
          <w:p w14:paraId="16C65699" w14:textId="0FC86F13" w:rsidR="001544A4" w:rsidRPr="00133A72" w:rsidRDefault="001544A4" w:rsidP="001544A4">
            <w:pPr>
              <w:jc w:val="center"/>
              <w:rPr>
                <w:rFonts w:ascii="Arial" w:hAnsi="Arial" w:cs="Arial"/>
                <w:i/>
                <w:sz w:val="16"/>
                <w:szCs w:val="16"/>
              </w:rPr>
            </w:pPr>
          </w:p>
        </w:tc>
        <w:tc>
          <w:tcPr>
            <w:tcW w:w="1485" w:type="dxa"/>
            <w:gridSpan w:val="2"/>
            <w:shd w:val="clear" w:color="auto" w:fill="FFFFFF" w:themeFill="background1"/>
            <w:vAlign w:val="center"/>
          </w:tcPr>
          <w:p w14:paraId="51F4FA08" w14:textId="7454CF6A" w:rsidR="001544A4" w:rsidRPr="00133A72" w:rsidRDefault="001544A4" w:rsidP="001544A4">
            <w:pPr>
              <w:jc w:val="center"/>
              <w:rPr>
                <w:rFonts w:ascii="Arial" w:hAnsi="Arial" w:cs="Arial"/>
                <w:i/>
                <w:sz w:val="16"/>
                <w:szCs w:val="16"/>
              </w:rPr>
            </w:pPr>
          </w:p>
        </w:tc>
      </w:tr>
      <w:tr w:rsidR="001544A4" w:rsidRPr="00133A72" w14:paraId="4F6273C6" w14:textId="77777777" w:rsidTr="1A7F43EA">
        <w:trPr>
          <w:trHeight w:val="288"/>
        </w:trPr>
        <w:tc>
          <w:tcPr>
            <w:tcW w:w="2740" w:type="dxa"/>
            <w:vMerge w:val="restart"/>
          </w:tcPr>
          <w:p w14:paraId="4B12E63F" w14:textId="6CCA5895" w:rsidR="001544A4" w:rsidRPr="00133A72" w:rsidRDefault="001544A4" w:rsidP="001544A4">
            <w:pPr>
              <w:pStyle w:val="ListParagraph"/>
              <w:numPr>
                <w:ilvl w:val="0"/>
                <w:numId w:val="20"/>
              </w:numPr>
              <w:tabs>
                <w:tab w:val="left" w:pos="2985"/>
              </w:tabs>
              <w:ind w:left="342"/>
              <w:rPr>
                <w:rFonts w:ascii="Arial" w:hAnsi="Arial" w:cs="Arial"/>
                <w:sz w:val="20"/>
              </w:rPr>
            </w:pPr>
            <w:r w:rsidRPr="00133A72">
              <w:rPr>
                <w:rFonts w:ascii="Arial" w:hAnsi="Arial" w:cs="Arial"/>
                <w:bCs/>
                <w:sz w:val="20"/>
              </w:rPr>
              <w:t>New measure: Percentage of e-rate libraries with speeds greater than 25 Mbps</w:t>
            </w:r>
          </w:p>
        </w:tc>
        <w:tc>
          <w:tcPr>
            <w:tcW w:w="720" w:type="dxa"/>
            <w:shd w:val="clear" w:color="auto" w:fill="D9D9D9" w:themeFill="background1" w:themeFillShade="D9"/>
            <w:vAlign w:val="center"/>
          </w:tcPr>
          <w:p w14:paraId="2F17E8E9" w14:textId="1DBAABFF" w:rsidR="001544A4" w:rsidRPr="00133A72" w:rsidRDefault="001544A4" w:rsidP="001544A4">
            <w:pPr>
              <w:jc w:val="center"/>
              <w:rPr>
                <w:rFonts w:ascii="Arial" w:hAnsi="Arial" w:cs="Arial"/>
                <w:i/>
                <w:sz w:val="20"/>
              </w:rPr>
            </w:pPr>
            <w:r w:rsidRPr="00133A72">
              <w:rPr>
                <w:rFonts w:ascii="Arial" w:hAnsi="Arial" w:cs="Arial"/>
                <w:sz w:val="20"/>
              </w:rPr>
              <w:t>actual</w:t>
            </w:r>
          </w:p>
        </w:tc>
        <w:tc>
          <w:tcPr>
            <w:tcW w:w="1377" w:type="dxa"/>
            <w:shd w:val="clear" w:color="auto" w:fill="D9D9D9" w:themeFill="background1" w:themeFillShade="D9"/>
            <w:vAlign w:val="center"/>
          </w:tcPr>
          <w:p w14:paraId="27604054" w14:textId="77777777" w:rsidR="001544A4" w:rsidRPr="00133A72" w:rsidRDefault="001544A4" w:rsidP="001544A4">
            <w:pPr>
              <w:jc w:val="center"/>
              <w:rPr>
                <w:rFonts w:ascii="Arial" w:hAnsi="Arial" w:cs="Arial"/>
                <w:sz w:val="18"/>
                <w:szCs w:val="18"/>
              </w:rPr>
            </w:pPr>
            <w:r>
              <w:rPr>
                <w:rFonts w:ascii="Arial" w:hAnsi="Arial" w:cs="Arial"/>
                <w:sz w:val="18"/>
                <w:szCs w:val="18"/>
              </w:rPr>
              <w:t>6</w:t>
            </w:r>
            <w:r w:rsidRPr="00133A72">
              <w:rPr>
                <w:rFonts w:ascii="Arial" w:hAnsi="Arial" w:cs="Arial"/>
                <w:sz w:val="18"/>
                <w:szCs w:val="18"/>
              </w:rPr>
              <w:t xml:space="preserve">1 of </w:t>
            </w:r>
            <w:r>
              <w:rPr>
                <w:rFonts w:ascii="Arial" w:hAnsi="Arial" w:cs="Arial"/>
                <w:sz w:val="18"/>
                <w:szCs w:val="18"/>
              </w:rPr>
              <w:t>72</w:t>
            </w:r>
          </w:p>
          <w:p w14:paraId="3290A065" w14:textId="77777777" w:rsidR="001544A4" w:rsidRPr="00133A72" w:rsidRDefault="001544A4" w:rsidP="001544A4">
            <w:pPr>
              <w:jc w:val="center"/>
              <w:rPr>
                <w:rFonts w:ascii="Arial" w:hAnsi="Arial" w:cs="Arial"/>
                <w:sz w:val="18"/>
                <w:szCs w:val="18"/>
              </w:rPr>
            </w:pPr>
            <w:r>
              <w:rPr>
                <w:rFonts w:ascii="Arial" w:hAnsi="Arial" w:cs="Arial"/>
                <w:sz w:val="18"/>
                <w:szCs w:val="18"/>
              </w:rPr>
              <w:t>84</w:t>
            </w:r>
            <w:r w:rsidRPr="00133A72">
              <w:rPr>
                <w:rFonts w:ascii="Arial" w:hAnsi="Arial" w:cs="Arial"/>
                <w:sz w:val="18"/>
                <w:szCs w:val="18"/>
              </w:rPr>
              <w:t>.</w:t>
            </w:r>
            <w:r>
              <w:rPr>
                <w:rFonts w:ascii="Arial" w:hAnsi="Arial" w:cs="Arial"/>
                <w:sz w:val="18"/>
                <w:szCs w:val="18"/>
              </w:rPr>
              <w:t>7</w:t>
            </w:r>
            <w:r w:rsidRPr="00133A72">
              <w:rPr>
                <w:rFonts w:ascii="Arial" w:hAnsi="Arial" w:cs="Arial"/>
                <w:sz w:val="18"/>
                <w:szCs w:val="18"/>
              </w:rPr>
              <w:t>2%</w:t>
            </w:r>
          </w:p>
          <w:p w14:paraId="434F0D4F" w14:textId="71662046" w:rsidR="001544A4" w:rsidRPr="00133A72" w:rsidRDefault="001544A4" w:rsidP="001544A4">
            <w:pPr>
              <w:jc w:val="center"/>
              <w:rPr>
                <w:rFonts w:ascii="Arial" w:hAnsi="Arial" w:cs="Arial"/>
                <w:i/>
                <w:sz w:val="18"/>
                <w:szCs w:val="18"/>
              </w:rPr>
            </w:pPr>
            <w:r>
              <w:rPr>
                <w:rFonts w:ascii="Arial" w:hAnsi="Arial" w:cs="Arial"/>
                <w:i/>
                <w:iCs/>
                <w:sz w:val="16"/>
                <w:szCs w:val="16"/>
              </w:rPr>
              <w:t>11</w:t>
            </w:r>
            <w:r w:rsidRPr="00133A72">
              <w:rPr>
                <w:rFonts w:ascii="Arial" w:hAnsi="Arial" w:cs="Arial"/>
                <w:i/>
                <w:iCs/>
                <w:sz w:val="16"/>
                <w:szCs w:val="16"/>
              </w:rPr>
              <w:t>.</w:t>
            </w:r>
            <w:r>
              <w:rPr>
                <w:rFonts w:ascii="Arial" w:hAnsi="Arial" w:cs="Arial"/>
                <w:i/>
                <w:iCs/>
                <w:sz w:val="16"/>
                <w:szCs w:val="16"/>
              </w:rPr>
              <w:t>3</w:t>
            </w:r>
            <w:r w:rsidRPr="00133A72">
              <w:rPr>
                <w:rFonts w:ascii="Arial" w:hAnsi="Arial" w:cs="Arial"/>
                <w:i/>
                <w:iCs/>
                <w:sz w:val="16"/>
                <w:szCs w:val="16"/>
              </w:rPr>
              <w:t xml:space="preserve">% </w:t>
            </w:r>
            <w:r>
              <w:rPr>
                <w:rFonts w:ascii="Arial" w:hAnsi="Arial" w:cs="Arial"/>
                <w:i/>
                <w:iCs/>
                <w:sz w:val="16"/>
                <w:szCs w:val="16"/>
              </w:rPr>
              <w:t>increa</w:t>
            </w:r>
            <w:r w:rsidRPr="00133A72">
              <w:rPr>
                <w:rFonts w:ascii="Arial" w:hAnsi="Arial" w:cs="Arial"/>
                <w:i/>
                <w:iCs/>
                <w:sz w:val="16"/>
                <w:szCs w:val="16"/>
              </w:rPr>
              <w:t>se</w:t>
            </w:r>
          </w:p>
        </w:tc>
        <w:tc>
          <w:tcPr>
            <w:tcW w:w="1260" w:type="dxa"/>
            <w:shd w:val="clear" w:color="auto" w:fill="D9D9D9" w:themeFill="background1" w:themeFillShade="D9"/>
            <w:vAlign w:val="center"/>
          </w:tcPr>
          <w:p w14:paraId="75F1189C" w14:textId="77777777" w:rsidR="001544A4" w:rsidRPr="00786D41" w:rsidRDefault="001544A4" w:rsidP="001544A4">
            <w:pPr>
              <w:jc w:val="center"/>
              <w:rPr>
                <w:rFonts w:ascii="Arial" w:hAnsi="Arial" w:cs="Arial"/>
                <w:sz w:val="18"/>
                <w:szCs w:val="18"/>
              </w:rPr>
            </w:pPr>
            <w:r w:rsidRPr="00786D41">
              <w:rPr>
                <w:rFonts w:ascii="Arial" w:hAnsi="Arial" w:cs="Arial"/>
                <w:sz w:val="18"/>
                <w:szCs w:val="18"/>
              </w:rPr>
              <w:t>64 of 70</w:t>
            </w:r>
          </w:p>
          <w:p w14:paraId="3D4A0A30" w14:textId="77777777" w:rsidR="001544A4" w:rsidRPr="00786D41" w:rsidRDefault="001544A4" w:rsidP="001544A4">
            <w:pPr>
              <w:jc w:val="center"/>
              <w:rPr>
                <w:rFonts w:ascii="Arial" w:hAnsi="Arial" w:cs="Arial"/>
                <w:sz w:val="18"/>
                <w:szCs w:val="18"/>
              </w:rPr>
            </w:pPr>
            <w:r w:rsidRPr="00786D41">
              <w:rPr>
                <w:rFonts w:ascii="Arial" w:hAnsi="Arial" w:cs="Arial"/>
                <w:sz w:val="18"/>
                <w:szCs w:val="18"/>
              </w:rPr>
              <w:t>85.7%</w:t>
            </w:r>
          </w:p>
          <w:p w14:paraId="4ABE614C" w14:textId="5C75B478" w:rsidR="001544A4" w:rsidRPr="00133A72" w:rsidRDefault="001544A4" w:rsidP="001544A4">
            <w:pPr>
              <w:jc w:val="center"/>
              <w:rPr>
                <w:rFonts w:ascii="Arial" w:hAnsi="Arial" w:cs="Arial"/>
                <w:i/>
                <w:sz w:val="18"/>
                <w:szCs w:val="18"/>
              </w:rPr>
            </w:pPr>
            <w:r w:rsidRPr="00786D41">
              <w:rPr>
                <w:rFonts w:ascii="Arial" w:hAnsi="Arial" w:cs="Arial"/>
                <w:i/>
                <w:iCs/>
                <w:sz w:val="16"/>
                <w:szCs w:val="16"/>
              </w:rPr>
              <w:t>1.16% increase</w:t>
            </w:r>
          </w:p>
        </w:tc>
        <w:tc>
          <w:tcPr>
            <w:tcW w:w="1323" w:type="dxa"/>
            <w:shd w:val="clear" w:color="auto" w:fill="D9D9D9" w:themeFill="background1" w:themeFillShade="D9"/>
            <w:vAlign w:val="center"/>
          </w:tcPr>
          <w:p w14:paraId="04A77309" w14:textId="2A99420D" w:rsidR="001544A4" w:rsidRPr="00133A72" w:rsidRDefault="001544A4" w:rsidP="001544A4">
            <w:pPr>
              <w:jc w:val="center"/>
              <w:rPr>
                <w:rFonts w:ascii="Arial" w:hAnsi="Arial" w:cs="Arial"/>
                <w:i/>
                <w:sz w:val="18"/>
                <w:szCs w:val="18"/>
              </w:rPr>
            </w:pPr>
            <w:r w:rsidRPr="005648A9">
              <w:rPr>
                <w:rFonts w:ascii="Arial" w:hAnsi="Arial" w:cs="Arial"/>
                <w:sz w:val="18"/>
                <w:szCs w:val="18"/>
              </w:rPr>
              <w:t>69 of 71</w:t>
            </w:r>
            <w:r>
              <w:rPr>
                <w:rFonts w:ascii="Arial" w:hAnsi="Arial" w:cs="Arial"/>
                <w:sz w:val="18"/>
                <w:szCs w:val="18"/>
              </w:rPr>
              <w:br/>
              <w:t>97.18%</w:t>
            </w:r>
            <w:r>
              <w:rPr>
                <w:rFonts w:ascii="Arial" w:hAnsi="Arial" w:cs="Arial"/>
                <w:sz w:val="18"/>
                <w:szCs w:val="18"/>
              </w:rPr>
              <w:br/>
            </w:r>
            <w:r>
              <w:rPr>
                <w:rFonts w:ascii="Arial" w:hAnsi="Arial" w:cs="Arial"/>
                <w:i/>
                <w:iCs/>
                <w:sz w:val="16"/>
                <w:szCs w:val="16"/>
              </w:rPr>
              <w:t>11.4% increase</w:t>
            </w:r>
          </w:p>
        </w:tc>
        <w:tc>
          <w:tcPr>
            <w:tcW w:w="1350" w:type="dxa"/>
            <w:shd w:val="clear" w:color="auto" w:fill="D9D9D9" w:themeFill="background1" w:themeFillShade="D9"/>
            <w:vAlign w:val="center"/>
          </w:tcPr>
          <w:p w14:paraId="26F4CC41" w14:textId="64196AB7" w:rsidR="001544A4" w:rsidRPr="00DA08B9" w:rsidRDefault="001544A4" w:rsidP="001544A4">
            <w:pPr>
              <w:jc w:val="center"/>
              <w:rPr>
                <w:rFonts w:ascii="Arial" w:hAnsi="Arial" w:cs="Arial"/>
                <w:i/>
                <w:iCs/>
                <w:sz w:val="16"/>
                <w:szCs w:val="16"/>
              </w:rPr>
            </w:pPr>
          </w:p>
        </w:tc>
        <w:tc>
          <w:tcPr>
            <w:tcW w:w="1485" w:type="dxa"/>
            <w:gridSpan w:val="2"/>
            <w:shd w:val="clear" w:color="auto" w:fill="D9D9D9" w:themeFill="background1" w:themeFillShade="D9"/>
            <w:vAlign w:val="center"/>
          </w:tcPr>
          <w:p w14:paraId="184CA4FE" w14:textId="408B54F7" w:rsidR="001544A4" w:rsidRPr="00133A72" w:rsidRDefault="001544A4" w:rsidP="001544A4">
            <w:pPr>
              <w:jc w:val="center"/>
              <w:rPr>
                <w:rFonts w:ascii="Arial" w:hAnsi="Arial" w:cs="Arial"/>
                <w:i/>
                <w:sz w:val="16"/>
                <w:szCs w:val="16"/>
              </w:rPr>
            </w:pPr>
          </w:p>
        </w:tc>
      </w:tr>
      <w:tr w:rsidR="001544A4" w:rsidRPr="00133A72" w14:paraId="2E65AC90" w14:textId="77777777" w:rsidTr="1A7F43EA">
        <w:trPr>
          <w:trHeight w:val="288"/>
        </w:trPr>
        <w:tc>
          <w:tcPr>
            <w:tcW w:w="2740" w:type="dxa"/>
            <w:vMerge/>
          </w:tcPr>
          <w:p w14:paraId="0F00420F" w14:textId="77777777" w:rsidR="001544A4" w:rsidRPr="00133A72" w:rsidRDefault="001544A4" w:rsidP="001544A4">
            <w:pPr>
              <w:pStyle w:val="ListParagraph"/>
              <w:tabs>
                <w:tab w:val="left" w:pos="2985"/>
              </w:tabs>
              <w:ind w:left="342"/>
              <w:rPr>
                <w:rFonts w:ascii="Arial" w:hAnsi="Arial" w:cs="Arial"/>
                <w:sz w:val="20"/>
              </w:rPr>
            </w:pPr>
          </w:p>
        </w:tc>
        <w:tc>
          <w:tcPr>
            <w:tcW w:w="720" w:type="dxa"/>
            <w:shd w:val="clear" w:color="auto" w:fill="FFFFFF" w:themeFill="background1"/>
            <w:vAlign w:val="center"/>
          </w:tcPr>
          <w:p w14:paraId="17F2E5BC" w14:textId="216C7740" w:rsidR="001544A4" w:rsidRPr="00133A72" w:rsidRDefault="001544A4" w:rsidP="001544A4">
            <w:pPr>
              <w:jc w:val="center"/>
              <w:rPr>
                <w:rFonts w:ascii="Arial" w:hAnsi="Arial" w:cs="Arial"/>
                <w:i/>
                <w:sz w:val="20"/>
              </w:rPr>
            </w:pPr>
            <w:r w:rsidRPr="00133A72">
              <w:rPr>
                <w:rFonts w:ascii="Arial" w:hAnsi="Arial" w:cs="Arial"/>
                <w:i/>
                <w:sz w:val="16"/>
                <w:szCs w:val="16"/>
              </w:rPr>
              <w:t>target</w:t>
            </w:r>
          </w:p>
        </w:tc>
        <w:tc>
          <w:tcPr>
            <w:tcW w:w="1377" w:type="dxa"/>
            <w:shd w:val="clear" w:color="auto" w:fill="FFFFFF" w:themeFill="background1"/>
            <w:vAlign w:val="center"/>
          </w:tcPr>
          <w:p w14:paraId="5C641E2F" w14:textId="75FC2973" w:rsidR="001544A4" w:rsidRPr="00133A72" w:rsidRDefault="001544A4" w:rsidP="001544A4">
            <w:pPr>
              <w:jc w:val="center"/>
              <w:rPr>
                <w:rFonts w:ascii="Arial" w:hAnsi="Arial" w:cs="Arial"/>
                <w:i/>
                <w:sz w:val="16"/>
                <w:szCs w:val="16"/>
              </w:rPr>
            </w:pPr>
            <w:r>
              <w:rPr>
                <w:rFonts w:ascii="Arial" w:hAnsi="Arial" w:cs="Arial"/>
                <w:i/>
                <w:sz w:val="16"/>
                <w:szCs w:val="16"/>
              </w:rPr>
              <w:t>2% annual increase</w:t>
            </w:r>
          </w:p>
        </w:tc>
        <w:tc>
          <w:tcPr>
            <w:tcW w:w="1260" w:type="dxa"/>
            <w:shd w:val="clear" w:color="auto" w:fill="FFFFFF" w:themeFill="background1"/>
            <w:vAlign w:val="center"/>
          </w:tcPr>
          <w:p w14:paraId="07E6D675" w14:textId="65CF1A16" w:rsidR="001544A4" w:rsidRPr="00133A72" w:rsidRDefault="001544A4" w:rsidP="001544A4">
            <w:pPr>
              <w:jc w:val="center"/>
              <w:rPr>
                <w:rFonts w:ascii="Arial" w:hAnsi="Arial" w:cs="Arial"/>
                <w:i/>
                <w:sz w:val="16"/>
                <w:szCs w:val="16"/>
              </w:rPr>
            </w:pPr>
            <w:r>
              <w:rPr>
                <w:rFonts w:ascii="Arial" w:hAnsi="Arial" w:cs="Arial"/>
                <w:i/>
                <w:sz w:val="16"/>
                <w:szCs w:val="16"/>
              </w:rPr>
              <w:t>2% annual increase</w:t>
            </w:r>
          </w:p>
        </w:tc>
        <w:tc>
          <w:tcPr>
            <w:tcW w:w="1323" w:type="dxa"/>
            <w:shd w:val="clear" w:color="auto" w:fill="FFFFFF" w:themeFill="background1"/>
            <w:vAlign w:val="center"/>
          </w:tcPr>
          <w:p w14:paraId="3DBDF0C4" w14:textId="55289AD4" w:rsidR="001544A4" w:rsidRPr="00133A72" w:rsidRDefault="001544A4" w:rsidP="001544A4">
            <w:pPr>
              <w:jc w:val="center"/>
              <w:rPr>
                <w:rFonts w:ascii="Arial" w:hAnsi="Arial" w:cs="Arial"/>
                <w:i/>
                <w:sz w:val="16"/>
                <w:szCs w:val="16"/>
              </w:rPr>
            </w:pPr>
            <w:r>
              <w:rPr>
                <w:rFonts w:ascii="Arial" w:hAnsi="Arial" w:cs="Arial"/>
                <w:i/>
                <w:sz w:val="16"/>
                <w:szCs w:val="16"/>
              </w:rPr>
              <w:t>2% annual increase</w:t>
            </w:r>
          </w:p>
        </w:tc>
        <w:tc>
          <w:tcPr>
            <w:tcW w:w="1350" w:type="dxa"/>
            <w:shd w:val="clear" w:color="auto" w:fill="FFFFFF" w:themeFill="background1"/>
            <w:vAlign w:val="center"/>
          </w:tcPr>
          <w:p w14:paraId="3ACA53C3" w14:textId="0D34E3EB" w:rsidR="001544A4" w:rsidRPr="00133A72" w:rsidRDefault="001544A4" w:rsidP="001544A4">
            <w:pPr>
              <w:jc w:val="center"/>
              <w:rPr>
                <w:rFonts w:ascii="Arial" w:hAnsi="Arial" w:cs="Arial"/>
                <w:i/>
                <w:sz w:val="16"/>
                <w:szCs w:val="16"/>
              </w:rPr>
            </w:pPr>
          </w:p>
        </w:tc>
        <w:tc>
          <w:tcPr>
            <w:tcW w:w="1485" w:type="dxa"/>
            <w:gridSpan w:val="2"/>
            <w:shd w:val="clear" w:color="auto" w:fill="FFFFFF" w:themeFill="background1"/>
            <w:vAlign w:val="center"/>
          </w:tcPr>
          <w:p w14:paraId="7EFC4165" w14:textId="28D070CC" w:rsidR="001544A4" w:rsidRPr="00133A72" w:rsidRDefault="001544A4" w:rsidP="001544A4">
            <w:pPr>
              <w:jc w:val="center"/>
              <w:rPr>
                <w:rFonts w:ascii="Arial" w:hAnsi="Arial" w:cs="Arial"/>
                <w:i/>
                <w:sz w:val="16"/>
                <w:szCs w:val="16"/>
              </w:rPr>
            </w:pPr>
          </w:p>
        </w:tc>
      </w:tr>
      <w:tr w:rsidR="001544A4" w:rsidRPr="00133A72" w14:paraId="42BD8984" w14:textId="77777777" w:rsidTr="1A7F43EA">
        <w:trPr>
          <w:trHeight w:val="305"/>
        </w:trPr>
        <w:tc>
          <w:tcPr>
            <w:tcW w:w="2740" w:type="dxa"/>
            <w:vMerge w:val="restart"/>
          </w:tcPr>
          <w:p w14:paraId="41FBAB4A" w14:textId="781A045D" w:rsidR="001544A4" w:rsidRPr="00133A72" w:rsidRDefault="001544A4" w:rsidP="001544A4">
            <w:pPr>
              <w:pStyle w:val="ListParagraph"/>
              <w:numPr>
                <w:ilvl w:val="0"/>
                <w:numId w:val="20"/>
              </w:numPr>
              <w:ind w:left="342"/>
              <w:rPr>
                <w:rFonts w:ascii="Arial" w:hAnsi="Arial" w:cs="Arial"/>
                <w:bCs/>
                <w:sz w:val="20"/>
              </w:rPr>
            </w:pPr>
            <w:r w:rsidRPr="00133A72">
              <w:rPr>
                <w:rFonts w:ascii="Arial" w:hAnsi="Arial" w:cs="Arial"/>
                <w:bCs/>
                <w:sz w:val="20"/>
                <w:szCs w:val="20"/>
              </w:rPr>
              <w:t xml:space="preserve">Percentage of participants who indicate they have made changes in their library procedures or services </w:t>
            </w:r>
            <w:proofErr w:type="gramStart"/>
            <w:r w:rsidRPr="00133A72">
              <w:rPr>
                <w:rFonts w:ascii="Arial" w:hAnsi="Arial" w:cs="Arial"/>
                <w:bCs/>
                <w:sz w:val="20"/>
                <w:szCs w:val="20"/>
              </w:rPr>
              <w:t>as a result of</w:t>
            </w:r>
            <w:proofErr w:type="gramEnd"/>
            <w:r w:rsidRPr="00133A72">
              <w:rPr>
                <w:rFonts w:ascii="Arial" w:hAnsi="Arial" w:cs="Arial"/>
                <w:bCs/>
                <w:sz w:val="20"/>
                <w:szCs w:val="20"/>
              </w:rPr>
              <w:t xml:space="preserve"> training or continuing </w:t>
            </w:r>
            <w:proofErr w:type="gramStart"/>
            <w:r w:rsidRPr="00133A72">
              <w:rPr>
                <w:rFonts w:ascii="Arial" w:hAnsi="Arial" w:cs="Arial"/>
                <w:bCs/>
                <w:sz w:val="20"/>
                <w:szCs w:val="20"/>
              </w:rPr>
              <w:t>education</w:t>
            </w:r>
            <w:proofErr w:type="gramEnd"/>
            <w:r w:rsidRPr="00133A72">
              <w:rPr>
                <w:rFonts w:ascii="Arial" w:hAnsi="Arial" w:cs="Arial"/>
                <w:bCs/>
                <w:sz w:val="20"/>
                <w:szCs w:val="20"/>
              </w:rPr>
              <w:t xml:space="preserve"> activities</w:t>
            </w:r>
          </w:p>
        </w:tc>
        <w:tc>
          <w:tcPr>
            <w:tcW w:w="720" w:type="dxa"/>
            <w:shd w:val="clear" w:color="auto" w:fill="D9D9D9" w:themeFill="background1" w:themeFillShade="D9"/>
            <w:vAlign w:val="center"/>
          </w:tcPr>
          <w:p w14:paraId="6EE717E3" w14:textId="77777777" w:rsidR="001544A4" w:rsidRPr="00133A72" w:rsidRDefault="001544A4" w:rsidP="001544A4">
            <w:pPr>
              <w:jc w:val="center"/>
              <w:rPr>
                <w:rFonts w:ascii="Arial" w:hAnsi="Arial" w:cs="Arial"/>
                <w:sz w:val="20"/>
              </w:rPr>
            </w:pPr>
            <w:r w:rsidRPr="00133A72">
              <w:rPr>
                <w:rFonts w:ascii="Arial" w:hAnsi="Arial" w:cs="Arial"/>
                <w:sz w:val="20"/>
              </w:rPr>
              <w:t>actual</w:t>
            </w:r>
          </w:p>
        </w:tc>
        <w:tc>
          <w:tcPr>
            <w:tcW w:w="1377" w:type="dxa"/>
            <w:shd w:val="clear" w:color="auto" w:fill="D9D9D9" w:themeFill="background1" w:themeFillShade="D9"/>
            <w:vAlign w:val="center"/>
          </w:tcPr>
          <w:p w14:paraId="328C4FC9" w14:textId="56B78FBD" w:rsidR="001544A4" w:rsidRPr="00133A72" w:rsidRDefault="001544A4" w:rsidP="001544A4">
            <w:pPr>
              <w:jc w:val="center"/>
              <w:rPr>
                <w:rFonts w:ascii="Arial" w:hAnsi="Arial" w:cs="Arial"/>
                <w:sz w:val="18"/>
                <w:szCs w:val="18"/>
              </w:rPr>
            </w:pPr>
            <w:r>
              <w:rPr>
                <w:rFonts w:ascii="Arial" w:hAnsi="Arial" w:cs="Arial"/>
                <w:sz w:val="18"/>
                <w:szCs w:val="18"/>
              </w:rPr>
              <w:t>62%</w:t>
            </w:r>
          </w:p>
        </w:tc>
        <w:tc>
          <w:tcPr>
            <w:tcW w:w="1260" w:type="dxa"/>
            <w:shd w:val="clear" w:color="auto" w:fill="D9D9D9" w:themeFill="background1" w:themeFillShade="D9"/>
            <w:vAlign w:val="center"/>
          </w:tcPr>
          <w:p w14:paraId="4BDD9049" w14:textId="5B1222DF" w:rsidR="001544A4" w:rsidRPr="00133A72" w:rsidRDefault="001544A4" w:rsidP="001544A4">
            <w:pPr>
              <w:jc w:val="center"/>
              <w:rPr>
                <w:rFonts w:ascii="Arial" w:hAnsi="Arial" w:cs="Arial"/>
                <w:sz w:val="18"/>
                <w:szCs w:val="18"/>
              </w:rPr>
            </w:pPr>
            <w:r>
              <w:rPr>
                <w:rFonts w:ascii="Arial" w:hAnsi="Arial" w:cs="Arial"/>
                <w:sz w:val="18"/>
                <w:szCs w:val="18"/>
              </w:rPr>
              <w:t>63%</w:t>
            </w:r>
          </w:p>
        </w:tc>
        <w:tc>
          <w:tcPr>
            <w:tcW w:w="1323" w:type="dxa"/>
            <w:shd w:val="clear" w:color="auto" w:fill="D9D9D9" w:themeFill="background1" w:themeFillShade="D9"/>
            <w:vAlign w:val="center"/>
          </w:tcPr>
          <w:p w14:paraId="0DF51830" w14:textId="61D09D5A" w:rsidR="001544A4" w:rsidRPr="00133A72" w:rsidRDefault="001544A4" w:rsidP="001544A4">
            <w:pPr>
              <w:jc w:val="center"/>
              <w:rPr>
                <w:rFonts w:ascii="Arial" w:hAnsi="Arial" w:cs="Arial"/>
                <w:sz w:val="18"/>
                <w:szCs w:val="18"/>
              </w:rPr>
            </w:pPr>
            <w:r>
              <w:rPr>
                <w:rFonts w:ascii="Arial" w:hAnsi="Arial" w:cs="Arial"/>
                <w:sz w:val="18"/>
                <w:szCs w:val="18"/>
              </w:rPr>
              <w:t>75.4%</w:t>
            </w:r>
          </w:p>
        </w:tc>
        <w:tc>
          <w:tcPr>
            <w:tcW w:w="1350" w:type="dxa"/>
            <w:shd w:val="clear" w:color="auto" w:fill="D9D9D9" w:themeFill="background1" w:themeFillShade="D9"/>
            <w:vAlign w:val="center"/>
          </w:tcPr>
          <w:p w14:paraId="0EADB0D9" w14:textId="7F3B0F7A" w:rsidR="001544A4" w:rsidRPr="00133A72" w:rsidRDefault="001544A4" w:rsidP="001544A4">
            <w:pPr>
              <w:jc w:val="center"/>
              <w:rPr>
                <w:rFonts w:ascii="Arial" w:hAnsi="Arial" w:cs="Arial"/>
                <w:sz w:val="18"/>
                <w:szCs w:val="18"/>
              </w:rPr>
            </w:pPr>
          </w:p>
        </w:tc>
        <w:tc>
          <w:tcPr>
            <w:tcW w:w="1485" w:type="dxa"/>
            <w:gridSpan w:val="2"/>
            <w:shd w:val="clear" w:color="auto" w:fill="D9D9D9" w:themeFill="background1" w:themeFillShade="D9"/>
            <w:vAlign w:val="center"/>
          </w:tcPr>
          <w:p w14:paraId="38662C48" w14:textId="71904CF7" w:rsidR="001544A4" w:rsidRPr="00133A72" w:rsidRDefault="001544A4" w:rsidP="001544A4">
            <w:pPr>
              <w:jc w:val="center"/>
              <w:rPr>
                <w:rFonts w:ascii="Arial" w:hAnsi="Arial" w:cs="Arial"/>
                <w:sz w:val="20"/>
                <w:szCs w:val="20"/>
              </w:rPr>
            </w:pPr>
          </w:p>
        </w:tc>
      </w:tr>
      <w:tr w:rsidR="001544A4" w:rsidRPr="00133A72" w14:paraId="227B835B" w14:textId="77777777" w:rsidTr="1A7F43EA">
        <w:trPr>
          <w:trHeight w:val="288"/>
        </w:trPr>
        <w:tc>
          <w:tcPr>
            <w:tcW w:w="2740" w:type="dxa"/>
            <w:vMerge/>
          </w:tcPr>
          <w:p w14:paraId="7C51721A" w14:textId="77777777" w:rsidR="001544A4" w:rsidRPr="00133A72" w:rsidRDefault="001544A4" w:rsidP="001544A4">
            <w:pPr>
              <w:pStyle w:val="ListParagraph"/>
              <w:numPr>
                <w:ilvl w:val="0"/>
                <w:numId w:val="20"/>
              </w:numPr>
              <w:tabs>
                <w:tab w:val="left" w:pos="2985"/>
              </w:tabs>
              <w:ind w:left="342"/>
              <w:rPr>
                <w:rFonts w:ascii="Arial" w:hAnsi="Arial" w:cs="Arial"/>
                <w:sz w:val="20"/>
              </w:rPr>
            </w:pPr>
          </w:p>
        </w:tc>
        <w:tc>
          <w:tcPr>
            <w:tcW w:w="720" w:type="dxa"/>
            <w:shd w:val="clear" w:color="auto" w:fill="FFFFFF" w:themeFill="background1"/>
            <w:vAlign w:val="center"/>
          </w:tcPr>
          <w:p w14:paraId="5B9357E3" w14:textId="054C16C3" w:rsidR="001544A4" w:rsidRPr="00133A72" w:rsidRDefault="001544A4" w:rsidP="001544A4">
            <w:pPr>
              <w:jc w:val="center"/>
              <w:rPr>
                <w:rFonts w:ascii="Arial" w:hAnsi="Arial" w:cs="Arial"/>
                <w:i/>
                <w:sz w:val="16"/>
                <w:szCs w:val="16"/>
              </w:rPr>
            </w:pPr>
            <w:r w:rsidRPr="00133A72">
              <w:rPr>
                <w:rFonts w:ascii="Arial" w:hAnsi="Arial" w:cs="Arial"/>
                <w:i/>
                <w:sz w:val="16"/>
                <w:szCs w:val="16"/>
              </w:rPr>
              <w:t>target</w:t>
            </w:r>
          </w:p>
        </w:tc>
        <w:tc>
          <w:tcPr>
            <w:tcW w:w="1377" w:type="dxa"/>
            <w:shd w:val="clear" w:color="auto" w:fill="FFFFFF" w:themeFill="background1"/>
            <w:vAlign w:val="center"/>
          </w:tcPr>
          <w:p w14:paraId="3E9F96D3" w14:textId="510DF239" w:rsidR="001544A4" w:rsidRPr="00133A72" w:rsidRDefault="001544A4" w:rsidP="001544A4">
            <w:pPr>
              <w:jc w:val="center"/>
              <w:rPr>
                <w:rFonts w:ascii="Arial" w:hAnsi="Arial" w:cs="Arial"/>
                <w:i/>
                <w:sz w:val="16"/>
                <w:szCs w:val="16"/>
              </w:rPr>
            </w:pPr>
            <w:r>
              <w:rPr>
                <w:rFonts w:ascii="Arial" w:hAnsi="Arial" w:cs="Arial"/>
                <w:i/>
                <w:sz w:val="16"/>
                <w:szCs w:val="16"/>
              </w:rPr>
              <w:t>80% or higher/year</w:t>
            </w:r>
          </w:p>
        </w:tc>
        <w:tc>
          <w:tcPr>
            <w:tcW w:w="1260" w:type="dxa"/>
            <w:shd w:val="clear" w:color="auto" w:fill="FFFFFF" w:themeFill="background1"/>
            <w:vAlign w:val="center"/>
          </w:tcPr>
          <w:p w14:paraId="0B6A040F" w14:textId="1F1261CE" w:rsidR="001544A4" w:rsidRPr="00133A72" w:rsidRDefault="001544A4" w:rsidP="001544A4">
            <w:pPr>
              <w:jc w:val="center"/>
              <w:rPr>
                <w:rFonts w:ascii="Arial" w:hAnsi="Arial" w:cs="Arial"/>
                <w:i/>
                <w:sz w:val="16"/>
                <w:szCs w:val="16"/>
              </w:rPr>
            </w:pPr>
            <w:r>
              <w:rPr>
                <w:rFonts w:ascii="Arial" w:hAnsi="Arial" w:cs="Arial"/>
                <w:i/>
                <w:sz w:val="16"/>
                <w:szCs w:val="16"/>
              </w:rPr>
              <w:t>80% or</w:t>
            </w:r>
            <w:r>
              <w:rPr>
                <w:rFonts w:ascii="Arial" w:hAnsi="Arial" w:cs="Arial"/>
                <w:i/>
                <w:sz w:val="16"/>
                <w:szCs w:val="16"/>
              </w:rPr>
              <w:br/>
              <w:t>higher/year</w:t>
            </w:r>
          </w:p>
        </w:tc>
        <w:tc>
          <w:tcPr>
            <w:tcW w:w="1323" w:type="dxa"/>
            <w:shd w:val="clear" w:color="auto" w:fill="FFFFFF" w:themeFill="background1"/>
            <w:vAlign w:val="center"/>
          </w:tcPr>
          <w:p w14:paraId="7D2A5A09" w14:textId="1F3EE14C" w:rsidR="001544A4" w:rsidRPr="00133A72" w:rsidRDefault="001544A4" w:rsidP="001544A4">
            <w:pPr>
              <w:jc w:val="center"/>
              <w:rPr>
                <w:rFonts w:ascii="Arial" w:hAnsi="Arial" w:cs="Arial"/>
                <w:i/>
                <w:sz w:val="16"/>
                <w:szCs w:val="16"/>
              </w:rPr>
            </w:pPr>
            <w:r>
              <w:rPr>
                <w:rFonts w:ascii="Arial" w:hAnsi="Arial" w:cs="Arial"/>
                <w:i/>
                <w:sz w:val="16"/>
                <w:szCs w:val="16"/>
              </w:rPr>
              <w:t>80% or</w:t>
            </w:r>
            <w:r>
              <w:rPr>
                <w:rFonts w:ascii="Arial" w:hAnsi="Arial" w:cs="Arial"/>
                <w:i/>
                <w:sz w:val="16"/>
                <w:szCs w:val="16"/>
              </w:rPr>
              <w:br/>
              <w:t>higher/year</w:t>
            </w:r>
          </w:p>
        </w:tc>
        <w:tc>
          <w:tcPr>
            <w:tcW w:w="1350" w:type="dxa"/>
            <w:shd w:val="clear" w:color="auto" w:fill="FFFFFF" w:themeFill="background1"/>
            <w:vAlign w:val="center"/>
          </w:tcPr>
          <w:p w14:paraId="5CCCFA03" w14:textId="51646D14" w:rsidR="001544A4" w:rsidRPr="00133A72" w:rsidRDefault="001544A4" w:rsidP="001544A4">
            <w:pPr>
              <w:jc w:val="center"/>
              <w:rPr>
                <w:rFonts w:ascii="Arial" w:hAnsi="Arial" w:cs="Arial"/>
                <w:i/>
                <w:sz w:val="16"/>
                <w:szCs w:val="16"/>
              </w:rPr>
            </w:pPr>
          </w:p>
        </w:tc>
        <w:tc>
          <w:tcPr>
            <w:tcW w:w="1485" w:type="dxa"/>
            <w:gridSpan w:val="2"/>
            <w:shd w:val="clear" w:color="auto" w:fill="FFFFFF" w:themeFill="background1"/>
            <w:vAlign w:val="center"/>
          </w:tcPr>
          <w:p w14:paraId="3EA030C3" w14:textId="79AFD66F" w:rsidR="001544A4" w:rsidRPr="00133A72" w:rsidRDefault="001544A4" w:rsidP="001544A4">
            <w:pPr>
              <w:jc w:val="center"/>
              <w:rPr>
                <w:rFonts w:ascii="Arial" w:hAnsi="Arial" w:cs="Arial"/>
                <w:i/>
                <w:sz w:val="16"/>
                <w:szCs w:val="16"/>
              </w:rPr>
            </w:pPr>
          </w:p>
        </w:tc>
      </w:tr>
      <w:tr w:rsidR="001544A4" w:rsidRPr="00133A72" w14:paraId="4CB51E71" w14:textId="77777777" w:rsidTr="1A7F43EA">
        <w:trPr>
          <w:gridAfter w:val="1"/>
          <w:wAfter w:w="225" w:type="dxa"/>
          <w:trHeight w:val="323"/>
        </w:trPr>
        <w:tc>
          <w:tcPr>
            <w:tcW w:w="10030" w:type="dxa"/>
            <w:gridSpan w:val="7"/>
            <w:shd w:val="clear" w:color="auto" w:fill="DBE5F1" w:themeFill="accent1" w:themeFillTint="33"/>
            <w:vAlign w:val="center"/>
          </w:tcPr>
          <w:p w14:paraId="70E5923E" w14:textId="77777777" w:rsidR="001544A4" w:rsidRPr="00133A72" w:rsidRDefault="001544A4" w:rsidP="001544A4">
            <w:pPr>
              <w:jc w:val="center"/>
              <w:rPr>
                <w:rFonts w:ascii="Arial" w:hAnsi="Arial" w:cs="Arial"/>
                <w:b/>
                <w:sz w:val="20"/>
                <w:u w:val="single"/>
              </w:rPr>
            </w:pPr>
            <w:r w:rsidRPr="00133A72">
              <w:rPr>
                <w:rFonts w:ascii="Arial" w:hAnsi="Arial" w:cs="Arial"/>
                <w:b/>
                <w:sz w:val="20"/>
                <w:u w:val="single"/>
              </w:rPr>
              <w:t>Goal 2</w:t>
            </w:r>
          </w:p>
          <w:p w14:paraId="32283CE6" w14:textId="77777777" w:rsidR="001544A4" w:rsidRPr="00133A72" w:rsidRDefault="001544A4" w:rsidP="001544A4">
            <w:pPr>
              <w:spacing w:after="160"/>
              <w:rPr>
                <w:rFonts w:ascii="Arial" w:hAnsi="Arial" w:cs="Arial"/>
                <w:b/>
                <w:sz w:val="20"/>
              </w:rPr>
            </w:pPr>
            <w:r w:rsidRPr="00133A72">
              <w:rPr>
                <w:rFonts w:ascii="Arial" w:hAnsi="Arial" w:cs="Arial"/>
                <w:sz w:val="20"/>
                <w:szCs w:val="20"/>
              </w:rPr>
              <w:t>Support the role of libraries in preparing Idahoans to be college and career ready.</w:t>
            </w:r>
          </w:p>
        </w:tc>
      </w:tr>
      <w:tr w:rsidR="001544A4" w:rsidRPr="00133A72" w14:paraId="483D5A51" w14:textId="77777777" w:rsidTr="1A7F43EA">
        <w:trPr>
          <w:gridAfter w:val="1"/>
          <w:wAfter w:w="225" w:type="dxa"/>
          <w:trHeight w:val="288"/>
        </w:trPr>
        <w:tc>
          <w:tcPr>
            <w:tcW w:w="2740" w:type="dxa"/>
            <w:vMerge w:val="restart"/>
          </w:tcPr>
          <w:p w14:paraId="5B5DBB8D" w14:textId="77777777" w:rsidR="001544A4" w:rsidRPr="00133A72" w:rsidRDefault="001544A4" w:rsidP="001544A4">
            <w:pPr>
              <w:pStyle w:val="ListParagraph"/>
              <w:numPr>
                <w:ilvl w:val="0"/>
                <w:numId w:val="20"/>
              </w:numPr>
              <w:ind w:left="342"/>
              <w:rPr>
                <w:rFonts w:ascii="Arial" w:hAnsi="Arial" w:cs="Arial"/>
                <w:bCs/>
                <w:sz w:val="20"/>
              </w:rPr>
            </w:pPr>
            <w:r w:rsidRPr="00133A72">
              <w:rPr>
                <w:rFonts w:ascii="Arial" w:hAnsi="Arial" w:cs="Arial"/>
                <w:bCs/>
                <w:sz w:val="20"/>
                <w:szCs w:val="20"/>
              </w:rPr>
              <w:t>Percentage increase in registrations at Summer Reading Programs</w:t>
            </w:r>
          </w:p>
        </w:tc>
        <w:tc>
          <w:tcPr>
            <w:tcW w:w="720" w:type="dxa"/>
            <w:shd w:val="clear" w:color="auto" w:fill="D9D9D9" w:themeFill="background1" w:themeFillShade="D9"/>
            <w:vAlign w:val="center"/>
          </w:tcPr>
          <w:p w14:paraId="35F0FCA5" w14:textId="77777777" w:rsidR="001544A4" w:rsidRPr="00133A72" w:rsidRDefault="001544A4" w:rsidP="001544A4">
            <w:pPr>
              <w:jc w:val="center"/>
              <w:rPr>
                <w:rFonts w:ascii="Arial" w:hAnsi="Arial" w:cs="Arial"/>
                <w:sz w:val="20"/>
              </w:rPr>
            </w:pPr>
            <w:r w:rsidRPr="00133A72">
              <w:rPr>
                <w:rFonts w:ascii="Arial" w:hAnsi="Arial" w:cs="Arial"/>
                <w:sz w:val="20"/>
              </w:rPr>
              <w:t>actual</w:t>
            </w:r>
          </w:p>
        </w:tc>
        <w:tc>
          <w:tcPr>
            <w:tcW w:w="1377" w:type="dxa"/>
            <w:shd w:val="clear" w:color="auto" w:fill="D9D9D9" w:themeFill="background1" w:themeFillShade="D9"/>
            <w:vAlign w:val="center"/>
          </w:tcPr>
          <w:p w14:paraId="79191969" w14:textId="26CA04DA" w:rsidR="001544A4" w:rsidRPr="00133A72" w:rsidRDefault="001544A4" w:rsidP="001544A4">
            <w:pPr>
              <w:jc w:val="center"/>
              <w:rPr>
                <w:rFonts w:ascii="Arial" w:hAnsi="Arial" w:cs="Arial"/>
                <w:sz w:val="20"/>
              </w:rPr>
            </w:pPr>
            <w:r>
              <w:rPr>
                <w:rFonts w:ascii="Arial" w:hAnsi="Arial" w:cs="Arial"/>
                <w:sz w:val="20"/>
              </w:rPr>
              <w:t>41.8%</w:t>
            </w:r>
            <w:r>
              <w:rPr>
                <w:rFonts w:ascii="Arial" w:hAnsi="Arial" w:cs="Arial"/>
                <w:sz w:val="20"/>
              </w:rPr>
              <w:br/>
              <w:t>(69,725)</w:t>
            </w:r>
          </w:p>
        </w:tc>
        <w:tc>
          <w:tcPr>
            <w:tcW w:w="1260" w:type="dxa"/>
            <w:shd w:val="clear" w:color="auto" w:fill="D9D9D9" w:themeFill="background1" w:themeFillShade="D9"/>
            <w:vAlign w:val="center"/>
          </w:tcPr>
          <w:p w14:paraId="52F0B852" w14:textId="2F28EE40" w:rsidR="001544A4" w:rsidRPr="00133A72" w:rsidRDefault="001544A4" w:rsidP="001544A4">
            <w:pPr>
              <w:jc w:val="center"/>
              <w:rPr>
                <w:rFonts w:ascii="Arial" w:hAnsi="Arial" w:cs="Arial"/>
                <w:sz w:val="20"/>
              </w:rPr>
            </w:pPr>
            <w:r>
              <w:rPr>
                <w:rFonts w:ascii="Arial" w:hAnsi="Arial" w:cs="Arial"/>
                <w:sz w:val="20"/>
              </w:rPr>
              <w:t>16.5%</w:t>
            </w:r>
            <w:r>
              <w:rPr>
                <w:rFonts w:ascii="Arial" w:hAnsi="Arial" w:cs="Arial"/>
                <w:sz w:val="20"/>
              </w:rPr>
              <w:br/>
              <w:t>(81,232)</w:t>
            </w:r>
          </w:p>
        </w:tc>
        <w:tc>
          <w:tcPr>
            <w:tcW w:w="1323" w:type="dxa"/>
            <w:shd w:val="clear" w:color="auto" w:fill="D9D9D9" w:themeFill="background1" w:themeFillShade="D9"/>
            <w:vAlign w:val="center"/>
          </w:tcPr>
          <w:p w14:paraId="77DC0045" w14:textId="5048C991" w:rsidR="001544A4" w:rsidRPr="00133A72" w:rsidRDefault="001544A4" w:rsidP="001544A4">
            <w:pPr>
              <w:jc w:val="center"/>
              <w:rPr>
                <w:rFonts w:ascii="Arial" w:hAnsi="Arial" w:cs="Arial"/>
                <w:sz w:val="20"/>
              </w:rPr>
            </w:pPr>
            <w:r>
              <w:rPr>
                <w:rFonts w:ascii="Arial" w:hAnsi="Arial" w:cs="Arial"/>
                <w:sz w:val="20"/>
              </w:rPr>
              <w:t>1.5%</w:t>
            </w:r>
            <w:r>
              <w:rPr>
                <w:rFonts w:ascii="Arial" w:hAnsi="Arial" w:cs="Arial"/>
                <w:sz w:val="20"/>
              </w:rPr>
              <w:br/>
              <w:t>(82,422)</w:t>
            </w:r>
          </w:p>
        </w:tc>
        <w:tc>
          <w:tcPr>
            <w:tcW w:w="1350" w:type="dxa"/>
            <w:shd w:val="clear" w:color="auto" w:fill="D9D9D9" w:themeFill="background1" w:themeFillShade="D9"/>
            <w:vAlign w:val="center"/>
          </w:tcPr>
          <w:p w14:paraId="4E035924" w14:textId="2E7A7A04" w:rsidR="001544A4" w:rsidRPr="00133A72" w:rsidRDefault="001544A4" w:rsidP="001544A4">
            <w:pPr>
              <w:jc w:val="center"/>
              <w:rPr>
                <w:rFonts w:ascii="Arial" w:hAnsi="Arial" w:cs="Arial"/>
                <w:sz w:val="20"/>
              </w:rPr>
            </w:pPr>
          </w:p>
        </w:tc>
        <w:tc>
          <w:tcPr>
            <w:tcW w:w="1260" w:type="dxa"/>
            <w:shd w:val="clear" w:color="auto" w:fill="D9D9D9" w:themeFill="background1" w:themeFillShade="D9"/>
            <w:vAlign w:val="center"/>
          </w:tcPr>
          <w:p w14:paraId="717FA081" w14:textId="77777777" w:rsidR="001544A4" w:rsidRPr="00133A72" w:rsidRDefault="001544A4" w:rsidP="001544A4">
            <w:pPr>
              <w:jc w:val="center"/>
              <w:rPr>
                <w:rFonts w:ascii="Arial" w:hAnsi="Arial" w:cs="Arial"/>
                <w:sz w:val="20"/>
              </w:rPr>
            </w:pPr>
          </w:p>
        </w:tc>
      </w:tr>
      <w:tr w:rsidR="001544A4" w:rsidRPr="00133A72" w14:paraId="1E91AF4F" w14:textId="77777777" w:rsidTr="1A7F43EA">
        <w:trPr>
          <w:gridAfter w:val="1"/>
          <w:wAfter w:w="225" w:type="dxa"/>
          <w:trHeight w:val="288"/>
        </w:trPr>
        <w:tc>
          <w:tcPr>
            <w:tcW w:w="2740" w:type="dxa"/>
            <w:vMerge/>
          </w:tcPr>
          <w:p w14:paraId="74BEAD2A" w14:textId="77777777" w:rsidR="001544A4" w:rsidRPr="00133A72" w:rsidRDefault="001544A4" w:rsidP="001544A4">
            <w:pPr>
              <w:pStyle w:val="ListParagraph"/>
              <w:numPr>
                <w:ilvl w:val="0"/>
                <w:numId w:val="20"/>
              </w:numPr>
              <w:tabs>
                <w:tab w:val="left" w:pos="2985"/>
              </w:tabs>
              <w:ind w:left="342"/>
              <w:rPr>
                <w:rFonts w:ascii="Arial" w:hAnsi="Arial" w:cs="Arial"/>
                <w:sz w:val="20"/>
              </w:rPr>
            </w:pPr>
          </w:p>
        </w:tc>
        <w:tc>
          <w:tcPr>
            <w:tcW w:w="720" w:type="dxa"/>
            <w:shd w:val="clear" w:color="auto" w:fill="FFFFFF" w:themeFill="background1"/>
            <w:vAlign w:val="center"/>
          </w:tcPr>
          <w:p w14:paraId="520618FF" w14:textId="77777777" w:rsidR="001544A4" w:rsidRPr="00133A72" w:rsidRDefault="001544A4" w:rsidP="001544A4">
            <w:pPr>
              <w:jc w:val="center"/>
              <w:rPr>
                <w:rFonts w:ascii="Arial" w:hAnsi="Arial" w:cs="Arial"/>
                <w:sz w:val="20"/>
              </w:rPr>
            </w:pPr>
            <w:r w:rsidRPr="00133A72">
              <w:rPr>
                <w:rFonts w:ascii="Arial" w:hAnsi="Arial" w:cs="Arial"/>
                <w:i/>
                <w:sz w:val="16"/>
                <w:szCs w:val="16"/>
              </w:rPr>
              <w:t>target</w:t>
            </w:r>
          </w:p>
        </w:tc>
        <w:tc>
          <w:tcPr>
            <w:tcW w:w="1377" w:type="dxa"/>
            <w:shd w:val="clear" w:color="auto" w:fill="FFFFFF" w:themeFill="background1"/>
            <w:vAlign w:val="center"/>
          </w:tcPr>
          <w:p w14:paraId="4EF9C87A" w14:textId="56780003" w:rsidR="001544A4" w:rsidRPr="00133A72" w:rsidRDefault="001544A4" w:rsidP="001544A4">
            <w:pPr>
              <w:jc w:val="center"/>
              <w:rPr>
                <w:rFonts w:ascii="Arial" w:hAnsi="Arial" w:cs="Arial"/>
                <w:i/>
                <w:sz w:val="16"/>
                <w:szCs w:val="16"/>
              </w:rPr>
            </w:pPr>
            <w:r>
              <w:rPr>
                <w:rFonts w:ascii="Arial" w:hAnsi="Arial" w:cs="Arial"/>
                <w:i/>
                <w:sz w:val="16"/>
                <w:szCs w:val="16"/>
              </w:rPr>
              <w:t>3% annual increase</w:t>
            </w:r>
          </w:p>
        </w:tc>
        <w:tc>
          <w:tcPr>
            <w:tcW w:w="1260" w:type="dxa"/>
            <w:shd w:val="clear" w:color="auto" w:fill="FFFFFF" w:themeFill="background1"/>
            <w:vAlign w:val="center"/>
          </w:tcPr>
          <w:p w14:paraId="35FB06AA" w14:textId="54A54729" w:rsidR="001544A4" w:rsidRPr="00133A72" w:rsidRDefault="001544A4" w:rsidP="001544A4">
            <w:pPr>
              <w:jc w:val="center"/>
              <w:rPr>
                <w:rFonts w:ascii="Arial" w:hAnsi="Arial" w:cs="Arial"/>
                <w:i/>
                <w:sz w:val="16"/>
                <w:szCs w:val="16"/>
              </w:rPr>
            </w:pPr>
            <w:r>
              <w:rPr>
                <w:rFonts w:ascii="Arial" w:hAnsi="Arial" w:cs="Arial"/>
                <w:i/>
                <w:sz w:val="16"/>
                <w:szCs w:val="16"/>
              </w:rPr>
              <w:t>3% annual increase</w:t>
            </w:r>
          </w:p>
        </w:tc>
        <w:tc>
          <w:tcPr>
            <w:tcW w:w="1323" w:type="dxa"/>
            <w:shd w:val="clear" w:color="auto" w:fill="FFFFFF" w:themeFill="background1"/>
            <w:vAlign w:val="center"/>
          </w:tcPr>
          <w:p w14:paraId="562A104C" w14:textId="63A7C217" w:rsidR="001544A4" w:rsidRPr="00133A72" w:rsidRDefault="001544A4" w:rsidP="001544A4">
            <w:pPr>
              <w:jc w:val="center"/>
              <w:rPr>
                <w:rFonts w:ascii="Arial" w:hAnsi="Arial" w:cs="Arial"/>
                <w:i/>
                <w:sz w:val="16"/>
                <w:szCs w:val="16"/>
              </w:rPr>
            </w:pPr>
            <w:r>
              <w:rPr>
                <w:rFonts w:ascii="Arial" w:hAnsi="Arial" w:cs="Arial"/>
                <w:i/>
                <w:sz w:val="16"/>
                <w:szCs w:val="16"/>
              </w:rPr>
              <w:t>3% annual increase</w:t>
            </w:r>
          </w:p>
        </w:tc>
        <w:tc>
          <w:tcPr>
            <w:tcW w:w="1350" w:type="dxa"/>
            <w:shd w:val="clear" w:color="auto" w:fill="FFFFFF" w:themeFill="background1"/>
            <w:vAlign w:val="center"/>
          </w:tcPr>
          <w:p w14:paraId="26C02607" w14:textId="086C3DC3" w:rsidR="001544A4" w:rsidRPr="00133A72" w:rsidRDefault="001544A4" w:rsidP="001544A4">
            <w:pPr>
              <w:jc w:val="center"/>
              <w:rPr>
                <w:rFonts w:ascii="Arial" w:hAnsi="Arial" w:cs="Arial"/>
                <w:i/>
                <w:sz w:val="16"/>
                <w:szCs w:val="16"/>
              </w:rPr>
            </w:pPr>
          </w:p>
        </w:tc>
        <w:tc>
          <w:tcPr>
            <w:tcW w:w="1260" w:type="dxa"/>
            <w:shd w:val="clear" w:color="auto" w:fill="FFFFFF" w:themeFill="background1"/>
            <w:vAlign w:val="center"/>
          </w:tcPr>
          <w:p w14:paraId="347F9C08" w14:textId="44E62B97" w:rsidR="001544A4" w:rsidRPr="00133A72" w:rsidRDefault="001544A4" w:rsidP="001544A4">
            <w:pPr>
              <w:jc w:val="center"/>
              <w:rPr>
                <w:rFonts w:ascii="Arial" w:hAnsi="Arial" w:cs="Arial"/>
                <w:i/>
                <w:sz w:val="16"/>
                <w:szCs w:val="16"/>
              </w:rPr>
            </w:pPr>
          </w:p>
        </w:tc>
      </w:tr>
      <w:tr w:rsidR="001544A4" w:rsidRPr="00133A72" w14:paraId="3D9093F2" w14:textId="77777777" w:rsidTr="1A7F43EA">
        <w:trPr>
          <w:gridAfter w:val="1"/>
          <w:wAfter w:w="225" w:type="dxa"/>
          <w:trHeight w:val="323"/>
        </w:trPr>
        <w:tc>
          <w:tcPr>
            <w:tcW w:w="10030" w:type="dxa"/>
            <w:gridSpan w:val="7"/>
            <w:shd w:val="clear" w:color="auto" w:fill="DBE5F1" w:themeFill="accent1" w:themeFillTint="33"/>
            <w:vAlign w:val="center"/>
          </w:tcPr>
          <w:p w14:paraId="7FD42323" w14:textId="77777777" w:rsidR="001544A4" w:rsidRPr="00133A72" w:rsidRDefault="001544A4" w:rsidP="001544A4">
            <w:pPr>
              <w:jc w:val="center"/>
              <w:rPr>
                <w:rFonts w:ascii="Arial" w:hAnsi="Arial" w:cs="Arial"/>
                <w:b/>
                <w:sz w:val="20"/>
                <w:szCs w:val="20"/>
                <w:u w:val="single"/>
              </w:rPr>
            </w:pPr>
            <w:r w:rsidRPr="00133A72">
              <w:rPr>
                <w:rFonts w:ascii="Arial" w:hAnsi="Arial" w:cs="Arial"/>
                <w:b/>
                <w:sz w:val="20"/>
                <w:szCs w:val="20"/>
                <w:u w:val="single"/>
              </w:rPr>
              <w:t>Goal 3</w:t>
            </w:r>
          </w:p>
          <w:p w14:paraId="0854F03A" w14:textId="77777777" w:rsidR="001544A4" w:rsidRPr="00133A72" w:rsidRDefault="001544A4" w:rsidP="001544A4">
            <w:pPr>
              <w:tabs>
                <w:tab w:val="center" w:pos="4957"/>
              </w:tabs>
              <w:ind w:left="-18"/>
              <w:rPr>
                <w:rFonts w:ascii="Arial" w:hAnsi="Arial" w:cs="Arial"/>
                <w:b/>
                <w:sz w:val="20"/>
                <w:szCs w:val="20"/>
              </w:rPr>
            </w:pPr>
            <w:r w:rsidRPr="00133A72">
              <w:rPr>
                <w:rFonts w:ascii="Arial" w:hAnsi="Arial" w:cs="Arial"/>
                <w:sz w:val="20"/>
                <w:szCs w:val="20"/>
              </w:rPr>
              <w:t>Ensure equitable access to information and library services for Idahoans with disabilities, those in rural communities, English-language learners, people living in poverty, and other underserved populations.</w:t>
            </w:r>
          </w:p>
        </w:tc>
      </w:tr>
      <w:tr w:rsidR="001544A4" w:rsidRPr="00133A72" w14:paraId="417964FF" w14:textId="77777777" w:rsidTr="1A7F43EA">
        <w:trPr>
          <w:gridAfter w:val="1"/>
          <w:wAfter w:w="225" w:type="dxa"/>
          <w:trHeight w:val="827"/>
        </w:trPr>
        <w:tc>
          <w:tcPr>
            <w:tcW w:w="2740" w:type="dxa"/>
            <w:vMerge w:val="restart"/>
          </w:tcPr>
          <w:p w14:paraId="6E889190" w14:textId="77777777" w:rsidR="001544A4" w:rsidRPr="00133A72" w:rsidRDefault="001544A4" w:rsidP="001544A4">
            <w:pPr>
              <w:pStyle w:val="ListParagraph"/>
              <w:numPr>
                <w:ilvl w:val="0"/>
                <w:numId w:val="20"/>
              </w:numPr>
              <w:ind w:left="342"/>
              <w:rPr>
                <w:rFonts w:ascii="Arial" w:hAnsi="Arial" w:cs="Arial"/>
                <w:bCs/>
                <w:sz w:val="20"/>
              </w:rPr>
            </w:pPr>
            <w:r w:rsidRPr="00133A72">
              <w:rPr>
                <w:rFonts w:ascii="Arial" w:hAnsi="Arial" w:cs="Arial"/>
                <w:bCs/>
                <w:sz w:val="20"/>
                <w:szCs w:val="20"/>
              </w:rPr>
              <w:lastRenderedPageBreak/>
              <w:t>New measure: Percentage increase in the number of Idahoans registering for Talking Book Services.</w:t>
            </w:r>
          </w:p>
        </w:tc>
        <w:tc>
          <w:tcPr>
            <w:tcW w:w="720" w:type="dxa"/>
            <w:shd w:val="clear" w:color="auto" w:fill="D9D9D9" w:themeFill="background1" w:themeFillShade="D9"/>
            <w:vAlign w:val="center"/>
          </w:tcPr>
          <w:p w14:paraId="08453BAD" w14:textId="77777777" w:rsidR="001544A4" w:rsidRPr="00133A72" w:rsidRDefault="001544A4" w:rsidP="001544A4">
            <w:pPr>
              <w:jc w:val="center"/>
              <w:rPr>
                <w:rFonts w:ascii="Arial" w:hAnsi="Arial" w:cs="Arial"/>
                <w:sz w:val="20"/>
              </w:rPr>
            </w:pPr>
            <w:r w:rsidRPr="00133A72">
              <w:rPr>
                <w:rFonts w:ascii="Arial" w:hAnsi="Arial" w:cs="Arial"/>
                <w:sz w:val="20"/>
              </w:rPr>
              <w:t>actual</w:t>
            </w:r>
          </w:p>
        </w:tc>
        <w:tc>
          <w:tcPr>
            <w:tcW w:w="1377" w:type="dxa"/>
            <w:shd w:val="clear" w:color="auto" w:fill="D9D9D9" w:themeFill="background1" w:themeFillShade="D9"/>
            <w:vAlign w:val="center"/>
          </w:tcPr>
          <w:p w14:paraId="630F00C9" w14:textId="5FAA54CE" w:rsidR="001544A4" w:rsidRPr="00133A72" w:rsidRDefault="001544A4" w:rsidP="001544A4">
            <w:pPr>
              <w:jc w:val="center"/>
              <w:rPr>
                <w:rFonts w:ascii="Arial" w:hAnsi="Arial" w:cs="Arial"/>
                <w:sz w:val="20"/>
              </w:rPr>
            </w:pPr>
            <w:r>
              <w:rPr>
                <w:rFonts w:ascii="Arial" w:hAnsi="Arial" w:cs="Arial"/>
                <w:sz w:val="20"/>
              </w:rPr>
              <w:t>17.5%</w:t>
            </w:r>
            <w:r>
              <w:rPr>
                <w:rFonts w:ascii="Arial" w:hAnsi="Arial" w:cs="Arial"/>
                <w:sz w:val="20"/>
              </w:rPr>
              <w:br/>
              <w:t>(417)</w:t>
            </w:r>
          </w:p>
        </w:tc>
        <w:tc>
          <w:tcPr>
            <w:tcW w:w="1260" w:type="dxa"/>
            <w:shd w:val="clear" w:color="auto" w:fill="D9D9D9" w:themeFill="background1" w:themeFillShade="D9"/>
            <w:vAlign w:val="center"/>
          </w:tcPr>
          <w:p w14:paraId="519E0DEA" w14:textId="248458C6" w:rsidR="001544A4" w:rsidRPr="00133A72" w:rsidRDefault="001544A4" w:rsidP="001544A4">
            <w:pPr>
              <w:jc w:val="center"/>
              <w:rPr>
                <w:rFonts w:ascii="Arial" w:hAnsi="Arial" w:cs="Arial"/>
                <w:sz w:val="20"/>
              </w:rPr>
            </w:pPr>
            <w:r>
              <w:rPr>
                <w:rFonts w:ascii="Arial" w:hAnsi="Arial" w:cs="Arial"/>
                <w:sz w:val="20"/>
              </w:rPr>
              <w:t>16.1%</w:t>
            </w:r>
            <w:r>
              <w:rPr>
                <w:rFonts w:ascii="Arial" w:hAnsi="Arial" w:cs="Arial"/>
                <w:sz w:val="20"/>
              </w:rPr>
              <w:br/>
              <w:t>(484)</w:t>
            </w:r>
          </w:p>
        </w:tc>
        <w:tc>
          <w:tcPr>
            <w:tcW w:w="1323" w:type="dxa"/>
            <w:shd w:val="clear" w:color="auto" w:fill="D9D9D9" w:themeFill="background1" w:themeFillShade="D9"/>
            <w:vAlign w:val="center"/>
          </w:tcPr>
          <w:p w14:paraId="37889D41" w14:textId="044E7A07" w:rsidR="001544A4" w:rsidRPr="00133A72" w:rsidRDefault="001544A4" w:rsidP="001544A4">
            <w:pPr>
              <w:jc w:val="center"/>
              <w:rPr>
                <w:rFonts w:ascii="Arial" w:hAnsi="Arial" w:cs="Arial"/>
                <w:sz w:val="20"/>
              </w:rPr>
            </w:pPr>
            <w:r>
              <w:rPr>
                <w:rFonts w:ascii="Arial" w:hAnsi="Arial" w:cs="Arial"/>
                <w:sz w:val="20"/>
              </w:rPr>
              <w:t>-6.0%</w:t>
            </w:r>
            <w:r>
              <w:rPr>
                <w:rFonts w:ascii="Arial" w:hAnsi="Arial" w:cs="Arial"/>
                <w:sz w:val="20"/>
              </w:rPr>
              <w:br/>
              <w:t>(455)</w:t>
            </w:r>
          </w:p>
        </w:tc>
        <w:tc>
          <w:tcPr>
            <w:tcW w:w="1350" w:type="dxa"/>
            <w:shd w:val="clear" w:color="auto" w:fill="D9D9D9" w:themeFill="background1" w:themeFillShade="D9"/>
            <w:vAlign w:val="center"/>
          </w:tcPr>
          <w:p w14:paraId="0F0598E3" w14:textId="3C18AE57" w:rsidR="001544A4" w:rsidRPr="00133A72" w:rsidRDefault="001544A4" w:rsidP="001544A4">
            <w:pPr>
              <w:jc w:val="center"/>
              <w:rPr>
                <w:rFonts w:ascii="Arial" w:hAnsi="Arial" w:cs="Arial"/>
                <w:sz w:val="20"/>
              </w:rPr>
            </w:pPr>
          </w:p>
        </w:tc>
        <w:tc>
          <w:tcPr>
            <w:tcW w:w="1260" w:type="dxa"/>
            <w:shd w:val="clear" w:color="auto" w:fill="D9D9D9" w:themeFill="background1" w:themeFillShade="D9"/>
            <w:vAlign w:val="center"/>
          </w:tcPr>
          <w:p w14:paraId="64C700DF" w14:textId="77777777" w:rsidR="001544A4" w:rsidRPr="00133A72" w:rsidRDefault="001544A4" w:rsidP="001544A4">
            <w:pPr>
              <w:jc w:val="center"/>
              <w:rPr>
                <w:rFonts w:ascii="Arial" w:hAnsi="Arial" w:cs="Arial"/>
                <w:sz w:val="20"/>
              </w:rPr>
            </w:pPr>
          </w:p>
        </w:tc>
      </w:tr>
      <w:tr w:rsidR="001544A4" w:rsidRPr="00FE0C4E" w14:paraId="052499B1" w14:textId="77777777" w:rsidTr="1A7F43EA">
        <w:trPr>
          <w:gridAfter w:val="1"/>
          <w:wAfter w:w="225" w:type="dxa"/>
          <w:trHeight w:val="288"/>
        </w:trPr>
        <w:tc>
          <w:tcPr>
            <w:tcW w:w="2740" w:type="dxa"/>
            <w:vMerge/>
          </w:tcPr>
          <w:p w14:paraId="69245962" w14:textId="77777777" w:rsidR="001544A4" w:rsidRPr="00133A72" w:rsidRDefault="001544A4" w:rsidP="001544A4">
            <w:pPr>
              <w:pStyle w:val="ListParagraph"/>
              <w:numPr>
                <w:ilvl w:val="0"/>
                <w:numId w:val="20"/>
              </w:numPr>
              <w:tabs>
                <w:tab w:val="left" w:pos="2985"/>
              </w:tabs>
              <w:ind w:left="342"/>
              <w:rPr>
                <w:rFonts w:ascii="Arial" w:hAnsi="Arial" w:cs="Arial"/>
                <w:sz w:val="20"/>
              </w:rPr>
            </w:pPr>
          </w:p>
        </w:tc>
        <w:tc>
          <w:tcPr>
            <w:tcW w:w="720" w:type="dxa"/>
            <w:shd w:val="clear" w:color="auto" w:fill="FFFFFF" w:themeFill="background1"/>
            <w:vAlign w:val="center"/>
          </w:tcPr>
          <w:p w14:paraId="32860122" w14:textId="77777777" w:rsidR="001544A4" w:rsidRPr="00133A72" w:rsidRDefault="001544A4" w:rsidP="001544A4">
            <w:pPr>
              <w:jc w:val="center"/>
              <w:rPr>
                <w:rFonts w:ascii="Arial" w:hAnsi="Arial" w:cs="Arial"/>
                <w:sz w:val="20"/>
              </w:rPr>
            </w:pPr>
            <w:r w:rsidRPr="00133A72">
              <w:rPr>
                <w:rFonts w:ascii="Arial" w:hAnsi="Arial" w:cs="Arial"/>
                <w:i/>
                <w:sz w:val="16"/>
                <w:szCs w:val="16"/>
              </w:rPr>
              <w:t>target</w:t>
            </w:r>
          </w:p>
        </w:tc>
        <w:tc>
          <w:tcPr>
            <w:tcW w:w="1377" w:type="dxa"/>
            <w:shd w:val="clear" w:color="auto" w:fill="FFFFFF" w:themeFill="background1"/>
            <w:vAlign w:val="center"/>
          </w:tcPr>
          <w:p w14:paraId="59E64AD8" w14:textId="4F8A0F04" w:rsidR="001544A4" w:rsidRPr="00133A72" w:rsidRDefault="001544A4" w:rsidP="001544A4">
            <w:pPr>
              <w:jc w:val="center"/>
              <w:rPr>
                <w:rFonts w:ascii="Arial" w:hAnsi="Arial" w:cs="Arial"/>
                <w:i/>
                <w:sz w:val="16"/>
                <w:szCs w:val="16"/>
              </w:rPr>
            </w:pPr>
            <w:r>
              <w:rPr>
                <w:rFonts w:ascii="Arial" w:hAnsi="Arial" w:cs="Arial"/>
                <w:i/>
                <w:sz w:val="16"/>
                <w:szCs w:val="16"/>
              </w:rPr>
              <w:t>2% annual increase</w:t>
            </w:r>
          </w:p>
        </w:tc>
        <w:tc>
          <w:tcPr>
            <w:tcW w:w="1260" w:type="dxa"/>
            <w:shd w:val="clear" w:color="auto" w:fill="FFFFFF" w:themeFill="background1"/>
            <w:vAlign w:val="center"/>
          </w:tcPr>
          <w:p w14:paraId="72D223F9" w14:textId="7E6EEE4E" w:rsidR="001544A4" w:rsidRPr="00133A72" w:rsidRDefault="001544A4" w:rsidP="001544A4">
            <w:pPr>
              <w:jc w:val="center"/>
              <w:rPr>
                <w:rFonts w:ascii="Arial" w:hAnsi="Arial" w:cs="Arial"/>
                <w:i/>
                <w:sz w:val="16"/>
                <w:szCs w:val="16"/>
              </w:rPr>
            </w:pPr>
            <w:r>
              <w:rPr>
                <w:rFonts w:ascii="Arial" w:hAnsi="Arial" w:cs="Arial"/>
                <w:i/>
                <w:sz w:val="16"/>
                <w:szCs w:val="16"/>
              </w:rPr>
              <w:t>2% annual increase</w:t>
            </w:r>
          </w:p>
        </w:tc>
        <w:tc>
          <w:tcPr>
            <w:tcW w:w="1323" w:type="dxa"/>
            <w:shd w:val="clear" w:color="auto" w:fill="FFFFFF" w:themeFill="background1"/>
            <w:vAlign w:val="center"/>
          </w:tcPr>
          <w:p w14:paraId="02BAE9B1" w14:textId="00B92F16" w:rsidR="001544A4" w:rsidRPr="00133A72" w:rsidRDefault="001544A4" w:rsidP="001544A4">
            <w:pPr>
              <w:jc w:val="center"/>
              <w:rPr>
                <w:rFonts w:ascii="Arial" w:hAnsi="Arial" w:cs="Arial"/>
                <w:i/>
                <w:sz w:val="16"/>
                <w:szCs w:val="16"/>
              </w:rPr>
            </w:pPr>
            <w:r>
              <w:rPr>
                <w:rFonts w:ascii="Arial" w:hAnsi="Arial" w:cs="Arial"/>
                <w:i/>
                <w:sz w:val="16"/>
                <w:szCs w:val="16"/>
              </w:rPr>
              <w:t>2% annual increase</w:t>
            </w:r>
          </w:p>
        </w:tc>
        <w:tc>
          <w:tcPr>
            <w:tcW w:w="1350" w:type="dxa"/>
            <w:shd w:val="clear" w:color="auto" w:fill="FFFFFF" w:themeFill="background1"/>
            <w:vAlign w:val="center"/>
          </w:tcPr>
          <w:p w14:paraId="57A3E3DF" w14:textId="0CE2F048" w:rsidR="001544A4" w:rsidRPr="00133A72" w:rsidRDefault="001544A4" w:rsidP="001544A4">
            <w:pPr>
              <w:jc w:val="center"/>
              <w:rPr>
                <w:rFonts w:ascii="Arial" w:hAnsi="Arial" w:cs="Arial"/>
                <w:i/>
                <w:sz w:val="16"/>
                <w:szCs w:val="16"/>
              </w:rPr>
            </w:pPr>
          </w:p>
        </w:tc>
        <w:tc>
          <w:tcPr>
            <w:tcW w:w="1260" w:type="dxa"/>
            <w:shd w:val="clear" w:color="auto" w:fill="FFFFFF" w:themeFill="background1"/>
            <w:vAlign w:val="center"/>
          </w:tcPr>
          <w:p w14:paraId="4569C12C" w14:textId="6968DD14" w:rsidR="001544A4" w:rsidRPr="00FE0C4E" w:rsidRDefault="001544A4" w:rsidP="001544A4">
            <w:pPr>
              <w:jc w:val="center"/>
              <w:rPr>
                <w:rFonts w:ascii="Arial" w:hAnsi="Arial" w:cs="Arial"/>
                <w:i/>
                <w:sz w:val="16"/>
                <w:szCs w:val="16"/>
              </w:rPr>
            </w:pPr>
          </w:p>
        </w:tc>
      </w:tr>
    </w:tbl>
    <w:p w14:paraId="1DD21838" w14:textId="77777777" w:rsidR="000B6C9F" w:rsidRDefault="000B6C9F" w:rsidP="0083655F">
      <w:pPr>
        <w:rPr>
          <w:rFonts w:ascii="Arial" w:hAnsi="Arial" w:cs="Arial"/>
          <w:b/>
          <w:bCs/>
        </w:rPr>
      </w:pPr>
    </w:p>
    <w:p w14:paraId="10E16FB9" w14:textId="52C9ABD6" w:rsidR="004D3FD3" w:rsidRPr="0083655F" w:rsidRDefault="00BE28A8" w:rsidP="0083655F">
      <w:r w:rsidRPr="00BE41B3">
        <w:rPr>
          <w:rFonts w:ascii="Arial" w:hAnsi="Arial" w:cs="Arial"/>
          <w:b/>
          <w:bCs/>
        </w:rPr>
        <w:t>Performance Measure Explanatory Note</w:t>
      </w:r>
      <w:r>
        <w:rPr>
          <w:rFonts w:ascii="Arial" w:hAnsi="Arial" w:cs="Arial"/>
          <w:b/>
          <w:bCs/>
        </w:rPr>
        <w:t>s</w:t>
      </w:r>
      <w:r w:rsidR="007D4DB5">
        <w:rPr>
          <w:rFonts w:ascii="Arial" w:hAnsi="Arial" w:cs="Arial"/>
          <w:b/>
          <w:bCs/>
        </w:rPr>
        <w:br/>
      </w:r>
    </w:p>
    <w:p w14:paraId="385D29B0" w14:textId="1B438145" w:rsidR="005916A4" w:rsidRPr="00646FF4" w:rsidRDefault="00B523DF" w:rsidP="00646FF4">
      <w:pPr>
        <w:rPr>
          <w:rFonts w:ascii="Arial" w:hAnsi="Arial" w:cs="Arial"/>
          <w:bCs/>
          <w:iCs/>
          <w:sz w:val="20"/>
          <w:szCs w:val="20"/>
          <w:highlight w:val="yellow"/>
        </w:rPr>
      </w:pPr>
      <w:r w:rsidRPr="00B523DF">
        <w:rPr>
          <w:rFonts w:ascii="Arial" w:hAnsi="Arial" w:cs="Arial"/>
          <w:bCs/>
          <w:iCs/>
          <w:sz w:val="20"/>
          <w:szCs w:val="20"/>
        </w:rPr>
        <w:t xml:space="preserve">Percentage of participants who indicate they have made changes in their library procedures or services </w:t>
      </w:r>
      <w:proofErr w:type="gramStart"/>
      <w:r w:rsidRPr="00B523DF">
        <w:rPr>
          <w:rFonts w:ascii="Arial" w:hAnsi="Arial" w:cs="Arial"/>
          <w:bCs/>
          <w:iCs/>
          <w:sz w:val="20"/>
          <w:szCs w:val="20"/>
        </w:rPr>
        <w:t>as a result of</w:t>
      </w:r>
      <w:proofErr w:type="gramEnd"/>
      <w:r w:rsidRPr="00B523DF">
        <w:rPr>
          <w:rFonts w:ascii="Arial" w:hAnsi="Arial" w:cs="Arial"/>
          <w:bCs/>
          <w:iCs/>
          <w:sz w:val="20"/>
          <w:szCs w:val="20"/>
        </w:rPr>
        <w:t xml:space="preserve"> training or continuing education activities</w:t>
      </w:r>
      <w:r w:rsidR="007111D3">
        <w:rPr>
          <w:rFonts w:ascii="Arial" w:hAnsi="Arial" w:cs="Arial"/>
          <w:bCs/>
          <w:iCs/>
          <w:sz w:val="20"/>
          <w:szCs w:val="20"/>
        </w:rPr>
        <w:t xml:space="preserve">: Increased </w:t>
      </w:r>
      <w:r w:rsidR="00493E12">
        <w:rPr>
          <w:rFonts w:ascii="Arial" w:hAnsi="Arial" w:cs="Arial"/>
          <w:bCs/>
          <w:iCs/>
          <w:sz w:val="20"/>
          <w:szCs w:val="20"/>
        </w:rPr>
        <w:t xml:space="preserve">proportional </w:t>
      </w:r>
      <w:r w:rsidR="007111D3">
        <w:rPr>
          <w:rFonts w:ascii="Arial" w:hAnsi="Arial" w:cs="Arial"/>
          <w:bCs/>
          <w:iCs/>
          <w:sz w:val="20"/>
          <w:szCs w:val="20"/>
        </w:rPr>
        <w:t>attendance</w:t>
      </w:r>
      <w:r w:rsidR="003F4D1A">
        <w:rPr>
          <w:rFonts w:ascii="Arial" w:hAnsi="Arial" w:cs="Arial"/>
          <w:bCs/>
          <w:iCs/>
          <w:sz w:val="20"/>
          <w:szCs w:val="20"/>
        </w:rPr>
        <w:t xml:space="preserve"> at </w:t>
      </w:r>
      <w:proofErr w:type="spellStart"/>
      <w:r w:rsidR="003F4D1A">
        <w:rPr>
          <w:rFonts w:ascii="Arial" w:hAnsi="Arial" w:cs="Arial"/>
          <w:bCs/>
          <w:iCs/>
          <w:sz w:val="20"/>
          <w:szCs w:val="20"/>
        </w:rPr>
        <w:t>ICfL</w:t>
      </w:r>
      <w:proofErr w:type="spellEnd"/>
      <w:r w:rsidR="003F4D1A">
        <w:rPr>
          <w:rFonts w:ascii="Arial" w:hAnsi="Arial" w:cs="Arial"/>
          <w:bCs/>
          <w:iCs/>
          <w:sz w:val="20"/>
          <w:szCs w:val="20"/>
        </w:rPr>
        <w:t xml:space="preserve"> training </w:t>
      </w:r>
      <w:r w:rsidR="00592A07">
        <w:rPr>
          <w:rFonts w:ascii="Arial" w:hAnsi="Arial" w:cs="Arial"/>
          <w:bCs/>
          <w:iCs/>
          <w:sz w:val="20"/>
          <w:szCs w:val="20"/>
        </w:rPr>
        <w:t>and continuing education activities by library staff without decision-making authority</w:t>
      </w:r>
      <w:r w:rsidR="00493E12">
        <w:rPr>
          <w:rFonts w:ascii="Arial" w:hAnsi="Arial" w:cs="Arial"/>
          <w:bCs/>
          <w:iCs/>
          <w:sz w:val="20"/>
          <w:szCs w:val="20"/>
        </w:rPr>
        <w:t xml:space="preserve"> or responsibili</w:t>
      </w:r>
      <w:r w:rsidR="00B71808">
        <w:rPr>
          <w:rFonts w:ascii="Arial" w:hAnsi="Arial" w:cs="Arial"/>
          <w:bCs/>
          <w:iCs/>
          <w:sz w:val="20"/>
          <w:szCs w:val="20"/>
        </w:rPr>
        <w:t>ty</w:t>
      </w:r>
      <w:r w:rsidR="00592A07">
        <w:rPr>
          <w:rFonts w:ascii="Arial" w:hAnsi="Arial" w:cs="Arial"/>
          <w:bCs/>
          <w:iCs/>
          <w:sz w:val="20"/>
          <w:szCs w:val="20"/>
        </w:rPr>
        <w:t>.</w:t>
      </w:r>
    </w:p>
    <w:p w14:paraId="5B70EEDB" w14:textId="0B314AC1" w:rsidR="00571DBC" w:rsidRDefault="00571DBC" w:rsidP="00F2641E">
      <w:pPr>
        <w:pStyle w:val="ListParagraph"/>
        <w:ind w:left="0"/>
        <w:jc w:val="both"/>
        <w:rPr>
          <w:rFonts w:ascii="Arial" w:hAnsi="Arial" w:cs="Arial"/>
          <w:bCs/>
          <w:sz w:val="20"/>
          <w:szCs w:val="20"/>
        </w:rPr>
      </w:pPr>
    </w:p>
    <w:p w14:paraId="70BFA359" w14:textId="77777777" w:rsidR="00E4285E" w:rsidRPr="0007543C" w:rsidRDefault="00E4285E" w:rsidP="0007543C">
      <w:pPr>
        <w:pStyle w:val="ListParagraph"/>
        <w:ind w:left="0"/>
        <w:jc w:val="both"/>
        <w:rPr>
          <w:rFonts w:ascii="Arial" w:hAnsi="Arial" w:cs="Arial"/>
          <w:bCs/>
          <w:szCs w:val="18"/>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1D59D0" w:rsidRPr="00254827" w14:paraId="7C454827" w14:textId="77777777" w:rsidTr="00577377">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76CC85FC" w14:textId="782256B1" w:rsidR="006B1C24" w:rsidRDefault="001D59D0" w:rsidP="0007543C">
            <w:pPr>
              <w:jc w:val="center"/>
              <w:rPr>
                <w:rFonts w:ascii="Arial" w:hAnsi="Arial" w:cs="Arial"/>
                <w:b/>
                <w:bCs/>
                <w:sz w:val="20"/>
              </w:rPr>
            </w:pPr>
            <w:r>
              <w:rPr>
                <w:rFonts w:ascii="Arial" w:hAnsi="Arial" w:cs="Arial"/>
                <w:b/>
                <w:bCs/>
                <w:sz w:val="20"/>
              </w:rPr>
              <w:t>For More Information Contact</w:t>
            </w:r>
          </w:p>
          <w:p w14:paraId="5864AB53" w14:textId="77777777" w:rsidR="007A09A4" w:rsidRDefault="007A09A4" w:rsidP="0007543C">
            <w:pPr>
              <w:jc w:val="center"/>
              <w:rPr>
                <w:rFonts w:ascii="Arial" w:hAnsi="Arial" w:cs="Arial"/>
                <w:noProof/>
                <w:sz w:val="20"/>
              </w:rPr>
            </w:pPr>
          </w:p>
          <w:p w14:paraId="1F3D11D5" w14:textId="255B09AD" w:rsidR="001D59D0" w:rsidRDefault="002D3624" w:rsidP="0007543C">
            <w:pPr>
              <w:ind w:left="252"/>
              <w:rPr>
                <w:rFonts w:ascii="Arial" w:hAnsi="Arial" w:cs="Arial"/>
                <w:sz w:val="20"/>
              </w:rPr>
            </w:pPr>
            <w:r>
              <w:rPr>
                <w:rFonts w:ascii="Arial" w:hAnsi="Arial" w:cs="Arial"/>
                <w:noProof/>
                <w:sz w:val="20"/>
              </w:rPr>
              <w:t>Stephanie Bailey-White</w:t>
            </w:r>
            <w:r w:rsidR="006B1C24">
              <w:rPr>
                <w:rFonts w:ascii="Arial" w:hAnsi="Arial" w:cs="Arial"/>
                <w:noProof/>
                <w:sz w:val="20"/>
              </w:rPr>
              <w:t>, State Librarian</w:t>
            </w:r>
          </w:p>
          <w:p w14:paraId="04E1D78C" w14:textId="77777777" w:rsidR="001D59D0" w:rsidRDefault="001D59D0" w:rsidP="0007543C">
            <w:pPr>
              <w:ind w:left="252"/>
              <w:rPr>
                <w:rFonts w:ascii="Arial" w:hAnsi="Arial" w:cs="Arial"/>
                <w:sz w:val="20"/>
              </w:rPr>
            </w:pPr>
            <w:r>
              <w:rPr>
                <w:rFonts w:ascii="Arial" w:hAnsi="Arial" w:cs="Arial"/>
                <w:noProof/>
                <w:sz w:val="20"/>
              </w:rPr>
              <w:t>Librar</w:t>
            </w:r>
            <w:r w:rsidR="00476C80">
              <w:rPr>
                <w:rFonts w:ascii="Arial" w:hAnsi="Arial" w:cs="Arial"/>
                <w:noProof/>
                <w:sz w:val="20"/>
              </w:rPr>
              <w:t>ies</w:t>
            </w:r>
            <w:r>
              <w:rPr>
                <w:rFonts w:ascii="Arial" w:hAnsi="Arial" w:cs="Arial"/>
                <w:noProof/>
                <w:sz w:val="20"/>
              </w:rPr>
              <w:t xml:space="preserve">, Idaho </w:t>
            </w:r>
            <w:r w:rsidR="00476C80">
              <w:rPr>
                <w:rFonts w:ascii="Arial" w:hAnsi="Arial" w:cs="Arial"/>
                <w:noProof/>
                <w:sz w:val="20"/>
              </w:rPr>
              <w:t>Commission for</w:t>
            </w:r>
          </w:p>
          <w:p w14:paraId="6716CE0E" w14:textId="77777777" w:rsidR="001D59D0" w:rsidRDefault="001D59D0" w:rsidP="0007543C">
            <w:pPr>
              <w:ind w:left="252"/>
              <w:rPr>
                <w:rFonts w:ascii="Arial" w:hAnsi="Arial" w:cs="Arial"/>
                <w:sz w:val="20"/>
              </w:rPr>
            </w:pPr>
            <w:r>
              <w:rPr>
                <w:rFonts w:ascii="Arial" w:hAnsi="Arial" w:cs="Arial"/>
                <w:noProof/>
                <w:sz w:val="20"/>
              </w:rPr>
              <w:t>325 W State St</w:t>
            </w:r>
          </w:p>
          <w:p w14:paraId="70EBD1C4" w14:textId="69DEE30B" w:rsidR="001D59D0" w:rsidRPr="007F7DEA" w:rsidRDefault="001D59D0" w:rsidP="0007543C">
            <w:pPr>
              <w:ind w:left="252"/>
              <w:rPr>
                <w:rFonts w:ascii="Arial" w:hAnsi="Arial" w:cs="Arial"/>
                <w:sz w:val="20"/>
                <w:lang w:val="fr-FR"/>
              </w:rPr>
            </w:pPr>
            <w:r w:rsidRPr="007F7DEA">
              <w:rPr>
                <w:rFonts w:ascii="Arial" w:hAnsi="Arial" w:cs="Arial"/>
                <w:noProof/>
                <w:sz w:val="20"/>
                <w:lang w:val="fr-FR"/>
              </w:rPr>
              <w:t>Boise</w:t>
            </w:r>
            <w:r w:rsidRPr="007F7DEA">
              <w:rPr>
                <w:rFonts w:ascii="Arial" w:hAnsi="Arial" w:cs="Arial"/>
                <w:sz w:val="20"/>
                <w:lang w:val="fr-FR"/>
              </w:rPr>
              <w:t xml:space="preserve">, </w:t>
            </w:r>
            <w:r w:rsidRPr="007F7DEA">
              <w:rPr>
                <w:rFonts w:ascii="Arial" w:hAnsi="Arial" w:cs="Arial"/>
                <w:noProof/>
                <w:sz w:val="20"/>
                <w:lang w:val="fr-FR"/>
              </w:rPr>
              <w:t>ID</w:t>
            </w:r>
            <w:r w:rsidRPr="007F7DEA">
              <w:rPr>
                <w:rFonts w:ascii="Arial" w:hAnsi="Arial" w:cs="Arial"/>
                <w:sz w:val="20"/>
                <w:lang w:val="fr-FR"/>
              </w:rPr>
              <w:t xml:space="preserve"> </w:t>
            </w:r>
            <w:r w:rsidRPr="007F7DEA">
              <w:rPr>
                <w:rFonts w:ascii="Arial" w:hAnsi="Arial" w:cs="Arial"/>
                <w:noProof/>
                <w:sz w:val="20"/>
                <w:lang w:val="fr-FR"/>
              </w:rPr>
              <w:t>83702</w:t>
            </w:r>
          </w:p>
          <w:p w14:paraId="21DB2E83" w14:textId="7062B9F3" w:rsidR="001D59D0" w:rsidRPr="007F7DEA" w:rsidRDefault="00125085" w:rsidP="0007543C">
            <w:pPr>
              <w:ind w:left="252"/>
              <w:rPr>
                <w:rFonts w:ascii="Arial" w:hAnsi="Arial" w:cs="Arial"/>
                <w:sz w:val="20"/>
                <w:szCs w:val="17"/>
                <w:lang w:val="fr-FR"/>
              </w:rPr>
            </w:pPr>
            <w:proofErr w:type="gramStart"/>
            <w:r>
              <w:rPr>
                <w:rFonts w:ascii="Arial" w:hAnsi="Arial" w:cs="Arial"/>
                <w:sz w:val="20"/>
                <w:lang w:val="fr-FR"/>
              </w:rPr>
              <w:t>Phone:</w:t>
            </w:r>
            <w:proofErr w:type="gramEnd"/>
            <w:r>
              <w:rPr>
                <w:rFonts w:ascii="Arial" w:hAnsi="Arial" w:cs="Arial"/>
                <w:sz w:val="20"/>
                <w:lang w:val="fr-FR"/>
              </w:rPr>
              <w:t xml:space="preserve"> </w:t>
            </w:r>
            <w:r w:rsidR="001D59D0" w:rsidRPr="007F7DEA">
              <w:rPr>
                <w:rFonts w:ascii="Arial" w:hAnsi="Arial" w:cs="Arial"/>
                <w:sz w:val="20"/>
                <w:lang w:val="fr-FR"/>
              </w:rPr>
              <w:t xml:space="preserve">(208) </w:t>
            </w:r>
            <w:r w:rsidR="002D3624">
              <w:rPr>
                <w:rFonts w:ascii="Arial" w:hAnsi="Arial" w:cs="Arial"/>
                <w:sz w:val="20"/>
                <w:lang w:val="fr-FR"/>
              </w:rPr>
              <w:t>639-4145</w:t>
            </w:r>
          </w:p>
          <w:p w14:paraId="7094170D" w14:textId="308EF37C" w:rsidR="007A09A4" w:rsidRPr="007F7DEA" w:rsidRDefault="00125085" w:rsidP="00B3181A">
            <w:pPr>
              <w:ind w:left="252"/>
              <w:rPr>
                <w:rFonts w:ascii="Arial" w:hAnsi="Arial" w:cs="Arial"/>
                <w:sz w:val="20"/>
                <w:lang w:val="fr-FR"/>
              </w:rPr>
            </w:pPr>
            <w:proofErr w:type="gramStart"/>
            <w:r>
              <w:rPr>
                <w:rFonts w:ascii="Arial" w:hAnsi="Arial" w:cs="Arial"/>
                <w:sz w:val="20"/>
                <w:szCs w:val="17"/>
                <w:lang w:val="fr-FR"/>
              </w:rPr>
              <w:t>E-mail:</w:t>
            </w:r>
            <w:proofErr w:type="gramEnd"/>
            <w:r w:rsidR="001D59D0" w:rsidRPr="007F7DEA">
              <w:rPr>
                <w:rFonts w:ascii="Arial" w:hAnsi="Arial" w:cs="Arial"/>
                <w:sz w:val="20"/>
                <w:szCs w:val="17"/>
                <w:lang w:val="fr-FR"/>
              </w:rPr>
              <w:t xml:space="preserve"> </w:t>
            </w:r>
            <w:hyperlink r:id="rId11" w:history="1">
              <w:r w:rsidR="002D3624">
                <w:rPr>
                  <w:rStyle w:val="Hyperlink"/>
                  <w:rFonts w:ascii="Arial" w:hAnsi="Arial" w:cs="Arial"/>
                  <w:sz w:val="20"/>
                  <w:szCs w:val="17"/>
                  <w:lang w:val="fr-FR"/>
                </w:rPr>
                <w:t>stephanie.bailey-white@libraries.idaho.gov</w:t>
              </w:r>
            </w:hyperlink>
          </w:p>
        </w:tc>
      </w:tr>
    </w:tbl>
    <w:p w14:paraId="08EDF8E2" w14:textId="77777777" w:rsidR="001D59D0" w:rsidRPr="00DE4628" w:rsidRDefault="001D59D0" w:rsidP="0007543C">
      <w:pPr>
        <w:tabs>
          <w:tab w:val="left" w:pos="9360"/>
        </w:tabs>
        <w:jc w:val="both"/>
        <w:rPr>
          <w:rFonts w:ascii="Arial" w:hAnsi="Arial" w:cs="Arial"/>
          <w:sz w:val="20"/>
          <w:szCs w:val="20"/>
          <w:lang w:val="fr-FR"/>
        </w:rPr>
      </w:pPr>
    </w:p>
    <w:sectPr w:rsidR="001D59D0" w:rsidRPr="00DE4628" w:rsidSect="00577377">
      <w:headerReference w:type="default" r:id="rId12"/>
      <w:footerReference w:type="default" r:id="rId13"/>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112E2" w14:textId="77777777" w:rsidR="00CB6C84" w:rsidRDefault="00CB6C84">
      <w:r>
        <w:separator/>
      </w:r>
    </w:p>
  </w:endnote>
  <w:endnote w:type="continuationSeparator" w:id="0">
    <w:p w14:paraId="53A30088" w14:textId="77777777" w:rsidR="00CB6C84" w:rsidRDefault="00CB6C84">
      <w:r>
        <w:continuationSeparator/>
      </w:r>
    </w:p>
  </w:endnote>
  <w:endnote w:type="continuationNotice" w:id="1">
    <w:p w14:paraId="6686D5D3" w14:textId="77777777" w:rsidR="00CB6C84" w:rsidRDefault="00CB6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015502"/>
      <w:docPartObj>
        <w:docPartGallery w:val="Page Numbers (Bottom of Page)"/>
        <w:docPartUnique/>
      </w:docPartObj>
    </w:sdtPr>
    <w:sdtEndPr>
      <w:rPr>
        <w:noProof/>
      </w:rPr>
    </w:sdtEndPr>
    <w:sdtContent>
      <w:p w14:paraId="2DA1CDF1" w14:textId="77777777" w:rsidR="00A410E3" w:rsidRPr="00A410E3" w:rsidRDefault="00A410E3" w:rsidP="00F95DC0">
        <w:pPr>
          <w:pStyle w:val="Footer"/>
          <w:tabs>
            <w:tab w:val="clear" w:pos="4320"/>
            <w:tab w:val="clear" w:pos="8640"/>
            <w:tab w:val="center" w:pos="4680"/>
            <w:tab w:val="right" w:pos="10080"/>
          </w:tabs>
          <w:rPr>
            <w:rFonts w:ascii="Arial" w:hAnsi="Arial" w:cs="Arial"/>
            <w:sz w:val="20"/>
            <w:szCs w:val="20"/>
          </w:rPr>
        </w:pPr>
      </w:p>
      <w:p w14:paraId="5C906A43" w14:textId="3C2BF5E8" w:rsidR="00F95DC0" w:rsidRPr="00F95DC0" w:rsidRDefault="00F95DC0" w:rsidP="00F95DC0">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847EF3">
          <w:rPr>
            <w:rFonts w:ascii="Arial" w:hAnsi="Arial" w:cs="Arial"/>
            <w:noProof/>
            <w:sz w:val="20"/>
            <w:szCs w:val="20"/>
          </w:rPr>
          <w:t>3</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631D7" w14:textId="77777777" w:rsidR="00CB6C84" w:rsidRDefault="00CB6C84">
      <w:r>
        <w:separator/>
      </w:r>
    </w:p>
  </w:footnote>
  <w:footnote w:type="continuationSeparator" w:id="0">
    <w:p w14:paraId="2A2CB035" w14:textId="77777777" w:rsidR="00CB6C84" w:rsidRDefault="00CB6C84">
      <w:r>
        <w:continuationSeparator/>
      </w:r>
    </w:p>
  </w:footnote>
  <w:footnote w:type="continuationNotice" w:id="1">
    <w:p w14:paraId="701A382B" w14:textId="77777777" w:rsidR="00CB6C84" w:rsidRDefault="00CB6C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3565B2" w14:paraId="65D0A6A9" w14:textId="77777777" w:rsidTr="000D144E">
      <w:tc>
        <w:tcPr>
          <w:tcW w:w="10080" w:type="dxa"/>
          <w:shd w:val="clear" w:color="auto" w:fill="000080"/>
        </w:tcPr>
        <w:p w14:paraId="6362F151" w14:textId="6EDDFF95" w:rsidR="005906A6" w:rsidRDefault="003565B2" w:rsidP="007B00AE">
          <w:pPr>
            <w:tabs>
              <w:tab w:val="right" w:pos="9852"/>
            </w:tabs>
            <w:rPr>
              <w:rFonts w:ascii="Arial" w:hAnsi="Arial" w:cs="Arial"/>
              <w:color w:val="FFFFFF"/>
            </w:rPr>
          </w:pPr>
          <w:r>
            <w:rPr>
              <w:rFonts w:ascii="Arial" w:hAnsi="Arial" w:cs="Arial"/>
              <w:b/>
              <w:bCs/>
              <w:noProof/>
              <w:color w:val="FFFFFF"/>
            </w:rPr>
            <w:t>Libraries, Idaho Commission for</w:t>
          </w:r>
          <w:r>
            <w:rPr>
              <w:rFonts w:ascii="Arial" w:hAnsi="Arial" w:cs="Arial"/>
              <w:b/>
              <w:bCs/>
              <w:color w:val="FFFFFF"/>
            </w:rPr>
            <w:tab/>
          </w:r>
          <w:r>
            <w:rPr>
              <w:rFonts w:ascii="Arial" w:hAnsi="Arial" w:cs="Arial"/>
              <w:color w:val="FFFFFF"/>
            </w:rPr>
            <w:t>Performance Report</w:t>
          </w:r>
        </w:p>
      </w:tc>
    </w:tr>
    <w:tr w:rsidR="003565B2" w14:paraId="7BA014D3" w14:textId="77777777" w:rsidTr="000D144E">
      <w:trPr>
        <w:trHeight w:hRule="exact" w:val="90"/>
      </w:trPr>
      <w:tc>
        <w:tcPr>
          <w:tcW w:w="10080" w:type="dxa"/>
          <w:tcBorders>
            <w:top w:val="nil"/>
            <w:bottom w:val="single" w:sz="4" w:space="0" w:color="auto"/>
          </w:tcBorders>
        </w:tcPr>
        <w:p w14:paraId="1096935D" w14:textId="77777777" w:rsidR="003565B2" w:rsidRDefault="003565B2"/>
      </w:tc>
    </w:tr>
    <w:tr w:rsidR="003565B2" w14:paraId="41D56523" w14:textId="77777777" w:rsidTr="000D144E">
      <w:tc>
        <w:tcPr>
          <w:tcW w:w="10080" w:type="dxa"/>
          <w:tcBorders>
            <w:top w:val="single" w:sz="4" w:space="0" w:color="auto"/>
            <w:bottom w:val="nil"/>
          </w:tcBorders>
          <w:shd w:val="clear" w:color="auto" w:fill="000080"/>
        </w:tcPr>
        <w:p w14:paraId="474BCBC7" w14:textId="77777777" w:rsidR="003565B2" w:rsidRPr="009728A1" w:rsidRDefault="003565B2">
          <w:pPr>
            <w:jc w:val="right"/>
            <w:rPr>
              <w:rFonts w:ascii="Arial" w:hAnsi="Arial" w:cs="Arial"/>
            </w:rPr>
          </w:pPr>
        </w:p>
      </w:tc>
    </w:tr>
  </w:tbl>
  <w:p w14:paraId="3295D35F" w14:textId="77777777" w:rsidR="003565B2" w:rsidRDefault="003565B2" w:rsidP="00356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17D8"/>
    <w:multiLevelType w:val="multilevel"/>
    <w:tmpl w:val="F060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A0529"/>
    <w:multiLevelType w:val="hybridMultilevel"/>
    <w:tmpl w:val="ACDC27DC"/>
    <w:lvl w:ilvl="0" w:tplc="E11C8130">
      <w:start w:val="1"/>
      <w:numFmt w:val="decimal"/>
      <w:lvlText w:val="%1."/>
      <w:lvlJc w:val="left"/>
      <w:pPr>
        <w:tabs>
          <w:tab w:val="num" w:pos="360"/>
        </w:tabs>
        <w:ind w:left="360" w:hanging="360"/>
      </w:pPr>
      <w:rPr>
        <w:rFonts w:hint="default"/>
      </w:rPr>
    </w:lvl>
    <w:lvl w:ilvl="1" w:tplc="F286B726">
      <w:start w:val="5"/>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D552E"/>
    <w:multiLevelType w:val="hybridMultilevel"/>
    <w:tmpl w:val="3B5C99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B152B"/>
    <w:multiLevelType w:val="hybridMultilevel"/>
    <w:tmpl w:val="7A04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766E9"/>
    <w:multiLevelType w:val="hybridMultilevel"/>
    <w:tmpl w:val="6A4E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1281C"/>
    <w:multiLevelType w:val="hybridMultilevel"/>
    <w:tmpl w:val="0DC21BCE"/>
    <w:lvl w:ilvl="0" w:tplc="F00CB2D8">
      <w:start w:val="1"/>
      <w:numFmt w:val="decimal"/>
      <w:lvlText w:val="%1."/>
      <w:lvlJc w:val="left"/>
      <w:pPr>
        <w:ind w:left="378" w:hanging="378"/>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A05FE"/>
    <w:multiLevelType w:val="hybridMultilevel"/>
    <w:tmpl w:val="2D06BE4A"/>
    <w:lvl w:ilvl="0" w:tplc="CD3C0206">
      <w:start w:val="1"/>
      <w:numFmt w:val="decimal"/>
      <w:lvlText w:val="%1."/>
      <w:lvlJc w:val="left"/>
      <w:pPr>
        <w:ind w:left="378" w:hanging="378"/>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10B4D"/>
    <w:multiLevelType w:val="hybridMultilevel"/>
    <w:tmpl w:val="7BDAB614"/>
    <w:lvl w:ilvl="0" w:tplc="F9E0C28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306321"/>
    <w:multiLevelType w:val="hybridMultilevel"/>
    <w:tmpl w:val="B630F3F2"/>
    <w:lvl w:ilvl="0" w:tplc="F8F6A3F0">
      <w:start w:val="2020"/>
      <w:numFmt w:val="bullet"/>
      <w:lvlText w:val="•"/>
      <w:lvlJc w:val="left"/>
      <w:pPr>
        <w:ind w:left="360" w:hanging="360"/>
      </w:pPr>
      <w:rPr>
        <w:rFonts w:ascii="Calibri" w:hAnsi="Calibri" w:cs="Times New Roman"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956C81"/>
    <w:multiLevelType w:val="hybridMultilevel"/>
    <w:tmpl w:val="E3FA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557C1"/>
    <w:multiLevelType w:val="hybridMultilevel"/>
    <w:tmpl w:val="AE44E0EA"/>
    <w:lvl w:ilvl="0" w:tplc="9B906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43192"/>
    <w:multiLevelType w:val="hybridMultilevel"/>
    <w:tmpl w:val="92600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0E30ADA"/>
    <w:multiLevelType w:val="hybridMultilevel"/>
    <w:tmpl w:val="F22C4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891CE9"/>
    <w:multiLevelType w:val="hybridMultilevel"/>
    <w:tmpl w:val="53CC3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5C00F3"/>
    <w:multiLevelType w:val="hybridMultilevel"/>
    <w:tmpl w:val="1006F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4AF1788"/>
    <w:multiLevelType w:val="hybridMultilevel"/>
    <w:tmpl w:val="A82C4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043F6"/>
    <w:multiLevelType w:val="multilevel"/>
    <w:tmpl w:val="42566EBE"/>
    <w:lvl w:ilvl="0">
      <w:start w:val="1"/>
      <w:numFmt w:val="decimal"/>
      <w:lvlText w:val="%1."/>
      <w:lvlJc w:val="left"/>
      <w:pPr>
        <w:tabs>
          <w:tab w:val="num" w:pos="504"/>
        </w:tabs>
        <w:ind w:left="5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5CD5F51"/>
    <w:multiLevelType w:val="hybridMultilevel"/>
    <w:tmpl w:val="F4AA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6732F"/>
    <w:multiLevelType w:val="hybridMultilevel"/>
    <w:tmpl w:val="325A10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74094D6B"/>
    <w:multiLevelType w:val="hybridMultilevel"/>
    <w:tmpl w:val="8DD6D17A"/>
    <w:lvl w:ilvl="0" w:tplc="8826BC8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E5E0E"/>
    <w:multiLevelType w:val="hybridMultilevel"/>
    <w:tmpl w:val="14369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541545"/>
    <w:multiLevelType w:val="hybridMultilevel"/>
    <w:tmpl w:val="3CEA2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2C18B3"/>
    <w:multiLevelType w:val="hybridMultilevel"/>
    <w:tmpl w:val="9D7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902153">
    <w:abstractNumId w:val="7"/>
  </w:num>
  <w:num w:numId="2" w16cid:durableId="1098865166">
    <w:abstractNumId w:val="1"/>
  </w:num>
  <w:num w:numId="3" w16cid:durableId="877625079">
    <w:abstractNumId w:val="17"/>
  </w:num>
  <w:num w:numId="4" w16cid:durableId="527379671">
    <w:abstractNumId w:val="10"/>
  </w:num>
  <w:num w:numId="5" w16cid:durableId="373847821">
    <w:abstractNumId w:val="12"/>
  </w:num>
  <w:num w:numId="6" w16cid:durableId="901599421">
    <w:abstractNumId w:val="19"/>
  </w:num>
  <w:num w:numId="7" w16cid:durableId="1449204953">
    <w:abstractNumId w:val="22"/>
  </w:num>
  <w:num w:numId="8" w16cid:durableId="1120149863">
    <w:abstractNumId w:val="9"/>
  </w:num>
  <w:num w:numId="9" w16cid:durableId="1424955846">
    <w:abstractNumId w:val="8"/>
  </w:num>
  <w:num w:numId="10" w16cid:durableId="1990360995">
    <w:abstractNumId w:val="16"/>
  </w:num>
  <w:num w:numId="11" w16cid:durableId="1474525467">
    <w:abstractNumId w:val="13"/>
  </w:num>
  <w:num w:numId="12" w16cid:durableId="1733187062">
    <w:abstractNumId w:val="14"/>
  </w:num>
  <w:num w:numId="13" w16cid:durableId="650213235">
    <w:abstractNumId w:val="21"/>
  </w:num>
  <w:num w:numId="14" w16cid:durableId="658769784">
    <w:abstractNumId w:val="2"/>
  </w:num>
  <w:num w:numId="15" w16cid:durableId="2046514617">
    <w:abstractNumId w:val="3"/>
  </w:num>
  <w:num w:numId="16" w16cid:durableId="59446416">
    <w:abstractNumId w:val="0"/>
  </w:num>
  <w:num w:numId="17" w16cid:durableId="858466397">
    <w:abstractNumId w:val="18"/>
  </w:num>
  <w:num w:numId="18" w16cid:durableId="1941721405">
    <w:abstractNumId w:val="4"/>
  </w:num>
  <w:num w:numId="19" w16cid:durableId="2005160644">
    <w:abstractNumId w:val="23"/>
  </w:num>
  <w:num w:numId="20" w16cid:durableId="805778310">
    <w:abstractNumId w:val="15"/>
  </w:num>
  <w:num w:numId="21" w16cid:durableId="794762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6709713">
    <w:abstractNumId w:val="20"/>
  </w:num>
  <w:num w:numId="23" w16cid:durableId="879435410">
    <w:abstractNumId w:val="5"/>
  </w:num>
  <w:num w:numId="24" w16cid:durableId="1192298852">
    <w:abstractNumId w:val="6"/>
  </w:num>
  <w:num w:numId="25" w16cid:durableId="1361786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5EF"/>
    <w:rsid w:val="0000078C"/>
    <w:rsid w:val="00000DD8"/>
    <w:rsid w:val="00001AFF"/>
    <w:rsid w:val="000021F7"/>
    <w:rsid w:val="00003652"/>
    <w:rsid w:val="00004849"/>
    <w:rsid w:val="000053A8"/>
    <w:rsid w:val="000058F6"/>
    <w:rsid w:val="00006DCE"/>
    <w:rsid w:val="00007792"/>
    <w:rsid w:val="00013282"/>
    <w:rsid w:val="00014C41"/>
    <w:rsid w:val="00014DF5"/>
    <w:rsid w:val="00016FC8"/>
    <w:rsid w:val="00017AEF"/>
    <w:rsid w:val="00020B3D"/>
    <w:rsid w:val="0002129A"/>
    <w:rsid w:val="000212F5"/>
    <w:rsid w:val="00022893"/>
    <w:rsid w:val="00025901"/>
    <w:rsid w:val="00026837"/>
    <w:rsid w:val="00031987"/>
    <w:rsid w:val="00031C05"/>
    <w:rsid w:val="00033BAC"/>
    <w:rsid w:val="00035A04"/>
    <w:rsid w:val="00040B7D"/>
    <w:rsid w:val="0004145C"/>
    <w:rsid w:val="00041756"/>
    <w:rsid w:val="00041E5B"/>
    <w:rsid w:val="00041EF4"/>
    <w:rsid w:val="00042194"/>
    <w:rsid w:val="0004324F"/>
    <w:rsid w:val="00043ED2"/>
    <w:rsid w:val="00045318"/>
    <w:rsid w:val="0005156A"/>
    <w:rsid w:val="00051719"/>
    <w:rsid w:val="00052725"/>
    <w:rsid w:val="00053958"/>
    <w:rsid w:val="00053AB0"/>
    <w:rsid w:val="000565AD"/>
    <w:rsid w:val="00057A31"/>
    <w:rsid w:val="0006079A"/>
    <w:rsid w:val="00060F98"/>
    <w:rsid w:val="00061872"/>
    <w:rsid w:val="00062623"/>
    <w:rsid w:val="00062B6F"/>
    <w:rsid w:val="0006305D"/>
    <w:rsid w:val="0006552B"/>
    <w:rsid w:val="00067033"/>
    <w:rsid w:val="00070437"/>
    <w:rsid w:val="00072FC5"/>
    <w:rsid w:val="00074B5A"/>
    <w:rsid w:val="0007543C"/>
    <w:rsid w:val="00076AF5"/>
    <w:rsid w:val="00076B94"/>
    <w:rsid w:val="0007762B"/>
    <w:rsid w:val="00077E55"/>
    <w:rsid w:val="0008189F"/>
    <w:rsid w:val="0008207E"/>
    <w:rsid w:val="00082D61"/>
    <w:rsid w:val="000844AB"/>
    <w:rsid w:val="0008664A"/>
    <w:rsid w:val="0009130C"/>
    <w:rsid w:val="00091682"/>
    <w:rsid w:val="00096C56"/>
    <w:rsid w:val="00097724"/>
    <w:rsid w:val="00097D72"/>
    <w:rsid w:val="000A04B3"/>
    <w:rsid w:val="000A0B5A"/>
    <w:rsid w:val="000A1EC7"/>
    <w:rsid w:val="000A357F"/>
    <w:rsid w:val="000A3A59"/>
    <w:rsid w:val="000A56CA"/>
    <w:rsid w:val="000A77A5"/>
    <w:rsid w:val="000B3E2C"/>
    <w:rsid w:val="000B6C9F"/>
    <w:rsid w:val="000B7B38"/>
    <w:rsid w:val="000C007D"/>
    <w:rsid w:val="000C056B"/>
    <w:rsid w:val="000C2859"/>
    <w:rsid w:val="000C36A5"/>
    <w:rsid w:val="000C4292"/>
    <w:rsid w:val="000C47F9"/>
    <w:rsid w:val="000C70F7"/>
    <w:rsid w:val="000D0335"/>
    <w:rsid w:val="000D144E"/>
    <w:rsid w:val="000D14D4"/>
    <w:rsid w:val="000D3B6C"/>
    <w:rsid w:val="000D449A"/>
    <w:rsid w:val="000D4D66"/>
    <w:rsid w:val="000D5821"/>
    <w:rsid w:val="000D5AE5"/>
    <w:rsid w:val="000D5CA7"/>
    <w:rsid w:val="000E3D7C"/>
    <w:rsid w:val="000E6898"/>
    <w:rsid w:val="000F0E5C"/>
    <w:rsid w:val="000F0F13"/>
    <w:rsid w:val="000F2B9C"/>
    <w:rsid w:val="000F5D7C"/>
    <w:rsid w:val="000F6081"/>
    <w:rsid w:val="000F77D1"/>
    <w:rsid w:val="001014D8"/>
    <w:rsid w:val="001019C9"/>
    <w:rsid w:val="001037B2"/>
    <w:rsid w:val="0010552D"/>
    <w:rsid w:val="0010558F"/>
    <w:rsid w:val="001110B7"/>
    <w:rsid w:val="00111A71"/>
    <w:rsid w:val="0011233E"/>
    <w:rsid w:val="00112C6C"/>
    <w:rsid w:val="00115CE0"/>
    <w:rsid w:val="00116893"/>
    <w:rsid w:val="0011707E"/>
    <w:rsid w:val="00120C2E"/>
    <w:rsid w:val="0012145B"/>
    <w:rsid w:val="00125085"/>
    <w:rsid w:val="00127AC4"/>
    <w:rsid w:val="00130030"/>
    <w:rsid w:val="001325EA"/>
    <w:rsid w:val="00133A72"/>
    <w:rsid w:val="00133B99"/>
    <w:rsid w:val="00135489"/>
    <w:rsid w:val="00136255"/>
    <w:rsid w:val="001407EA"/>
    <w:rsid w:val="00142084"/>
    <w:rsid w:val="001442AB"/>
    <w:rsid w:val="0014504F"/>
    <w:rsid w:val="00145584"/>
    <w:rsid w:val="00145992"/>
    <w:rsid w:val="00146233"/>
    <w:rsid w:val="001462D5"/>
    <w:rsid w:val="00146873"/>
    <w:rsid w:val="00150094"/>
    <w:rsid w:val="00150FF2"/>
    <w:rsid w:val="00151184"/>
    <w:rsid w:val="001527F4"/>
    <w:rsid w:val="001544A4"/>
    <w:rsid w:val="00157F90"/>
    <w:rsid w:val="00157F99"/>
    <w:rsid w:val="0016063D"/>
    <w:rsid w:val="001608DD"/>
    <w:rsid w:val="00160B21"/>
    <w:rsid w:val="00160E1E"/>
    <w:rsid w:val="00160EEF"/>
    <w:rsid w:val="00160FC0"/>
    <w:rsid w:val="00161DB8"/>
    <w:rsid w:val="00164919"/>
    <w:rsid w:val="00164DD4"/>
    <w:rsid w:val="00165B72"/>
    <w:rsid w:val="0017070D"/>
    <w:rsid w:val="001754AF"/>
    <w:rsid w:val="00176250"/>
    <w:rsid w:val="00176AE3"/>
    <w:rsid w:val="00176CC1"/>
    <w:rsid w:val="001811B3"/>
    <w:rsid w:val="001860AF"/>
    <w:rsid w:val="00186A1F"/>
    <w:rsid w:val="001901E5"/>
    <w:rsid w:val="001902A1"/>
    <w:rsid w:val="00190AA7"/>
    <w:rsid w:val="001919F0"/>
    <w:rsid w:val="00192964"/>
    <w:rsid w:val="00192B20"/>
    <w:rsid w:val="00192B88"/>
    <w:rsid w:val="0019429D"/>
    <w:rsid w:val="00195985"/>
    <w:rsid w:val="001966E7"/>
    <w:rsid w:val="001A0C1C"/>
    <w:rsid w:val="001A43BD"/>
    <w:rsid w:val="001A6480"/>
    <w:rsid w:val="001B0430"/>
    <w:rsid w:val="001B0D7D"/>
    <w:rsid w:val="001B15E0"/>
    <w:rsid w:val="001B1F36"/>
    <w:rsid w:val="001B3A2A"/>
    <w:rsid w:val="001B463E"/>
    <w:rsid w:val="001B7BE8"/>
    <w:rsid w:val="001C1C37"/>
    <w:rsid w:val="001C4CCA"/>
    <w:rsid w:val="001C5364"/>
    <w:rsid w:val="001C6E3D"/>
    <w:rsid w:val="001C7BE0"/>
    <w:rsid w:val="001D09E0"/>
    <w:rsid w:val="001D210D"/>
    <w:rsid w:val="001D25D3"/>
    <w:rsid w:val="001D533A"/>
    <w:rsid w:val="001D53D4"/>
    <w:rsid w:val="001D53F1"/>
    <w:rsid w:val="001D547D"/>
    <w:rsid w:val="001D5846"/>
    <w:rsid w:val="001D59D0"/>
    <w:rsid w:val="001D5A83"/>
    <w:rsid w:val="001D69A1"/>
    <w:rsid w:val="001D6C04"/>
    <w:rsid w:val="001D7A8E"/>
    <w:rsid w:val="001D7F4D"/>
    <w:rsid w:val="001E327A"/>
    <w:rsid w:val="001E374B"/>
    <w:rsid w:val="001E62D2"/>
    <w:rsid w:val="001E6761"/>
    <w:rsid w:val="001F2943"/>
    <w:rsid w:val="001F3841"/>
    <w:rsid w:val="001F70CE"/>
    <w:rsid w:val="00201AFD"/>
    <w:rsid w:val="00204455"/>
    <w:rsid w:val="00205008"/>
    <w:rsid w:val="00207099"/>
    <w:rsid w:val="002118C4"/>
    <w:rsid w:val="00212383"/>
    <w:rsid w:val="002130F2"/>
    <w:rsid w:val="002142AB"/>
    <w:rsid w:val="0021515B"/>
    <w:rsid w:val="00222437"/>
    <w:rsid w:val="0022379C"/>
    <w:rsid w:val="00224BB6"/>
    <w:rsid w:val="00226198"/>
    <w:rsid w:val="002272F8"/>
    <w:rsid w:val="002320B2"/>
    <w:rsid w:val="0023311B"/>
    <w:rsid w:val="002347BA"/>
    <w:rsid w:val="00235631"/>
    <w:rsid w:val="00236997"/>
    <w:rsid w:val="00240C73"/>
    <w:rsid w:val="00241587"/>
    <w:rsid w:val="00241BF5"/>
    <w:rsid w:val="00242B8E"/>
    <w:rsid w:val="00244E85"/>
    <w:rsid w:val="002528D2"/>
    <w:rsid w:val="00252B00"/>
    <w:rsid w:val="00253A44"/>
    <w:rsid w:val="00254827"/>
    <w:rsid w:val="00255790"/>
    <w:rsid w:val="00257111"/>
    <w:rsid w:val="00260D7D"/>
    <w:rsid w:val="00262436"/>
    <w:rsid w:val="0026309C"/>
    <w:rsid w:val="002645D4"/>
    <w:rsid w:val="00264712"/>
    <w:rsid w:val="00264E71"/>
    <w:rsid w:val="0026685B"/>
    <w:rsid w:val="00267C82"/>
    <w:rsid w:val="00270AC5"/>
    <w:rsid w:val="00271854"/>
    <w:rsid w:val="00271BB0"/>
    <w:rsid w:val="002721B1"/>
    <w:rsid w:val="00273790"/>
    <w:rsid w:val="00273AB8"/>
    <w:rsid w:val="00273C7D"/>
    <w:rsid w:val="00275E49"/>
    <w:rsid w:val="00276119"/>
    <w:rsid w:val="00277262"/>
    <w:rsid w:val="002813C8"/>
    <w:rsid w:val="00283525"/>
    <w:rsid w:val="0028549D"/>
    <w:rsid w:val="00285D74"/>
    <w:rsid w:val="002904B3"/>
    <w:rsid w:val="00290581"/>
    <w:rsid w:val="00291B4C"/>
    <w:rsid w:val="0029363C"/>
    <w:rsid w:val="00294D86"/>
    <w:rsid w:val="002964D0"/>
    <w:rsid w:val="00296FB8"/>
    <w:rsid w:val="002A07C6"/>
    <w:rsid w:val="002A2EE6"/>
    <w:rsid w:val="002A6A05"/>
    <w:rsid w:val="002A7E2B"/>
    <w:rsid w:val="002B10AE"/>
    <w:rsid w:val="002B5B3C"/>
    <w:rsid w:val="002C0F36"/>
    <w:rsid w:val="002C1103"/>
    <w:rsid w:val="002C4076"/>
    <w:rsid w:val="002C4571"/>
    <w:rsid w:val="002C4BCF"/>
    <w:rsid w:val="002C506F"/>
    <w:rsid w:val="002D0CFB"/>
    <w:rsid w:val="002D33BC"/>
    <w:rsid w:val="002D3624"/>
    <w:rsid w:val="002D3AD3"/>
    <w:rsid w:val="002D3C01"/>
    <w:rsid w:val="002D4BDE"/>
    <w:rsid w:val="002D53E1"/>
    <w:rsid w:val="002D5773"/>
    <w:rsid w:val="002D5C29"/>
    <w:rsid w:val="002D7026"/>
    <w:rsid w:val="002E26CB"/>
    <w:rsid w:val="002E2890"/>
    <w:rsid w:val="002E4106"/>
    <w:rsid w:val="002E5203"/>
    <w:rsid w:val="002E591D"/>
    <w:rsid w:val="002E68B3"/>
    <w:rsid w:val="002F3903"/>
    <w:rsid w:val="002F56AD"/>
    <w:rsid w:val="002F699F"/>
    <w:rsid w:val="002F7E31"/>
    <w:rsid w:val="003005A6"/>
    <w:rsid w:val="00300746"/>
    <w:rsid w:val="00310D78"/>
    <w:rsid w:val="003119FB"/>
    <w:rsid w:val="00311ADA"/>
    <w:rsid w:val="00311DCE"/>
    <w:rsid w:val="00313989"/>
    <w:rsid w:val="00313B4B"/>
    <w:rsid w:val="00314BC9"/>
    <w:rsid w:val="00315B99"/>
    <w:rsid w:val="003171EA"/>
    <w:rsid w:val="003178E6"/>
    <w:rsid w:val="003218E6"/>
    <w:rsid w:val="00321C9C"/>
    <w:rsid w:val="0032373B"/>
    <w:rsid w:val="00324424"/>
    <w:rsid w:val="00324E03"/>
    <w:rsid w:val="00325DB6"/>
    <w:rsid w:val="003303F3"/>
    <w:rsid w:val="003328CE"/>
    <w:rsid w:val="003336E2"/>
    <w:rsid w:val="00335E51"/>
    <w:rsid w:val="003416DF"/>
    <w:rsid w:val="00342DF5"/>
    <w:rsid w:val="00343404"/>
    <w:rsid w:val="0034456C"/>
    <w:rsid w:val="00347853"/>
    <w:rsid w:val="00351506"/>
    <w:rsid w:val="00351BCF"/>
    <w:rsid w:val="00351ED3"/>
    <w:rsid w:val="0035231F"/>
    <w:rsid w:val="003539C6"/>
    <w:rsid w:val="003565B2"/>
    <w:rsid w:val="003565FF"/>
    <w:rsid w:val="0036094A"/>
    <w:rsid w:val="00364A3B"/>
    <w:rsid w:val="00375B50"/>
    <w:rsid w:val="0037603E"/>
    <w:rsid w:val="0037680D"/>
    <w:rsid w:val="003803C1"/>
    <w:rsid w:val="0038047D"/>
    <w:rsid w:val="003812BC"/>
    <w:rsid w:val="00381D4D"/>
    <w:rsid w:val="00381F1D"/>
    <w:rsid w:val="00382B39"/>
    <w:rsid w:val="00384998"/>
    <w:rsid w:val="00386A74"/>
    <w:rsid w:val="00387013"/>
    <w:rsid w:val="00390869"/>
    <w:rsid w:val="00390C2D"/>
    <w:rsid w:val="00392E9C"/>
    <w:rsid w:val="00393D9F"/>
    <w:rsid w:val="003951DB"/>
    <w:rsid w:val="0039637D"/>
    <w:rsid w:val="00396699"/>
    <w:rsid w:val="00397F65"/>
    <w:rsid w:val="003A0A78"/>
    <w:rsid w:val="003A374A"/>
    <w:rsid w:val="003A4359"/>
    <w:rsid w:val="003A6AD0"/>
    <w:rsid w:val="003A706A"/>
    <w:rsid w:val="003B444A"/>
    <w:rsid w:val="003B5BCB"/>
    <w:rsid w:val="003B63FE"/>
    <w:rsid w:val="003C3902"/>
    <w:rsid w:val="003C42B5"/>
    <w:rsid w:val="003C5C9F"/>
    <w:rsid w:val="003C5DA2"/>
    <w:rsid w:val="003C5DE7"/>
    <w:rsid w:val="003C6E71"/>
    <w:rsid w:val="003D0123"/>
    <w:rsid w:val="003D207F"/>
    <w:rsid w:val="003D2FEE"/>
    <w:rsid w:val="003D3B85"/>
    <w:rsid w:val="003D46CF"/>
    <w:rsid w:val="003D5416"/>
    <w:rsid w:val="003D55EE"/>
    <w:rsid w:val="003D5DDC"/>
    <w:rsid w:val="003E04ED"/>
    <w:rsid w:val="003E382E"/>
    <w:rsid w:val="003F4151"/>
    <w:rsid w:val="003F4D1A"/>
    <w:rsid w:val="003F5BF3"/>
    <w:rsid w:val="003F649C"/>
    <w:rsid w:val="0040390B"/>
    <w:rsid w:val="00403C0B"/>
    <w:rsid w:val="004065B7"/>
    <w:rsid w:val="0041521F"/>
    <w:rsid w:val="00416BBD"/>
    <w:rsid w:val="004175BB"/>
    <w:rsid w:val="00420E4B"/>
    <w:rsid w:val="00421A3F"/>
    <w:rsid w:val="00423F2A"/>
    <w:rsid w:val="00425111"/>
    <w:rsid w:val="0042599A"/>
    <w:rsid w:val="004266CB"/>
    <w:rsid w:val="00431CF6"/>
    <w:rsid w:val="00432179"/>
    <w:rsid w:val="004332AC"/>
    <w:rsid w:val="00433D5A"/>
    <w:rsid w:val="0043529F"/>
    <w:rsid w:val="004354BA"/>
    <w:rsid w:val="004369A2"/>
    <w:rsid w:val="004370D9"/>
    <w:rsid w:val="004422A6"/>
    <w:rsid w:val="0044233F"/>
    <w:rsid w:val="004427FB"/>
    <w:rsid w:val="00444BBB"/>
    <w:rsid w:val="0044511C"/>
    <w:rsid w:val="004452D4"/>
    <w:rsid w:val="00446299"/>
    <w:rsid w:val="004505C5"/>
    <w:rsid w:val="00450CFE"/>
    <w:rsid w:val="00452890"/>
    <w:rsid w:val="00454AF8"/>
    <w:rsid w:val="00456206"/>
    <w:rsid w:val="004573D6"/>
    <w:rsid w:val="00457682"/>
    <w:rsid w:val="004577D3"/>
    <w:rsid w:val="00464639"/>
    <w:rsid w:val="004651D6"/>
    <w:rsid w:val="00473110"/>
    <w:rsid w:val="00473503"/>
    <w:rsid w:val="004746E7"/>
    <w:rsid w:val="00476C80"/>
    <w:rsid w:val="00477631"/>
    <w:rsid w:val="004805D0"/>
    <w:rsid w:val="00480A80"/>
    <w:rsid w:val="00481A59"/>
    <w:rsid w:val="0048509C"/>
    <w:rsid w:val="004871FB"/>
    <w:rsid w:val="00487A04"/>
    <w:rsid w:val="00490DEF"/>
    <w:rsid w:val="00491B02"/>
    <w:rsid w:val="00491F06"/>
    <w:rsid w:val="00493E12"/>
    <w:rsid w:val="00494D04"/>
    <w:rsid w:val="004976D3"/>
    <w:rsid w:val="00497AEB"/>
    <w:rsid w:val="004A0471"/>
    <w:rsid w:val="004B0D91"/>
    <w:rsid w:val="004B4C6C"/>
    <w:rsid w:val="004B502C"/>
    <w:rsid w:val="004B75E2"/>
    <w:rsid w:val="004C0161"/>
    <w:rsid w:val="004C1E03"/>
    <w:rsid w:val="004C2CD9"/>
    <w:rsid w:val="004C3ECE"/>
    <w:rsid w:val="004C46EC"/>
    <w:rsid w:val="004C4CE2"/>
    <w:rsid w:val="004C75B2"/>
    <w:rsid w:val="004D0816"/>
    <w:rsid w:val="004D1901"/>
    <w:rsid w:val="004D2CAD"/>
    <w:rsid w:val="004D386A"/>
    <w:rsid w:val="004D3FD3"/>
    <w:rsid w:val="004E169B"/>
    <w:rsid w:val="004E1D8D"/>
    <w:rsid w:val="004E37F8"/>
    <w:rsid w:val="004E4E99"/>
    <w:rsid w:val="004E541E"/>
    <w:rsid w:val="004E6226"/>
    <w:rsid w:val="004E62DD"/>
    <w:rsid w:val="004E7C36"/>
    <w:rsid w:val="004E7F96"/>
    <w:rsid w:val="004F02B0"/>
    <w:rsid w:val="004F097A"/>
    <w:rsid w:val="004F0F8A"/>
    <w:rsid w:val="004F1015"/>
    <w:rsid w:val="004F3754"/>
    <w:rsid w:val="004F4C47"/>
    <w:rsid w:val="004F6769"/>
    <w:rsid w:val="004F69AD"/>
    <w:rsid w:val="00500512"/>
    <w:rsid w:val="00503F7D"/>
    <w:rsid w:val="00506A0E"/>
    <w:rsid w:val="0050756D"/>
    <w:rsid w:val="005079F6"/>
    <w:rsid w:val="00510F11"/>
    <w:rsid w:val="00511124"/>
    <w:rsid w:val="005117A0"/>
    <w:rsid w:val="00513642"/>
    <w:rsid w:val="00513BFF"/>
    <w:rsid w:val="00514E81"/>
    <w:rsid w:val="00514F5E"/>
    <w:rsid w:val="00515756"/>
    <w:rsid w:val="0052272D"/>
    <w:rsid w:val="005228BD"/>
    <w:rsid w:val="005245D4"/>
    <w:rsid w:val="00525814"/>
    <w:rsid w:val="00525821"/>
    <w:rsid w:val="005309DE"/>
    <w:rsid w:val="00531932"/>
    <w:rsid w:val="00531D37"/>
    <w:rsid w:val="005377A7"/>
    <w:rsid w:val="005377A9"/>
    <w:rsid w:val="00544694"/>
    <w:rsid w:val="00547EFE"/>
    <w:rsid w:val="0055373F"/>
    <w:rsid w:val="00553FC6"/>
    <w:rsid w:val="005553B8"/>
    <w:rsid w:val="00556B5C"/>
    <w:rsid w:val="005573B9"/>
    <w:rsid w:val="0056114A"/>
    <w:rsid w:val="00564395"/>
    <w:rsid w:val="005648A9"/>
    <w:rsid w:val="005655C0"/>
    <w:rsid w:val="0056664F"/>
    <w:rsid w:val="00570A8B"/>
    <w:rsid w:val="00570BB1"/>
    <w:rsid w:val="00571DBC"/>
    <w:rsid w:val="005734DD"/>
    <w:rsid w:val="005734FD"/>
    <w:rsid w:val="005738E8"/>
    <w:rsid w:val="0057476C"/>
    <w:rsid w:val="00577368"/>
    <w:rsid w:val="00577377"/>
    <w:rsid w:val="0058342C"/>
    <w:rsid w:val="005844A5"/>
    <w:rsid w:val="005906A6"/>
    <w:rsid w:val="005916A4"/>
    <w:rsid w:val="005917CF"/>
    <w:rsid w:val="00591F2F"/>
    <w:rsid w:val="00592334"/>
    <w:rsid w:val="005924E5"/>
    <w:rsid w:val="00592A07"/>
    <w:rsid w:val="00594740"/>
    <w:rsid w:val="00594CA4"/>
    <w:rsid w:val="00595C9A"/>
    <w:rsid w:val="00595E72"/>
    <w:rsid w:val="005961E9"/>
    <w:rsid w:val="005A053B"/>
    <w:rsid w:val="005A0ABA"/>
    <w:rsid w:val="005A149D"/>
    <w:rsid w:val="005A410E"/>
    <w:rsid w:val="005A5876"/>
    <w:rsid w:val="005A5900"/>
    <w:rsid w:val="005A630C"/>
    <w:rsid w:val="005B4AD7"/>
    <w:rsid w:val="005B74D4"/>
    <w:rsid w:val="005C01B6"/>
    <w:rsid w:val="005C0BCE"/>
    <w:rsid w:val="005C2BF7"/>
    <w:rsid w:val="005C4638"/>
    <w:rsid w:val="005C503B"/>
    <w:rsid w:val="005C61DA"/>
    <w:rsid w:val="005C72B9"/>
    <w:rsid w:val="005C7AD1"/>
    <w:rsid w:val="005D2C87"/>
    <w:rsid w:val="005D324D"/>
    <w:rsid w:val="005D374E"/>
    <w:rsid w:val="005D3CBF"/>
    <w:rsid w:val="005D4A82"/>
    <w:rsid w:val="005D5050"/>
    <w:rsid w:val="005D58D4"/>
    <w:rsid w:val="005D72F6"/>
    <w:rsid w:val="005E3928"/>
    <w:rsid w:val="005E4C56"/>
    <w:rsid w:val="005E5BD9"/>
    <w:rsid w:val="005E618B"/>
    <w:rsid w:val="005E621E"/>
    <w:rsid w:val="005E6A7F"/>
    <w:rsid w:val="005E7300"/>
    <w:rsid w:val="005E7DBB"/>
    <w:rsid w:val="005F59C1"/>
    <w:rsid w:val="0060033F"/>
    <w:rsid w:val="00600D04"/>
    <w:rsid w:val="00600E33"/>
    <w:rsid w:val="00601B0E"/>
    <w:rsid w:val="006030A9"/>
    <w:rsid w:val="00605A7D"/>
    <w:rsid w:val="00605E94"/>
    <w:rsid w:val="00606088"/>
    <w:rsid w:val="0060705D"/>
    <w:rsid w:val="00612707"/>
    <w:rsid w:val="00612EEF"/>
    <w:rsid w:val="0061301C"/>
    <w:rsid w:val="00613CA5"/>
    <w:rsid w:val="00614364"/>
    <w:rsid w:val="00622AD8"/>
    <w:rsid w:val="00622FE2"/>
    <w:rsid w:val="006234B5"/>
    <w:rsid w:val="00623DC4"/>
    <w:rsid w:val="00624430"/>
    <w:rsid w:val="006263EB"/>
    <w:rsid w:val="0063132C"/>
    <w:rsid w:val="00633285"/>
    <w:rsid w:val="0063401A"/>
    <w:rsid w:val="006350E4"/>
    <w:rsid w:val="00635E20"/>
    <w:rsid w:val="0063666C"/>
    <w:rsid w:val="00643A2A"/>
    <w:rsid w:val="00646713"/>
    <w:rsid w:val="00646FF4"/>
    <w:rsid w:val="00651B48"/>
    <w:rsid w:val="00653E89"/>
    <w:rsid w:val="0065645D"/>
    <w:rsid w:val="00656F0A"/>
    <w:rsid w:val="00661245"/>
    <w:rsid w:val="00661286"/>
    <w:rsid w:val="00661EC4"/>
    <w:rsid w:val="006635A6"/>
    <w:rsid w:val="00663EC2"/>
    <w:rsid w:val="006672DB"/>
    <w:rsid w:val="00670CC3"/>
    <w:rsid w:val="006725CF"/>
    <w:rsid w:val="0067524A"/>
    <w:rsid w:val="00675B3C"/>
    <w:rsid w:val="00675D6F"/>
    <w:rsid w:val="00676548"/>
    <w:rsid w:val="00676D87"/>
    <w:rsid w:val="006773E3"/>
    <w:rsid w:val="00681EDE"/>
    <w:rsid w:val="006858B8"/>
    <w:rsid w:val="0068667F"/>
    <w:rsid w:val="0068690B"/>
    <w:rsid w:val="006914DD"/>
    <w:rsid w:val="00691875"/>
    <w:rsid w:val="00692AFB"/>
    <w:rsid w:val="006946E4"/>
    <w:rsid w:val="00695612"/>
    <w:rsid w:val="00696387"/>
    <w:rsid w:val="00696392"/>
    <w:rsid w:val="006A095A"/>
    <w:rsid w:val="006A1E20"/>
    <w:rsid w:val="006A3DF9"/>
    <w:rsid w:val="006A50E5"/>
    <w:rsid w:val="006A7BF6"/>
    <w:rsid w:val="006B053B"/>
    <w:rsid w:val="006B06FC"/>
    <w:rsid w:val="006B1C24"/>
    <w:rsid w:val="006B7C00"/>
    <w:rsid w:val="006B7F95"/>
    <w:rsid w:val="006C0BA2"/>
    <w:rsid w:val="006C27BC"/>
    <w:rsid w:val="006C6349"/>
    <w:rsid w:val="006D038F"/>
    <w:rsid w:val="006D0EC0"/>
    <w:rsid w:val="006D1541"/>
    <w:rsid w:val="006D3601"/>
    <w:rsid w:val="006D372F"/>
    <w:rsid w:val="006D423F"/>
    <w:rsid w:val="006E1C9F"/>
    <w:rsid w:val="006E25F9"/>
    <w:rsid w:val="006F4EB5"/>
    <w:rsid w:val="006F5AC0"/>
    <w:rsid w:val="007003EB"/>
    <w:rsid w:val="007006C1"/>
    <w:rsid w:val="00700C28"/>
    <w:rsid w:val="00700FE8"/>
    <w:rsid w:val="007019B1"/>
    <w:rsid w:val="00701ACC"/>
    <w:rsid w:val="00702559"/>
    <w:rsid w:val="007026A2"/>
    <w:rsid w:val="00704D98"/>
    <w:rsid w:val="00705C73"/>
    <w:rsid w:val="00707A41"/>
    <w:rsid w:val="00707D31"/>
    <w:rsid w:val="007111D3"/>
    <w:rsid w:val="00711485"/>
    <w:rsid w:val="00712B59"/>
    <w:rsid w:val="00712E85"/>
    <w:rsid w:val="00712EFC"/>
    <w:rsid w:val="0071303B"/>
    <w:rsid w:val="00713E78"/>
    <w:rsid w:val="00715C35"/>
    <w:rsid w:val="00720BF5"/>
    <w:rsid w:val="00720EB9"/>
    <w:rsid w:val="00721E14"/>
    <w:rsid w:val="00726811"/>
    <w:rsid w:val="0073028C"/>
    <w:rsid w:val="00731373"/>
    <w:rsid w:val="00732574"/>
    <w:rsid w:val="00733D03"/>
    <w:rsid w:val="00733F0B"/>
    <w:rsid w:val="00736006"/>
    <w:rsid w:val="007365F2"/>
    <w:rsid w:val="00736F07"/>
    <w:rsid w:val="00741C28"/>
    <w:rsid w:val="007420D4"/>
    <w:rsid w:val="00744E14"/>
    <w:rsid w:val="007500B9"/>
    <w:rsid w:val="00752039"/>
    <w:rsid w:val="00753681"/>
    <w:rsid w:val="00753E2D"/>
    <w:rsid w:val="00755A17"/>
    <w:rsid w:val="00755C3F"/>
    <w:rsid w:val="007573B5"/>
    <w:rsid w:val="0076027B"/>
    <w:rsid w:val="00766C79"/>
    <w:rsid w:val="007673B3"/>
    <w:rsid w:val="0077009B"/>
    <w:rsid w:val="00775A9B"/>
    <w:rsid w:val="007761F5"/>
    <w:rsid w:val="00780CC1"/>
    <w:rsid w:val="007838D6"/>
    <w:rsid w:val="00786B9F"/>
    <w:rsid w:val="00786D41"/>
    <w:rsid w:val="00787062"/>
    <w:rsid w:val="00787924"/>
    <w:rsid w:val="00787CF8"/>
    <w:rsid w:val="00787E72"/>
    <w:rsid w:val="00793A31"/>
    <w:rsid w:val="00796A31"/>
    <w:rsid w:val="007974F2"/>
    <w:rsid w:val="007A09A4"/>
    <w:rsid w:val="007A3310"/>
    <w:rsid w:val="007A42DC"/>
    <w:rsid w:val="007A4FCD"/>
    <w:rsid w:val="007A4FEB"/>
    <w:rsid w:val="007A6F5D"/>
    <w:rsid w:val="007B00AE"/>
    <w:rsid w:val="007B0E3E"/>
    <w:rsid w:val="007B181D"/>
    <w:rsid w:val="007B495E"/>
    <w:rsid w:val="007B5A9E"/>
    <w:rsid w:val="007B60D1"/>
    <w:rsid w:val="007B62B9"/>
    <w:rsid w:val="007B74E4"/>
    <w:rsid w:val="007C3E6E"/>
    <w:rsid w:val="007C4528"/>
    <w:rsid w:val="007C5538"/>
    <w:rsid w:val="007C609F"/>
    <w:rsid w:val="007C6BEE"/>
    <w:rsid w:val="007C70B3"/>
    <w:rsid w:val="007D10B1"/>
    <w:rsid w:val="007D1205"/>
    <w:rsid w:val="007D13E4"/>
    <w:rsid w:val="007D149D"/>
    <w:rsid w:val="007D1F07"/>
    <w:rsid w:val="007D1F75"/>
    <w:rsid w:val="007D27F5"/>
    <w:rsid w:val="007D4DB5"/>
    <w:rsid w:val="007E06C7"/>
    <w:rsid w:val="007E4345"/>
    <w:rsid w:val="007E499D"/>
    <w:rsid w:val="007E5311"/>
    <w:rsid w:val="007F1031"/>
    <w:rsid w:val="007F110A"/>
    <w:rsid w:val="007F1C96"/>
    <w:rsid w:val="007F32DA"/>
    <w:rsid w:val="007F348F"/>
    <w:rsid w:val="007F52C1"/>
    <w:rsid w:val="007F5AD3"/>
    <w:rsid w:val="007F5B44"/>
    <w:rsid w:val="007F6821"/>
    <w:rsid w:val="007F73EE"/>
    <w:rsid w:val="007F7444"/>
    <w:rsid w:val="007F7DEA"/>
    <w:rsid w:val="0080064E"/>
    <w:rsid w:val="0080092D"/>
    <w:rsid w:val="00803651"/>
    <w:rsid w:val="00803C08"/>
    <w:rsid w:val="00812045"/>
    <w:rsid w:val="00812449"/>
    <w:rsid w:val="00812AF8"/>
    <w:rsid w:val="00820292"/>
    <w:rsid w:val="00822FFA"/>
    <w:rsid w:val="00823A26"/>
    <w:rsid w:val="0082495A"/>
    <w:rsid w:val="00824D87"/>
    <w:rsid w:val="00825E02"/>
    <w:rsid w:val="008301EE"/>
    <w:rsid w:val="00831960"/>
    <w:rsid w:val="0083445D"/>
    <w:rsid w:val="0083549C"/>
    <w:rsid w:val="008361D1"/>
    <w:rsid w:val="0083655F"/>
    <w:rsid w:val="00840C46"/>
    <w:rsid w:val="0084217A"/>
    <w:rsid w:val="008426B0"/>
    <w:rsid w:val="00844545"/>
    <w:rsid w:val="008460AA"/>
    <w:rsid w:val="008462DF"/>
    <w:rsid w:val="00846824"/>
    <w:rsid w:val="00847EF3"/>
    <w:rsid w:val="008507AA"/>
    <w:rsid w:val="0085181B"/>
    <w:rsid w:val="008524BE"/>
    <w:rsid w:val="008527D5"/>
    <w:rsid w:val="0085394B"/>
    <w:rsid w:val="00854A66"/>
    <w:rsid w:val="00855D81"/>
    <w:rsid w:val="00860C15"/>
    <w:rsid w:val="00865552"/>
    <w:rsid w:val="00865F67"/>
    <w:rsid w:val="00870926"/>
    <w:rsid w:val="00870945"/>
    <w:rsid w:val="0087283C"/>
    <w:rsid w:val="00875AD8"/>
    <w:rsid w:val="00876AB7"/>
    <w:rsid w:val="008809EB"/>
    <w:rsid w:val="00881488"/>
    <w:rsid w:val="00881CAB"/>
    <w:rsid w:val="00881EC6"/>
    <w:rsid w:val="008821EA"/>
    <w:rsid w:val="008835FC"/>
    <w:rsid w:val="0088630A"/>
    <w:rsid w:val="0089063D"/>
    <w:rsid w:val="008945E7"/>
    <w:rsid w:val="00894815"/>
    <w:rsid w:val="00895DCC"/>
    <w:rsid w:val="00896FC4"/>
    <w:rsid w:val="008A01CA"/>
    <w:rsid w:val="008A029C"/>
    <w:rsid w:val="008A0DE8"/>
    <w:rsid w:val="008A1B79"/>
    <w:rsid w:val="008A1F7F"/>
    <w:rsid w:val="008A2582"/>
    <w:rsid w:val="008A26B6"/>
    <w:rsid w:val="008A2731"/>
    <w:rsid w:val="008A2FC7"/>
    <w:rsid w:val="008A537F"/>
    <w:rsid w:val="008A5D8A"/>
    <w:rsid w:val="008A5EC1"/>
    <w:rsid w:val="008A771E"/>
    <w:rsid w:val="008A7753"/>
    <w:rsid w:val="008B0652"/>
    <w:rsid w:val="008B2074"/>
    <w:rsid w:val="008B4182"/>
    <w:rsid w:val="008B53E0"/>
    <w:rsid w:val="008B6110"/>
    <w:rsid w:val="008B6F47"/>
    <w:rsid w:val="008C07B7"/>
    <w:rsid w:val="008C25D0"/>
    <w:rsid w:val="008C2E1B"/>
    <w:rsid w:val="008C32B8"/>
    <w:rsid w:val="008C4309"/>
    <w:rsid w:val="008C6734"/>
    <w:rsid w:val="008D059F"/>
    <w:rsid w:val="008D1630"/>
    <w:rsid w:val="008E005C"/>
    <w:rsid w:val="008E4E6F"/>
    <w:rsid w:val="008E5275"/>
    <w:rsid w:val="008E5E81"/>
    <w:rsid w:val="008E5E88"/>
    <w:rsid w:val="008F1140"/>
    <w:rsid w:val="008F41C2"/>
    <w:rsid w:val="008F5DCC"/>
    <w:rsid w:val="008F6BC6"/>
    <w:rsid w:val="008F746E"/>
    <w:rsid w:val="00900462"/>
    <w:rsid w:val="00900E67"/>
    <w:rsid w:val="00902038"/>
    <w:rsid w:val="009022D2"/>
    <w:rsid w:val="00902877"/>
    <w:rsid w:val="00905F57"/>
    <w:rsid w:val="00907319"/>
    <w:rsid w:val="009105FB"/>
    <w:rsid w:val="00910766"/>
    <w:rsid w:val="009123A4"/>
    <w:rsid w:val="00912AB1"/>
    <w:rsid w:val="009144FA"/>
    <w:rsid w:val="00914607"/>
    <w:rsid w:val="00914A73"/>
    <w:rsid w:val="00915100"/>
    <w:rsid w:val="00915170"/>
    <w:rsid w:val="009160B8"/>
    <w:rsid w:val="00917F81"/>
    <w:rsid w:val="00922427"/>
    <w:rsid w:val="00923BB5"/>
    <w:rsid w:val="00925051"/>
    <w:rsid w:val="00926A00"/>
    <w:rsid w:val="009272E4"/>
    <w:rsid w:val="00931A9A"/>
    <w:rsid w:val="00933101"/>
    <w:rsid w:val="00933B48"/>
    <w:rsid w:val="00933D5C"/>
    <w:rsid w:val="0093416D"/>
    <w:rsid w:val="00934E67"/>
    <w:rsid w:val="009353EC"/>
    <w:rsid w:val="00935AFF"/>
    <w:rsid w:val="00935B66"/>
    <w:rsid w:val="00936F79"/>
    <w:rsid w:val="00937C9E"/>
    <w:rsid w:val="00937F8B"/>
    <w:rsid w:val="009400C3"/>
    <w:rsid w:val="009411E7"/>
    <w:rsid w:val="00942D1A"/>
    <w:rsid w:val="0094484D"/>
    <w:rsid w:val="00947C01"/>
    <w:rsid w:val="00947D70"/>
    <w:rsid w:val="0095055E"/>
    <w:rsid w:val="00951514"/>
    <w:rsid w:val="00951B5A"/>
    <w:rsid w:val="00951F4C"/>
    <w:rsid w:val="00952DCE"/>
    <w:rsid w:val="00955457"/>
    <w:rsid w:val="009558A4"/>
    <w:rsid w:val="00956157"/>
    <w:rsid w:val="009567CB"/>
    <w:rsid w:val="00962876"/>
    <w:rsid w:val="00963661"/>
    <w:rsid w:val="00970C4F"/>
    <w:rsid w:val="009728A1"/>
    <w:rsid w:val="00973B07"/>
    <w:rsid w:val="0097498F"/>
    <w:rsid w:val="0097617F"/>
    <w:rsid w:val="0097764C"/>
    <w:rsid w:val="00980B25"/>
    <w:rsid w:val="00984393"/>
    <w:rsid w:val="00986281"/>
    <w:rsid w:val="00986C87"/>
    <w:rsid w:val="00990044"/>
    <w:rsid w:val="00990519"/>
    <w:rsid w:val="0099117C"/>
    <w:rsid w:val="00991956"/>
    <w:rsid w:val="00994244"/>
    <w:rsid w:val="009971FC"/>
    <w:rsid w:val="009A4182"/>
    <w:rsid w:val="009A4305"/>
    <w:rsid w:val="009A4C32"/>
    <w:rsid w:val="009A4D7B"/>
    <w:rsid w:val="009A650F"/>
    <w:rsid w:val="009A7A4F"/>
    <w:rsid w:val="009B34F0"/>
    <w:rsid w:val="009B4727"/>
    <w:rsid w:val="009B5CEA"/>
    <w:rsid w:val="009B5F61"/>
    <w:rsid w:val="009B60AC"/>
    <w:rsid w:val="009C013B"/>
    <w:rsid w:val="009C2EAB"/>
    <w:rsid w:val="009C62B0"/>
    <w:rsid w:val="009D10BE"/>
    <w:rsid w:val="009D119A"/>
    <w:rsid w:val="009D2D42"/>
    <w:rsid w:val="009D33F8"/>
    <w:rsid w:val="009D39BB"/>
    <w:rsid w:val="009E1C3E"/>
    <w:rsid w:val="009E5002"/>
    <w:rsid w:val="009F33FC"/>
    <w:rsid w:val="009F606F"/>
    <w:rsid w:val="009F6104"/>
    <w:rsid w:val="009F6738"/>
    <w:rsid w:val="00A007C5"/>
    <w:rsid w:val="00A00C56"/>
    <w:rsid w:val="00A01025"/>
    <w:rsid w:val="00A04B42"/>
    <w:rsid w:val="00A059A2"/>
    <w:rsid w:val="00A06CBB"/>
    <w:rsid w:val="00A0777E"/>
    <w:rsid w:val="00A07DBE"/>
    <w:rsid w:val="00A1073C"/>
    <w:rsid w:val="00A10A69"/>
    <w:rsid w:val="00A15BE1"/>
    <w:rsid w:val="00A1772E"/>
    <w:rsid w:val="00A17D85"/>
    <w:rsid w:val="00A22F27"/>
    <w:rsid w:val="00A24936"/>
    <w:rsid w:val="00A24EE8"/>
    <w:rsid w:val="00A256C0"/>
    <w:rsid w:val="00A25A43"/>
    <w:rsid w:val="00A25B34"/>
    <w:rsid w:val="00A26729"/>
    <w:rsid w:val="00A3090B"/>
    <w:rsid w:val="00A32C84"/>
    <w:rsid w:val="00A3390E"/>
    <w:rsid w:val="00A410E3"/>
    <w:rsid w:val="00A41E3C"/>
    <w:rsid w:val="00A41FD2"/>
    <w:rsid w:val="00A435AA"/>
    <w:rsid w:val="00A47A97"/>
    <w:rsid w:val="00A53959"/>
    <w:rsid w:val="00A56AE6"/>
    <w:rsid w:val="00A60DD1"/>
    <w:rsid w:val="00A6189B"/>
    <w:rsid w:val="00A64CE2"/>
    <w:rsid w:val="00A659EC"/>
    <w:rsid w:val="00A66AD5"/>
    <w:rsid w:val="00A71F6F"/>
    <w:rsid w:val="00A72E9E"/>
    <w:rsid w:val="00A756DB"/>
    <w:rsid w:val="00A759B1"/>
    <w:rsid w:val="00A802AA"/>
    <w:rsid w:val="00A802FB"/>
    <w:rsid w:val="00A8158B"/>
    <w:rsid w:val="00A83576"/>
    <w:rsid w:val="00A84603"/>
    <w:rsid w:val="00A8618B"/>
    <w:rsid w:val="00A86C0D"/>
    <w:rsid w:val="00A904CB"/>
    <w:rsid w:val="00A90506"/>
    <w:rsid w:val="00A90625"/>
    <w:rsid w:val="00A94188"/>
    <w:rsid w:val="00A9418D"/>
    <w:rsid w:val="00AA062F"/>
    <w:rsid w:val="00AA116F"/>
    <w:rsid w:val="00AA16C2"/>
    <w:rsid w:val="00AB3540"/>
    <w:rsid w:val="00AB397B"/>
    <w:rsid w:val="00AB6A1D"/>
    <w:rsid w:val="00AB6E15"/>
    <w:rsid w:val="00AC39B8"/>
    <w:rsid w:val="00AC3F96"/>
    <w:rsid w:val="00AC40EF"/>
    <w:rsid w:val="00AC7E77"/>
    <w:rsid w:val="00AD06F9"/>
    <w:rsid w:val="00AD099B"/>
    <w:rsid w:val="00AD1802"/>
    <w:rsid w:val="00AD3B81"/>
    <w:rsid w:val="00AD6DD8"/>
    <w:rsid w:val="00AE02F5"/>
    <w:rsid w:val="00AE05F0"/>
    <w:rsid w:val="00AE1C7A"/>
    <w:rsid w:val="00AE2168"/>
    <w:rsid w:val="00AE2EC9"/>
    <w:rsid w:val="00AE331C"/>
    <w:rsid w:val="00AE44A8"/>
    <w:rsid w:val="00AE492E"/>
    <w:rsid w:val="00AE4E7D"/>
    <w:rsid w:val="00AE5E20"/>
    <w:rsid w:val="00AF4F2F"/>
    <w:rsid w:val="00AF60AA"/>
    <w:rsid w:val="00AF6892"/>
    <w:rsid w:val="00B04B91"/>
    <w:rsid w:val="00B0591A"/>
    <w:rsid w:val="00B068AF"/>
    <w:rsid w:val="00B06D96"/>
    <w:rsid w:val="00B07408"/>
    <w:rsid w:val="00B1031B"/>
    <w:rsid w:val="00B104A2"/>
    <w:rsid w:val="00B11506"/>
    <w:rsid w:val="00B125C1"/>
    <w:rsid w:val="00B1305D"/>
    <w:rsid w:val="00B172A3"/>
    <w:rsid w:val="00B1749C"/>
    <w:rsid w:val="00B205E9"/>
    <w:rsid w:val="00B206A8"/>
    <w:rsid w:val="00B20DC7"/>
    <w:rsid w:val="00B20EFE"/>
    <w:rsid w:val="00B23093"/>
    <w:rsid w:val="00B24587"/>
    <w:rsid w:val="00B26204"/>
    <w:rsid w:val="00B26CBA"/>
    <w:rsid w:val="00B27780"/>
    <w:rsid w:val="00B27D70"/>
    <w:rsid w:val="00B30768"/>
    <w:rsid w:val="00B3181A"/>
    <w:rsid w:val="00B365C9"/>
    <w:rsid w:val="00B36FB0"/>
    <w:rsid w:val="00B37008"/>
    <w:rsid w:val="00B4005B"/>
    <w:rsid w:val="00B40FA2"/>
    <w:rsid w:val="00B41AD7"/>
    <w:rsid w:val="00B41BB9"/>
    <w:rsid w:val="00B42C87"/>
    <w:rsid w:val="00B43E5E"/>
    <w:rsid w:val="00B45611"/>
    <w:rsid w:val="00B469B7"/>
    <w:rsid w:val="00B475E6"/>
    <w:rsid w:val="00B510CA"/>
    <w:rsid w:val="00B523DF"/>
    <w:rsid w:val="00B526E5"/>
    <w:rsid w:val="00B53075"/>
    <w:rsid w:val="00B534C3"/>
    <w:rsid w:val="00B545EF"/>
    <w:rsid w:val="00B61133"/>
    <w:rsid w:val="00B61ECE"/>
    <w:rsid w:val="00B62416"/>
    <w:rsid w:val="00B62991"/>
    <w:rsid w:val="00B62BD4"/>
    <w:rsid w:val="00B634F0"/>
    <w:rsid w:val="00B654FB"/>
    <w:rsid w:val="00B665CF"/>
    <w:rsid w:val="00B67B75"/>
    <w:rsid w:val="00B67F7B"/>
    <w:rsid w:val="00B707A2"/>
    <w:rsid w:val="00B71165"/>
    <w:rsid w:val="00B71808"/>
    <w:rsid w:val="00B71818"/>
    <w:rsid w:val="00B71DAC"/>
    <w:rsid w:val="00B73031"/>
    <w:rsid w:val="00B743B6"/>
    <w:rsid w:val="00B74DE5"/>
    <w:rsid w:val="00B75F8B"/>
    <w:rsid w:val="00B761AB"/>
    <w:rsid w:val="00B76596"/>
    <w:rsid w:val="00B7690B"/>
    <w:rsid w:val="00B802D8"/>
    <w:rsid w:val="00B820D7"/>
    <w:rsid w:val="00B825B9"/>
    <w:rsid w:val="00B83E00"/>
    <w:rsid w:val="00B87101"/>
    <w:rsid w:val="00B90AAD"/>
    <w:rsid w:val="00B9298D"/>
    <w:rsid w:val="00B93AC5"/>
    <w:rsid w:val="00BA0894"/>
    <w:rsid w:val="00BA0DA1"/>
    <w:rsid w:val="00BA2144"/>
    <w:rsid w:val="00BA2949"/>
    <w:rsid w:val="00BA2C78"/>
    <w:rsid w:val="00BA35A5"/>
    <w:rsid w:val="00BA3F0D"/>
    <w:rsid w:val="00BA4E19"/>
    <w:rsid w:val="00BB0282"/>
    <w:rsid w:val="00BB036B"/>
    <w:rsid w:val="00BB2919"/>
    <w:rsid w:val="00BB38E9"/>
    <w:rsid w:val="00BB3BA5"/>
    <w:rsid w:val="00BB6165"/>
    <w:rsid w:val="00BC1635"/>
    <w:rsid w:val="00BC2A1B"/>
    <w:rsid w:val="00BC37DD"/>
    <w:rsid w:val="00BC5ADF"/>
    <w:rsid w:val="00BC71A6"/>
    <w:rsid w:val="00BD2977"/>
    <w:rsid w:val="00BD3A4B"/>
    <w:rsid w:val="00BD5377"/>
    <w:rsid w:val="00BD5AEB"/>
    <w:rsid w:val="00BD6297"/>
    <w:rsid w:val="00BD7C09"/>
    <w:rsid w:val="00BE2099"/>
    <w:rsid w:val="00BE2276"/>
    <w:rsid w:val="00BE28A8"/>
    <w:rsid w:val="00BE395F"/>
    <w:rsid w:val="00BE4716"/>
    <w:rsid w:val="00BE4B9F"/>
    <w:rsid w:val="00BE5117"/>
    <w:rsid w:val="00BE575E"/>
    <w:rsid w:val="00BF0485"/>
    <w:rsid w:val="00BF0AC4"/>
    <w:rsid w:val="00BF0F6E"/>
    <w:rsid w:val="00BF25C5"/>
    <w:rsid w:val="00BF281A"/>
    <w:rsid w:val="00BF514A"/>
    <w:rsid w:val="00BF6570"/>
    <w:rsid w:val="00BF7E2E"/>
    <w:rsid w:val="00C03C74"/>
    <w:rsid w:val="00C0405B"/>
    <w:rsid w:val="00C04308"/>
    <w:rsid w:val="00C04D8B"/>
    <w:rsid w:val="00C05B56"/>
    <w:rsid w:val="00C07088"/>
    <w:rsid w:val="00C10AF9"/>
    <w:rsid w:val="00C1208D"/>
    <w:rsid w:val="00C12C05"/>
    <w:rsid w:val="00C132BE"/>
    <w:rsid w:val="00C13BD5"/>
    <w:rsid w:val="00C1553B"/>
    <w:rsid w:val="00C15C1D"/>
    <w:rsid w:val="00C1660F"/>
    <w:rsid w:val="00C212E8"/>
    <w:rsid w:val="00C22468"/>
    <w:rsid w:val="00C232F1"/>
    <w:rsid w:val="00C23983"/>
    <w:rsid w:val="00C32DF6"/>
    <w:rsid w:val="00C331FD"/>
    <w:rsid w:val="00C33E87"/>
    <w:rsid w:val="00C34A96"/>
    <w:rsid w:val="00C35B5A"/>
    <w:rsid w:val="00C44AA7"/>
    <w:rsid w:val="00C5063C"/>
    <w:rsid w:val="00C52678"/>
    <w:rsid w:val="00C52ACD"/>
    <w:rsid w:val="00C534D0"/>
    <w:rsid w:val="00C53763"/>
    <w:rsid w:val="00C544BD"/>
    <w:rsid w:val="00C5516A"/>
    <w:rsid w:val="00C553B9"/>
    <w:rsid w:val="00C55E34"/>
    <w:rsid w:val="00C6054D"/>
    <w:rsid w:val="00C6075D"/>
    <w:rsid w:val="00C60FAE"/>
    <w:rsid w:val="00C61FE5"/>
    <w:rsid w:val="00C62200"/>
    <w:rsid w:val="00C62B6A"/>
    <w:rsid w:val="00C64204"/>
    <w:rsid w:val="00C66B3D"/>
    <w:rsid w:val="00C70006"/>
    <w:rsid w:val="00C70367"/>
    <w:rsid w:val="00C705B3"/>
    <w:rsid w:val="00C70E89"/>
    <w:rsid w:val="00C723D1"/>
    <w:rsid w:val="00C7242F"/>
    <w:rsid w:val="00C73658"/>
    <w:rsid w:val="00C7485E"/>
    <w:rsid w:val="00C75626"/>
    <w:rsid w:val="00C76A71"/>
    <w:rsid w:val="00C773EF"/>
    <w:rsid w:val="00C77E60"/>
    <w:rsid w:val="00C82BA4"/>
    <w:rsid w:val="00C84066"/>
    <w:rsid w:val="00C85C86"/>
    <w:rsid w:val="00C85F9A"/>
    <w:rsid w:val="00C86362"/>
    <w:rsid w:val="00C873E0"/>
    <w:rsid w:val="00C87496"/>
    <w:rsid w:val="00C875F1"/>
    <w:rsid w:val="00C906F2"/>
    <w:rsid w:val="00C915F1"/>
    <w:rsid w:val="00C976BA"/>
    <w:rsid w:val="00CA0579"/>
    <w:rsid w:val="00CA0DEF"/>
    <w:rsid w:val="00CA2B53"/>
    <w:rsid w:val="00CA3F3B"/>
    <w:rsid w:val="00CA6E91"/>
    <w:rsid w:val="00CB054D"/>
    <w:rsid w:val="00CB0B19"/>
    <w:rsid w:val="00CB1771"/>
    <w:rsid w:val="00CB2045"/>
    <w:rsid w:val="00CB33D9"/>
    <w:rsid w:val="00CB33DE"/>
    <w:rsid w:val="00CB3BF2"/>
    <w:rsid w:val="00CB6C84"/>
    <w:rsid w:val="00CC21C8"/>
    <w:rsid w:val="00CC48B0"/>
    <w:rsid w:val="00CC61F5"/>
    <w:rsid w:val="00CC7134"/>
    <w:rsid w:val="00CD08BD"/>
    <w:rsid w:val="00CD1C32"/>
    <w:rsid w:val="00CD2315"/>
    <w:rsid w:val="00CD2AF6"/>
    <w:rsid w:val="00CD41AB"/>
    <w:rsid w:val="00CD4725"/>
    <w:rsid w:val="00CD6DD3"/>
    <w:rsid w:val="00CD70A0"/>
    <w:rsid w:val="00CD7CAA"/>
    <w:rsid w:val="00CE0244"/>
    <w:rsid w:val="00CE18C6"/>
    <w:rsid w:val="00CE2B01"/>
    <w:rsid w:val="00CE2DC2"/>
    <w:rsid w:val="00CE346B"/>
    <w:rsid w:val="00CE406B"/>
    <w:rsid w:val="00CE696B"/>
    <w:rsid w:val="00CF0071"/>
    <w:rsid w:val="00CF06DE"/>
    <w:rsid w:val="00CF1E34"/>
    <w:rsid w:val="00CF4DAE"/>
    <w:rsid w:val="00CF50A8"/>
    <w:rsid w:val="00CF6124"/>
    <w:rsid w:val="00CF63C5"/>
    <w:rsid w:val="00D04CD0"/>
    <w:rsid w:val="00D05131"/>
    <w:rsid w:val="00D055BB"/>
    <w:rsid w:val="00D0593C"/>
    <w:rsid w:val="00D05DD6"/>
    <w:rsid w:val="00D07911"/>
    <w:rsid w:val="00D11554"/>
    <w:rsid w:val="00D115E5"/>
    <w:rsid w:val="00D11D5C"/>
    <w:rsid w:val="00D128F2"/>
    <w:rsid w:val="00D147ED"/>
    <w:rsid w:val="00D150CB"/>
    <w:rsid w:val="00D1585C"/>
    <w:rsid w:val="00D15B94"/>
    <w:rsid w:val="00D17086"/>
    <w:rsid w:val="00D17772"/>
    <w:rsid w:val="00D17B39"/>
    <w:rsid w:val="00D21BC2"/>
    <w:rsid w:val="00D21E6C"/>
    <w:rsid w:val="00D24685"/>
    <w:rsid w:val="00D279A8"/>
    <w:rsid w:val="00D27D2A"/>
    <w:rsid w:val="00D31F1F"/>
    <w:rsid w:val="00D32D1B"/>
    <w:rsid w:val="00D33EBD"/>
    <w:rsid w:val="00D34A61"/>
    <w:rsid w:val="00D36213"/>
    <w:rsid w:val="00D41466"/>
    <w:rsid w:val="00D41CAB"/>
    <w:rsid w:val="00D4489F"/>
    <w:rsid w:val="00D44F9A"/>
    <w:rsid w:val="00D45633"/>
    <w:rsid w:val="00D45D17"/>
    <w:rsid w:val="00D51984"/>
    <w:rsid w:val="00D546C7"/>
    <w:rsid w:val="00D54D67"/>
    <w:rsid w:val="00D55B72"/>
    <w:rsid w:val="00D56CB0"/>
    <w:rsid w:val="00D60A77"/>
    <w:rsid w:val="00D60B8F"/>
    <w:rsid w:val="00D62D64"/>
    <w:rsid w:val="00D65DA0"/>
    <w:rsid w:val="00D719CC"/>
    <w:rsid w:val="00D73928"/>
    <w:rsid w:val="00D73CAB"/>
    <w:rsid w:val="00D82062"/>
    <w:rsid w:val="00D845E6"/>
    <w:rsid w:val="00D85384"/>
    <w:rsid w:val="00D9150F"/>
    <w:rsid w:val="00D91665"/>
    <w:rsid w:val="00D940E3"/>
    <w:rsid w:val="00D94982"/>
    <w:rsid w:val="00D94C36"/>
    <w:rsid w:val="00D953FB"/>
    <w:rsid w:val="00D95E28"/>
    <w:rsid w:val="00D96D3F"/>
    <w:rsid w:val="00D976DF"/>
    <w:rsid w:val="00D977FC"/>
    <w:rsid w:val="00DA07BE"/>
    <w:rsid w:val="00DA08B9"/>
    <w:rsid w:val="00DA2AA0"/>
    <w:rsid w:val="00DA55D8"/>
    <w:rsid w:val="00DA5B93"/>
    <w:rsid w:val="00DA6DE2"/>
    <w:rsid w:val="00DB1483"/>
    <w:rsid w:val="00DB3386"/>
    <w:rsid w:val="00DB52D1"/>
    <w:rsid w:val="00DB57AF"/>
    <w:rsid w:val="00DB5C4F"/>
    <w:rsid w:val="00DB6E0D"/>
    <w:rsid w:val="00DB7C38"/>
    <w:rsid w:val="00DC0B1D"/>
    <w:rsid w:val="00DC154B"/>
    <w:rsid w:val="00DC2259"/>
    <w:rsid w:val="00DC2721"/>
    <w:rsid w:val="00DC3C73"/>
    <w:rsid w:val="00DC42E4"/>
    <w:rsid w:val="00DC4572"/>
    <w:rsid w:val="00DC6CAF"/>
    <w:rsid w:val="00DD052B"/>
    <w:rsid w:val="00DD2EDC"/>
    <w:rsid w:val="00DD529E"/>
    <w:rsid w:val="00DD573C"/>
    <w:rsid w:val="00DD6B5D"/>
    <w:rsid w:val="00DD6FFA"/>
    <w:rsid w:val="00DD7796"/>
    <w:rsid w:val="00DD7EA6"/>
    <w:rsid w:val="00DE0D16"/>
    <w:rsid w:val="00DE2C49"/>
    <w:rsid w:val="00DE4628"/>
    <w:rsid w:val="00DE5E56"/>
    <w:rsid w:val="00DE61A7"/>
    <w:rsid w:val="00DE6E9E"/>
    <w:rsid w:val="00DF162C"/>
    <w:rsid w:val="00DF285E"/>
    <w:rsid w:val="00DF3344"/>
    <w:rsid w:val="00DF4EE1"/>
    <w:rsid w:val="00DF5734"/>
    <w:rsid w:val="00DF5FE6"/>
    <w:rsid w:val="00DF7C33"/>
    <w:rsid w:val="00E00B74"/>
    <w:rsid w:val="00E06F12"/>
    <w:rsid w:val="00E101FD"/>
    <w:rsid w:val="00E108E1"/>
    <w:rsid w:val="00E16605"/>
    <w:rsid w:val="00E2036E"/>
    <w:rsid w:val="00E20B32"/>
    <w:rsid w:val="00E20F52"/>
    <w:rsid w:val="00E22D90"/>
    <w:rsid w:val="00E27C76"/>
    <w:rsid w:val="00E30C49"/>
    <w:rsid w:val="00E313C7"/>
    <w:rsid w:val="00E34707"/>
    <w:rsid w:val="00E35881"/>
    <w:rsid w:val="00E4165C"/>
    <w:rsid w:val="00E4285E"/>
    <w:rsid w:val="00E451CC"/>
    <w:rsid w:val="00E45721"/>
    <w:rsid w:val="00E4596C"/>
    <w:rsid w:val="00E46E87"/>
    <w:rsid w:val="00E47773"/>
    <w:rsid w:val="00E47E65"/>
    <w:rsid w:val="00E50A16"/>
    <w:rsid w:val="00E51696"/>
    <w:rsid w:val="00E51C84"/>
    <w:rsid w:val="00E556DC"/>
    <w:rsid w:val="00E63103"/>
    <w:rsid w:val="00E6495C"/>
    <w:rsid w:val="00E64B4A"/>
    <w:rsid w:val="00E70161"/>
    <w:rsid w:val="00E70842"/>
    <w:rsid w:val="00E70A9A"/>
    <w:rsid w:val="00E71AF9"/>
    <w:rsid w:val="00E72218"/>
    <w:rsid w:val="00E72570"/>
    <w:rsid w:val="00E73FDB"/>
    <w:rsid w:val="00E767C6"/>
    <w:rsid w:val="00E77267"/>
    <w:rsid w:val="00E800D1"/>
    <w:rsid w:val="00E8300E"/>
    <w:rsid w:val="00E83861"/>
    <w:rsid w:val="00E8578B"/>
    <w:rsid w:val="00E85E2D"/>
    <w:rsid w:val="00E86944"/>
    <w:rsid w:val="00E87773"/>
    <w:rsid w:val="00E8799A"/>
    <w:rsid w:val="00E87BDE"/>
    <w:rsid w:val="00E944F1"/>
    <w:rsid w:val="00E96805"/>
    <w:rsid w:val="00E96CFB"/>
    <w:rsid w:val="00E97704"/>
    <w:rsid w:val="00EA0927"/>
    <w:rsid w:val="00EA10DF"/>
    <w:rsid w:val="00EA1266"/>
    <w:rsid w:val="00EA24BA"/>
    <w:rsid w:val="00EA446C"/>
    <w:rsid w:val="00EA5D26"/>
    <w:rsid w:val="00EA7321"/>
    <w:rsid w:val="00EA7E5A"/>
    <w:rsid w:val="00EB05C7"/>
    <w:rsid w:val="00EB5811"/>
    <w:rsid w:val="00EC0906"/>
    <w:rsid w:val="00EC1D4A"/>
    <w:rsid w:val="00EC1D9A"/>
    <w:rsid w:val="00EC2585"/>
    <w:rsid w:val="00EC2A1D"/>
    <w:rsid w:val="00EC6DF1"/>
    <w:rsid w:val="00ED22A3"/>
    <w:rsid w:val="00ED3602"/>
    <w:rsid w:val="00ED48E5"/>
    <w:rsid w:val="00ED64BE"/>
    <w:rsid w:val="00ED6F96"/>
    <w:rsid w:val="00ED7C0C"/>
    <w:rsid w:val="00EE15CE"/>
    <w:rsid w:val="00EE2930"/>
    <w:rsid w:val="00EE2FED"/>
    <w:rsid w:val="00EE36B2"/>
    <w:rsid w:val="00EE5EDE"/>
    <w:rsid w:val="00EE5F91"/>
    <w:rsid w:val="00EF1B74"/>
    <w:rsid w:val="00EF1B8B"/>
    <w:rsid w:val="00EF2A2E"/>
    <w:rsid w:val="00EF62F8"/>
    <w:rsid w:val="00EF6771"/>
    <w:rsid w:val="00EF7990"/>
    <w:rsid w:val="00F023BF"/>
    <w:rsid w:val="00F03014"/>
    <w:rsid w:val="00F0311C"/>
    <w:rsid w:val="00F03D78"/>
    <w:rsid w:val="00F066CB"/>
    <w:rsid w:val="00F07C08"/>
    <w:rsid w:val="00F07E27"/>
    <w:rsid w:val="00F13CCA"/>
    <w:rsid w:val="00F17475"/>
    <w:rsid w:val="00F17A2F"/>
    <w:rsid w:val="00F2096C"/>
    <w:rsid w:val="00F21B7B"/>
    <w:rsid w:val="00F23304"/>
    <w:rsid w:val="00F2641E"/>
    <w:rsid w:val="00F26923"/>
    <w:rsid w:val="00F26EDA"/>
    <w:rsid w:val="00F308EE"/>
    <w:rsid w:val="00F32B03"/>
    <w:rsid w:val="00F34A68"/>
    <w:rsid w:val="00F354F0"/>
    <w:rsid w:val="00F35FA7"/>
    <w:rsid w:val="00F36AF5"/>
    <w:rsid w:val="00F37059"/>
    <w:rsid w:val="00F377B7"/>
    <w:rsid w:val="00F41CCD"/>
    <w:rsid w:val="00F432DB"/>
    <w:rsid w:val="00F45999"/>
    <w:rsid w:val="00F4724C"/>
    <w:rsid w:val="00F5278F"/>
    <w:rsid w:val="00F55646"/>
    <w:rsid w:val="00F6138A"/>
    <w:rsid w:val="00F61438"/>
    <w:rsid w:val="00F61548"/>
    <w:rsid w:val="00F623DD"/>
    <w:rsid w:val="00F635BD"/>
    <w:rsid w:val="00F64238"/>
    <w:rsid w:val="00F643F8"/>
    <w:rsid w:val="00F6533F"/>
    <w:rsid w:val="00F656C7"/>
    <w:rsid w:val="00F70554"/>
    <w:rsid w:val="00F70AE3"/>
    <w:rsid w:val="00F73B15"/>
    <w:rsid w:val="00F73D95"/>
    <w:rsid w:val="00F74C1E"/>
    <w:rsid w:val="00F75370"/>
    <w:rsid w:val="00F8050F"/>
    <w:rsid w:val="00F81433"/>
    <w:rsid w:val="00F81C70"/>
    <w:rsid w:val="00F838AB"/>
    <w:rsid w:val="00F8678B"/>
    <w:rsid w:val="00F9026A"/>
    <w:rsid w:val="00F905E6"/>
    <w:rsid w:val="00F9093D"/>
    <w:rsid w:val="00F90A13"/>
    <w:rsid w:val="00F919EF"/>
    <w:rsid w:val="00F92599"/>
    <w:rsid w:val="00F92F44"/>
    <w:rsid w:val="00F94CB8"/>
    <w:rsid w:val="00F94D68"/>
    <w:rsid w:val="00F95DC0"/>
    <w:rsid w:val="00F97676"/>
    <w:rsid w:val="00FA0AB7"/>
    <w:rsid w:val="00FA2DF2"/>
    <w:rsid w:val="00FA428F"/>
    <w:rsid w:val="00FA5D34"/>
    <w:rsid w:val="00FA60B4"/>
    <w:rsid w:val="00FA75CA"/>
    <w:rsid w:val="00FB134E"/>
    <w:rsid w:val="00FB30F4"/>
    <w:rsid w:val="00FB5F01"/>
    <w:rsid w:val="00FC39EC"/>
    <w:rsid w:val="00FC420A"/>
    <w:rsid w:val="00FC4E0A"/>
    <w:rsid w:val="00FC61B8"/>
    <w:rsid w:val="00FD0D4F"/>
    <w:rsid w:val="00FD1A90"/>
    <w:rsid w:val="00FD249F"/>
    <w:rsid w:val="00FD3FAC"/>
    <w:rsid w:val="00FD5403"/>
    <w:rsid w:val="00FE0DA1"/>
    <w:rsid w:val="00FE1DE0"/>
    <w:rsid w:val="00FE2279"/>
    <w:rsid w:val="00FE4853"/>
    <w:rsid w:val="00FE7B2C"/>
    <w:rsid w:val="00FF0E27"/>
    <w:rsid w:val="00FF1D15"/>
    <w:rsid w:val="00FF48E9"/>
    <w:rsid w:val="00FF7358"/>
    <w:rsid w:val="00FF7BA5"/>
    <w:rsid w:val="0324C243"/>
    <w:rsid w:val="048DE82A"/>
    <w:rsid w:val="0E56EF6D"/>
    <w:rsid w:val="0E9606FE"/>
    <w:rsid w:val="0ED1B770"/>
    <w:rsid w:val="11E5BE92"/>
    <w:rsid w:val="12163C67"/>
    <w:rsid w:val="125A7088"/>
    <w:rsid w:val="12F4B3EA"/>
    <w:rsid w:val="141715B1"/>
    <w:rsid w:val="16584434"/>
    <w:rsid w:val="17B2210A"/>
    <w:rsid w:val="18162545"/>
    <w:rsid w:val="19778BF7"/>
    <w:rsid w:val="19B1F5A6"/>
    <w:rsid w:val="1A7F43EA"/>
    <w:rsid w:val="1B7860EA"/>
    <w:rsid w:val="1CAB922D"/>
    <w:rsid w:val="1CC75290"/>
    <w:rsid w:val="1DB163CB"/>
    <w:rsid w:val="1DB7FAD4"/>
    <w:rsid w:val="1F42FD5F"/>
    <w:rsid w:val="2051D73D"/>
    <w:rsid w:val="20D18F1A"/>
    <w:rsid w:val="20DB7991"/>
    <w:rsid w:val="21403A7D"/>
    <w:rsid w:val="218B1C73"/>
    <w:rsid w:val="2195DAF3"/>
    <w:rsid w:val="2296CD9C"/>
    <w:rsid w:val="22DC0ADE"/>
    <w:rsid w:val="243231F8"/>
    <w:rsid w:val="27010D44"/>
    <w:rsid w:val="272B0073"/>
    <w:rsid w:val="29F7F989"/>
    <w:rsid w:val="2A2373F3"/>
    <w:rsid w:val="2CCB5184"/>
    <w:rsid w:val="2D36F4A8"/>
    <w:rsid w:val="2D43F9BE"/>
    <w:rsid w:val="2F7A9E98"/>
    <w:rsid w:val="34F9B0B1"/>
    <w:rsid w:val="36958112"/>
    <w:rsid w:val="3891C4B5"/>
    <w:rsid w:val="3B5E48E7"/>
    <w:rsid w:val="3C16A26F"/>
    <w:rsid w:val="3CD5B6AB"/>
    <w:rsid w:val="3D12527E"/>
    <w:rsid w:val="3E214795"/>
    <w:rsid w:val="3E4CB365"/>
    <w:rsid w:val="40BAB86A"/>
    <w:rsid w:val="41FCF9D4"/>
    <w:rsid w:val="42452CBA"/>
    <w:rsid w:val="4581F144"/>
    <w:rsid w:val="4871F56E"/>
    <w:rsid w:val="487532B3"/>
    <w:rsid w:val="4985FE67"/>
    <w:rsid w:val="4D0F597E"/>
    <w:rsid w:val="4D5AC180"/>
    <w:rsid w:val="4E68545D"/>
    <w:rsid w:val="4F0B949A"/>
    <w:rsid w:val="508A95E1"/>
    <w:rsid w:val="50D3B295"/>
    <w:rsid w:val="523BA665"/>
    <w:rsid w:val="52652DF7"/>
    <w:rsid w:val="5351A24C"/>
    <w:rsid w:val="54E71AE4"/>
    <w:rsid w:val="562AEA20"/>
    <w:rsid w:val="56A676AE"/>
    <w:rsid w:val="579DD862"/>
    <w:rsid w:val="581C88D8"/>
    <w:rsid w:val="597BFB9C"/>
    <w:rsid w:val="5A281F80"/>
    <w:rsid w:val="61417453"/>
    <w:rsid w:val="6214A050"/>
    <w:rsid w:val="62ADE136"/>
    <w:rsid w:val="674F75E0"/>
    <w:rsid w:val="6873FDC2"/>
    <w:rsid w:val="6C74BD52"/>
    <w:rsid w:val="6F4F4F99"/>
    <w:rsid w:val="70F4D807"/>
    <w:rsid w:val="72A0FCDB"/>
    <w:rsid w:val="7367CA9A"/>
    <w:rsid w:val="760CAE5B"/>
    <w:rsid w:val="783D6ED7"/>
    <w:rsid w:val="79720D0A"/>
    <w:rsid w:val="7B528524"/>
    <w:rsid w:val="7B7F0F8C"/>
    <w:rsid w:val="7C798A6D"/>
    <w:rsid w:val="7D8C7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C432F7"/>
  <w15:docId w15:val="{F9A6808D-1E8A-4641-9B3A-2C15BCF6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8"/>
    <w:rPr>
      <w:sz w:val="24"/>
      <w:szCs w:val="24"/>
    </w:rPr>
  </w:style>
  <w:style w:type="paragraph" w:styleId="Heading1">
    <w:name w:val="heading 1"/>
    <w:basedOn w:val="Normal"/>
    <w:next w:val="Normal"/>
    <w:link w:val="Heading1Char"/>
    <w:qFormat/>
    <w:rsid w:val="003007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B545E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41CAB"/>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D41CAB"/>
    <w:pPr>
      <w:tabs>
        <w:tab w:val="center" w:pos="4320"/>
        <w:tab w:val="right" w:pos="8640"/>
      </w:tabs>
    </w:pPr>
  </w:style>
  <w:style w:type="paragraph" w:styleId="Footer">
    <w:name w:val="footer"/>
    <w:basedOn w:val="Normal"/>
    <w:link w:val="FooterChar"/>
    <w:uiPriority w:val="99"/>
    <w:rsid w:val="00D41CAB"/>
    <w:pPr>
      <w:tabs>
        <w:tab w:val="center" w:pos="4320"/>
        <w:tab w:val="right" w:pos="8640"/>
      </w:tabs>
    </w:pPr>
  </w:style>
  <w:style w:type="character" w:styleId="PageNumber">
    <w:name w:val="page number"/>
    <w:basedOn w:val="DefaultParagraphFont"/>
    <w:rsid w:val="00D41CAB"/>
  </w:style>
  <w:style w:type="paragraph" w:styleId="HTMLPreformatted">
    <w:name w:val="HTML Preformatted"/>
    <w:basedOn w:val="Normal"/>
    <w:rsid w:val="00D4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EE15CE"/>
    <w:rPr>
      <w:rFonts w:ascii="Tahoma" w:hAnsi="Tahoma" w:cs="Tahoma"/>
      <w:sz w:val="16"/>
      <w:szCs w:val="16"/>
    </w:rPr>
  </w:style>
  <w:style w:type="character" w:styleId="Hyperlink">
    <w:name w:val="Hyperlink"/>
    <w:basedOn w:val="DefaultParagraphFont"/>
    <w:rsid w:val="002C4076"/>
    <w:rPr>
      <w:color w:val="0000FF"/>
      <w:u w:val="single"/>
    </w:rPr>
  </w:style>
  <w:style w:type="character" w:styleId="Strong">
    <w:name w:val="Strong"/>
    <w:basedOn w:val="DefaultParagraphFont"/>
    <w:uiPriority w:val="22"/>
    <w:qFormat/>
    <w:rsid w:val="00146233"/>
    <w:rPr>
      <w:b/>
      <w:bCs/>
    </w:rPr>
  </w:style>
  <w:style w:type="paragraph" w:customStyle="1" w:styleId="Default">
    <w:name w:val="Default"/>
    <w:rsid w:val="000F608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84603"/>
    <w:pPr>
      <w:ind w:left="720"/>
      <w:contextualSpacing/>
    </w:pPr>
  </w:style>
  <w:style w:type="paragraph" w:styleId="NoSpacing">
    <w:name w:val="No Spacing"/>
    <w:uiPriority w:val="1"/>
    <w:qFormat/>
    <w:rsid w:val="005D58D4"/>
    <w:rPr>
      <w:rFonts w:asciiTheme="minorHAnsi" w:eastAsiaTheme="minorHAnsi" w:hAnsiTheme="minorHAnsi" w:cstheme="minorBidi"/>
      <w:sz w:val="22"/>
      <w:szCs w:val="22"/>
    </w:rPr>
  </w:style>
  <w:style w:type="character" w:styleId="FollowedHyperlink">
    <w:name w:val="FollowedHyperlink"/>
    <w:basedOn w:val="DefaultParagraphFont"/>
    <w:rsid w:val="00D21E6C"/>
    <w:rPr>
      <w:color w:val="800080" w:themeColor="followedHyperlink"/>
      <w:u w:val="single"/>
    </w:rPr>
  </w:style>
  <w:style w:type="character" w:customStyle="1" w:styleId="FooterChar">
    <w:name w:val="Footer Char"/>
    <w:basedOn w:val="DefaultParagraphFont"/>
    <w:link w:val="Footer"/>
    <w:uiPriority w:val="99"/>
    <w:rsid w:val="00C875F1"/>
    <w:rPr>
      <w:sz w:val="24"/>
      <w:szCs w:val="24"/>
    </w:rPr>
  </w:style>
  <w:style w:type="character" w:customStyle="1" w:styleId="Heading1Char">
    <w:name w:val="Heading 1 Char"/>
    <w:basedOn w:val="DefaultParagraphFont"/>
    <w:link w:val="Heading1"/>
    <w:rsid w:val="0030074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273790"/>
    <w:rPr>
      <w:sz w:val="16"/>
      <w:szCs w:val="16"/>
    </w:rPr>
  </w:style>
  <w:style w:type="paragraph" w:styleId="CommentText">
    <w:name w:val="annotation text"/>
    <w:basedOn w:val="Normal"/>
    <w:link w:val="CommentTextChar"/>
    <w:unhideWhenUsed/>
    <w:rsid w:val="00273790"/>
    <w:rPr>
      <w:sz w:val="20"/>
      <w:szCs w:val="20"/>
    </w:rPr>
  </w:style>
  <w:style w:type="character" w:customStyle="1" w:styleId="CommentTextChar">
    <w:name w:val="Comment Text Char"/>
    <w:basedOn w:val="DefaultParagraphFont"/>
    <w:link w:val="CommentText"/>
    <w:rsid w:val="00273790"/>
  </w:style>
  <w:style w:type="paragraph" w:styleId="CommentSubject">
    <w:name w:val="annotation subject"/>
    <w:basedOn w:val="CommentText"/>
    <w:next w:val="CommentText"/>
    <w:link w:val="CommentSubjectChar"/>
    <w:semiHidden/>
    <w:unhideWhenUsed/>
    <w:rsid w:val="00273790"/>
    <w:rPr>
      <w:b/>
      <w:bCs/>
    </w:rPr>
  </w:style>
  <w:style w:type="character" w:customStyle="1" w:styleId="CommentSubjectChar">
    <w:name w:val="Comment Subject Char"/>
    <w:basedOn w:val="CommentTextChar"/>
    <w:link w:val="CommentSubject"/>
    <w:semiHidden/>
    <w:rsid w:val="00273790"/>
    <w:rPr>
      <w:b/>
      <w:bCs/>
    </w:rPr>
  </w:style>
  <w:style w:type="paragraph" w:styleId="Revision">
    <w:name w:val="Revision"/>
    <w:hidden/>
    <w:uiPriority w:val="99"/>
    <w:semiHidden/>
    <w:rsid w:val="008B53E0"/>
    <w:rPr>
      <w:sz w:val="24"/>
      <w:szCs w:val="24"/>
    </w:rPr>
  </w:style>
  <w:style w:type="character" w:styleId="UnresolvedMention">
    <w:name w:val="Unresolved Mention"/>
    <w:basedOn w:val="DefaultParagraphFont"/>
    <w:uiPriority w:val="99"/>
    <w:semiHidden/>
    <w:unhideWhenUsed/>
    <w:rsid w:val="00060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86877">
      <w:bodyDiv w:val="1"/>
      <w:marLeft w:val="0"/>
      <w:marRight w:val="0"/>
      <w:marTop w:val="0"/>
      <w:marBottom w:val="0"/>
      <w:divBdr>
        <w:top w:val="none" w:sz="0" w:space="0" w:color="auto"/>
        <w:left w:val="none" w:sz="0" w:space="0" w:color="auto"/>
        <w:bottom w:val="none" w:sz="0" w:space="0" w:color="auto"/>
        <w:right w:val="none" w:sz="0" w:space="0" w:color="auto"/>
      </w:divBdr>
    </w:div>
    <w:div w:id="257257750">
      <w:bodyDiv w:val="1"/>
      <w:marLeft w:val="0"/>
      <w:marRight w:val="0"/>
      <w:marTop w:val="0"/>
      <w:marBottom w:val="0"/>
      <w:divBdr>
        <w:top w:val="none" w:sz="0" w:space="0" w:color="auto"/>
        <w:left w:val="none" w:sz="0" w:space="0" w:color="auto"/>
        <w:bottom w:val="none" w:sz="0" w:space="0" w:color="auto"/>
        <w:right w:val="none" w:sz="0" w:space="0" w:color="auto"/>
      </w:divBdr>
    </w:div>
    <w:div w:id="261107752">
      <w:bodyDiv w:val="1"/>
      <w:marLeft w:val="0"/>
      <w:marRight w:val="0"/>
      <w:marTop w:val="0"/>
      <w:marBottom w:val="0"/>
      <w:divBdr>
        <w:top w:val="none" w:sz="0" w:space="0" w:color="auto"/>
        <w:left w:val="none" w:sz="0" w:space="0" w:color="auto"/>
        <w:bottom w:val="none" w:sz="0" w:space="0" w:color="auto"/>
        <w:right w:val="none" w:sz="0" w:space="0" w:color="auto"/>
      </w:divBdr>
    </w:div>
    <w:div w:id="285166551">
      <w:bodyDiv w:val="1"/>
      <w:marLeft w:val="0"/>
      <w:marRight w:val="0"/>
      <w:marTop w:val="0"/>
      <w:marBottom w:val="0"/>
      <w:divBdr>
        <w:top w:val="none" w:sz="0" w:space="0" w:color="auto"/>
        <w:left w:val="none" w:sz="0" w:space="0" w:color="auto"/>
        <w:bottom w:val="none" w:sz="0" w:space="0" w:color="auto"/>
        <w:right w:val="none" w:sz="0" w:space="0" w:color="auto"/>
      </w:divBdr>
    </w:div>
    <w:div w:id="524640316">
      <w:bodyDiv w:val="1"/>
      <w:marLeft w:val="0"/>
      <w:marRight w:val="0"/>
      <w:marTop w:val="0"/>
      <w:marBottom w:val="0"/>
      <w:divBdr>
        <w:top w:val="none" w:sz="0" w:space="0" w:color="auto"/>
        <w:left w:val="none" w:sz="0" w:space="0" w:color="auto"/>
        <w:bottom w:val="none" w:sz="0" w:space="0" w:color="auto"/>
        <w:right w:val="none" w:sz="0" w:space="0" w:color="auto"/>
      </w:divBdr>
    </w:div>
    <w:div w:id="652567432">
      <w:bodyDiv w:val="1"/>
      <w:marLeft w:val="0"/>
      <w:marRight w:val="0"/>
      <w:marTop w:val="0"/>
      <w:marBottom w:val="0"/>
      <w:divBdr>
        <w:top w:val="none" w:sz="0" w:space="0" w:color="auto"/>
        <w:left w:val="none" w:sz="0" w:space="0" w:color="auto"/>
        <w:bottom w:val="none" w:sz="0" w:space="0" w:color="auto"/>
        <w:right w:val="none" w:sz="0" w:space="0" w:color="auto"/>
      </w:divBdr>
    </w:div>
    <w:div w:id="768046613">
      <w:bodyDiv w:val="1"/>
      <w:marLeft w:val="0"/>
      <w:marRight w:val="0"/>
      <w:marTop w:val="0"/>
      <w:marBottom w:val="0"/>
      <w:divBdr>
        <w:top w:val="none" w:sz="0" w:space="0" w:color="auto"/>
        <w:left w:val="none" w:sz="0" w:space="0" w:color="auto"/>
        <w:bottom w:val="none" w:sz="0" w:space="0" w:color="auto"/>
        <w:right w:val="none" w:sz="0" w:space="0" w:color="auto"/>
      </w:divBdr>
    </w:div>
    <w:div w:id="769086667">
      <w:bodyDiv w:val="1"/>
      <w:marLeft w:val="0"/>
      <w:marRight w:val="0"/>
      <w:marTop w:val="0"/>
      <w:marBottom w:val="0"/>
      <w:divBdr>
        <w:top w:val="none" w:sz="0" w:space="0" w:color="auto"/>
        <w:left w:val="none" w:sz="0" w:space="0" w:color="auto"/>
        <w:bottom w:val="none" w:sz="0" w:space="0" w:color="auto"/>
        <w:right w:val="none" w:sz="0" w:space="0" w:color="auto"/>
      </w:divBdr>
    </w:div>
    <w:div w:id="889534285">
      <w:bodyDiv w:val="1"/>
      <w:marLeft w:val="0"/>
      <w:marRight w:val="0"/>
      <w:marTop w:val="0"/>
      <w:marBottom w:val="0"/>
      <w:divBdr>
        <w:top w:val="none" w:sz="0" w:space="0" w:color="auto"/>
        <w:left w:val="none" w:sz="0" w:space="0" w:color="auto"/>
        <w:bottom w:val="none" w:sz="0" w:space="0" w:color="auto"/>
        <w:right w:val="none" w:sz="0" w:space="0" w:color="auto"/>
      </w:divBdr>
    </w:div>
    <w:div w:id="1091387220">
      <w:bodyDiv w:val="1"/>
      <w:marLeft w:val="0"/>
      <w:marRight w:val="0"/>
      <w:marTop w:val="0"/>
      <w:marBottom w:val="0"/>
      <w:divBdr>
        <w:top w:val="none" w:sz="0" w:space="0" w:color="auto"/>
        <w:left w:val="none" w:sz="0" w:space="0" w:color="auto"/>
        <w:bottom w:val="none" w:sz="0" w:space="0" w:color="auto"/>
        <w:right w:val="none" w:sz="0" w:space="0" w:color="auto"/>
      </w:divBdr>
    </w:div>
    <w:div w:id="1229196116">
      <w:bodyDiv w:val="1"/>
      <w:marLeft w:val="0"/>
      <w:marRight w:val="0"/>
      <w:marTop w:val="0"/>
      <w:marBottom w:val="0"/>
      <w:divBdr>
        <w:top w:val="none" w:sz="0" w:space="0" w:color="auto"/>
        <w:left w:val="none" w:sz="0" w:space="0" w:color="auto"/>
        <w:bottom w:val="none" w:sz="0" w:space="0" w:color="auto"/>
        <w:right w:val="none" w:sz="0" w:space="0" w:color="auto"/>
      </w:divBdr>
      <w:divsChild>
        <w:div w:id="1902592457">
          <w:marLeft w:val="0"/>
          <w:marRight w:val="0"/>
          <w:marTop w:val="0"/>
          <w:marBottom w:val="0"/>
          <w:divBdr>
            <w:top w:val="none" w:sz="0" w:space="0" w:color="auto"/>
            <w:left w:val="none" w:sz="0" w:space="0" w:color="auto"/>
            <w:bottom w:val="none" w:sz="0" w:space="0" w:color="auto"/>
            <w:right w:val="none" w:sz="0" w:space="0" w:color="auto"/>
          </w:divBdr>
          <w:divsChild>
            <w:div w:id="1236236900">
              <w:marLeft w:val="0"/>
              <w:marRight w:val="0"/>
              <w:marTop w:val="0"/>
              <w:marBottom w:val="0"/>
              <w:divBdr>
                <w:top w:val="none" w:sz="0" w:space="0" w:color="auto"/>
                <w:left w:val="none" w:sz="0" w:space="0" w:color="auto"/>
                <w:bottom w:val="single" w:sz="12" w:space="0" w:color="E2E2E2"/>
                <w:right w:val="none" w:sz="0" w:space="0" w:color="auto"/>
              </w:divBdr>
              <w:divsChild>
                <w:div w:id="881476107">
                  <w:marLeft w:val="300"/>
                  <w:marRight w:val="300"/>
                  <w:marTop w:val="225"/>
                  <w:marBottom w:val="0"/>
                  <w:divBdr>
                    <w:top w:val="none" w:sz="0" w:space="0" w:color="auto"/>
                    <w:left w:val="none" w:sz="0" w:space="0" w:color="auto"/>
                    <w:bottom w:val="none" w:sz="0" w:space="0" w:color="auto"/>
                    <w:right w:val="none" w:sz="0" w:space="0" w:color="auto"/>
                  </w:divBdr>
                  <w:divsChild>
                    <w:div w:id="954335870">
                      <w:marLeft w:val="0"/>
                      <w:marRight w:val="0"/>
                      <w:marTop w:val="0"/>
                      <w:marBottom w:val="375"/>
                      <w:divBdr>
                        <w:top w:val="none" w:sz="0" w:space="0" w:color="auto"/>
                        <w:left w:val="none" w:sz="0" w:space="0" w:color="auto"/>
                        <w:bottom w:val="none" w:sz="0" w:space="0" w:color="auto"/>
                        <w:right w:val="none" w:sz="0" w:space="0" w:color="auto"/>
                      </w:divBdr>
                      <w:divsChild>
                        <w:div w:id="7052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312012">
      <w:bodyDiv w:val="1"/>
      <w:marLeft w:val="0"/>
      <w:marRight w:val="0"/>
      <w:marTop w:val="0"/>
      <w:marBottom w:val="0"/>
      <w:divBdr>
        <w:top w:val="none" w:sz="0" w:space="0" w:color="auto"/>
        <w:left w:val="none" w:sz="0" w:space="0" w:color="auto"/>
        <w:bottom w:val="none" w:sz="0" w:space="0" w:color="auto"/>
        <w:right w:val="none" w:sz="0" w:space="0" w:color="auto"/>
      </w:divBdr>
    </w:div>
    <w:div w:id="1257396635">
      <w:bodyDiv w:val="1"/>
      <w:marLeft w:val="0"/>
      <w:marRight w:val="0"/>
      <w:marTop w:val="0"/>
      <w:marBottom w:val="0"/>
      <w:divBdr>
        <w:top w:val="none" w:sz="0" w:space="0" w:color="auto"/>
        <w:left w:val="none" w:sz="0" w:space="0" w:color="auto"/>
        <w:bottom w:val="none" w:sz="0" w:space="0" w:color="auto"/>
        <w:right w:val="none" w:sz="0" w:space="0" w:color="auto"/>
      </w:divBdr>
    </w:div>
    <w:div w:id="1268853998">
      <w:bodyDiv w:val="1"/>
      <w:marLeft w:val="0"/>
      <w:marRight w:val="0"/>
      <w:marTop w:val="0"/>
      <w:marBottom w:val="0"/>
      <w:divBdr>
        <w:top w:val="none" w:sz="0" w:space="0" w:color="auto"/>
        <w:left w:val="none" w:sz="0" w:space="0" w:color="auto"/>
        <w:bottom w:val="none" w:sz="0" w:space="0" w:color="auto"/>
        <w:right w:val="none" w:sz="0" w:space="0" w:color="auto"/>
      </w:divBdr>
    </w:div>
    <w:div w:id="1455633381">
      <w:bodyDiv w:val="1"/>
      <w:marLeft w:val="0"/>
      <w:marRight w:val="0"/>
      <w:marTop w:val="0"/>
      <w:marBottom w:val="0"/>
      <w:divBdr>
        <w:top w:val="none" w:sz="0" w:space="0" w:color="auto"/>
        <w:left w:val="none" w:sz="0" w:space="0" w:color="auto"/>
        <w:bottom w:val="none" w:sz="0" w:space="0" w:color="auto"/>
        <w:right w:val="none" w:sz="0" w:space="0" w:color="auto"/>
      </w:divBdr>
    </w:div>
    <w:div w:id="1565218745">
      <w:bodyDiv w:val="1"/>
      <w:marLeft w:val="0"/>
      <w:marRight w:val="0"/>
      <w:marTop w:val="0"/>
      <w:marBottom w:val="0"/>
      <w:divBdr>
        <w:top w:val="none" w:sz="0" w:space="0" w:color="auto"/>
        <w:left w:val="none" w:sz="0" w:space="0" w:color="auto"/>
        <w:bottom w:val="none" w:sz="0" w:space="0" w:color="auto"/>
        <w:right w:val="none" w:sz="0" w:space="0" w:color="auto"/>
      </w:divBdr>
    </w:div>
    <w:div w:id="1764061680">
      <w:bodyDiv w:val="1"/>
      <w:marLeft w:val="0"/>
      <w:marRight w:val="0"/>
      <w:marTop w:val="0"/>
      <w:marBottom w:val="0"/>
      <w:divBdr>
        <w:top w:val="none" w:sz="0" w:space="0" w:color="auto"/>
        <w:left w:val="none" w:sz="0" w:space="0" w:color="auto"/>
        <w:bottom w:val="none" w:sz="0" w:space="0" w:color="auto"/>
        <w:right w:val="none" w:sz="0" w:space="0" w:color="auto"/>
      </w:divBdr>
    </w:div>
    <w:div w:id="1775511957">
      <w:bodyDiv w:val="1"/>
      <w:marLeft w:val="0"/>
      <w:marRight w:val="0"/>
      <w:marTop w:val="0"/>
      <w:marBottom w:val="0"/>
      <w:divBdr>
        <w:top w:val="none" w:sz="0" w:space="0" w:color="auto"/>
        <w:left w:val="none" w:sz="0" w:space="0" w:color="auto"/>
        <w:bottom w:val="none" w:sz="0" w:space="0" w:color="auto"/>
        <w:right w:val="none" w:sz="0" w:space="0" w:color="auto"/>
      </w:divBdr>
    </w:div>
    <w:div w:id="1819032045">
      <w:bodyDiv w:val="1"/>
      <w:marLeft w:val="0"/>
      <w:marRight w:val="0"/>
      <w:marTop w:val="0"/>
      <w:marBottom w:val="0"/>
      <w:divBdr>
        <w:top w:val="none" w:sz="0" w:space="0" w:color="auto"/>
        <w:left w:val="none" w:sz="0" w:space="0" w:color="auto"/>
        <w:bottom w:val="none" w:sz="0" w:space="0" w:color="auto"/>
        <w:right w:val="none" w:sz="0" w:space="0" w:color="auto"/>
      </w:divBdr>
    </w:div>
    <w:div w:id="1953589311">
      <w:bodyDiv w:val="1"/>
      <w:marLeft w:val="0"/>
      <w:marRight w:val="0"/>
      <w:marTop w:val="0"/>
      <w:marBottom w:val="0"/>
      <w:divBdr>
        <w:top w:val="none" w:sz="0" w:space="0" w:color="auto"/>
        <w:left w:val="none" w:sz="0" w:space="0" w:color="auto"/>
        <w:bottom w:val="none" w:sz="0" w:space="0" w:color="auto"/>
        <w:right w:val="none" w:sz="0" w:space="0" w:color="auto"/>
      </w:divBdr>
      <w:divsChild>
        <w:div w:id="780953196">
          <w:marLeft w:val="0"/>
          <w:marRight w:val="0"/>
          <w:marTop w:val="0"/>
          <w:marBottom w:val="0"/>
          <w:divBdr>
            <w:top w:val="none" w:sz="0" w:space="0" w:color="auto"/>
            <w:left w:val="none" w:sz="0" w:space="0" w:color="auto"/>
            <w:bottom w:val="none" w:sz="0" w:space="0" w:color="auto"/>
            <w:right w:val="none" w:sz="0" w:space="0" w:color="auto"/>
          </w:divBdr>
        </w:div>
      </w:divsChild>
    </w:div>
    <w:div w:id="2050102404">
      <w:bodyDiv w:val="1"/>
      <w:marLeft w:val="0"/>
      <w:marRight w:val="0"/>
      <w:marTop w:val="0"/>
      <w:marBottom w:val="0"/>
      <w:divBdr>
        <w:top w:val="none" w:sz="0" w:space="0" w:color="auto"/>
        <w:left w:val="none" w:sz="0" w:space="0" w:color="auto"/>
        <w:bottom w:val="none" w:sz="0" w:space="0" w:color="auto"/>
        <w:right w:val="none" w:sz="0" w:space="0" w:color="auto"/>
      </w:divBdr>
    </w:div>
    <w:div w:id="2068793224">
      <w:bodyDiv w:val="1"/>
      <w:marLeft w:val="0"/>
      <w:marRight w:val="0"/>
      <w:marTop w:val="0"/>
      <w:marBottom w:val="0"/>
      <w:divBdr>
        <w:top w:val="none" w:sz="0" w:space="0" w:color="auto"/>
        <w:left w:val="none" w:sz="0" w:space="0" w:color="auto"/>
        <w:bottom w:val="none" w:sz="0" w:space="0" w:color="auto"/>
        <w:right w:val="none" w:sz="0" w:space="0" w:color="auto"/>
      </w:divBdr>
      <w:divsChild>
        <w:div w:id="1002274678">
          <w:marLeft w:val="0"/>
          <w:marRight w:val="0"/>
          <w:marTop w:val="0"/>
          <w:marBottom w:val="0"/>
          <w:divBdr>
            <w:top w:val="none" w:sz="0" w:space="0" w:color="auto"/>
            <w:left w:val="none" w:sz="0" w:space="0" w:color="auto"/>
            <w:bottom w:val="none" w:sz="0" w:space="0" w:color="auto"/>
            <w:right w:val="none" w:sz="0" w:space="0" w:color="auto"/>
          </w:divBdr>
          <w:divsChild>
            <w:div w:id="1362245020">
              <w:marLeft w:val="0"/>
              <w:marRight w:val="0"/>
              <w:marTop w:val="0"/>
              <w:marBottom w:val="0"/>
              <w:divBdr>
                <w:top w:val="none" w:sz="0" w:space="0" w:color="auto"/>
                <w:left w:val="none" w:sz="0" w:space="0" w:color="auto"/>
                <w:bottom w:val="single" w:sz="12" w:space="0" w:color="E2E2E2"/>
                <w:right w:val="none" w:sz="0" w:space="0" w:color="auto"/>
              </w:divBdr>
              <w:divsChild>
                <w:div w:id="1326860725">
                  <w:marLeft w:val="300"/>
                  <w:marRight w:val="300"/>
                  <w:marTop w:val="225"/>
                  <w:marBottom w:val="0"/>
                  <w:divBdr>
                    <w:top w:val="none" w:sz="0" w:space="0" w:color="auto"/>
                    <w:left w:val="none" w:sz="0" w:space="0" w:color="auto"/>
                    <w:bottom w:val="none" w:sz="0" w:space="0" w:color="auto"/>
                    <w:right w:val="none" w:sz="0" w:space="0" w:color="auto"/>
                  </w:divBdr>
                  <w:divsChild>
                    <w:div w:id="676468179">
                      <w:marLeft w:val="0"/>
                      <w:marRight w:val="0"/>
                      <w:marTop w:val="0"/>
                      <w:marBottom w:val="375"/>
                      <w:divBdr>
                        <w:top w:val="none" w:sz="0" w:space="0" w:color="auto"/>
                        <w:left w:val="none" w:sz="0" w:space="0" w:color="auto"/>
                        <w:bottom w:val="none" w:sz="0" w:space="0" w:color="auto"/>
                        <w:right w:val="none" w:sz="0" w:space="0" w:color="auto"/>
                      </w:divBdr>
                      <w:divsChild>
                        <w:div w:id="17046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bailey-white@libraries.idaho.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0cbf1e-cea3-4864-b8a5-d5ef043fe564">
      <Terms xmlns="http://schemas.microsoft.com/office/infopath/2007/PartnerControls"/>
    </lcf76f155ced4ddcb4097134ff3c332f>
    <TaxCatchAll xmlns="de3f867a-cb4d-4019-b391-051af6800de8" xsi:nil="true"/>
    <SharedWithUsers xmlns="de3f867a-cb4d-4019-b391-051af6800de8">
      <UserInfo>
        <DisplayName/>
        <AccountId xsi:nil="true"/>
        <AccountType/>
      </UserInfo>
    </SharedWithUsers>
    <MediaLengthInSeconds xmlns="a80cbf1e-cea3-4864-b8a5-d5ef043fe5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4EE0EE32289844BED2576FF33CB8B8" ma:contentTypeVersion="15" ma:contentTypeDescription="Create a new document." ma:contentTypeScope="" ma:versionID="cf9e8fb354f198b9d7b882165175ba8f">
  <xsd:schema xmlns:xsd="http://www.w3.org/2001/XMLSchema" xmlns:xs="http://www.w3.org/2001/XMLSchema" xmlns:p="http://schemas.microsoft.com/office/2006/metadata/properties" xmlns:ns2="a80cbf1e-cea3-4864-b8a5-d5ef043fe564" xmlns:ns3="de3f867a-cb4d-4019-b391-051af6800de8" targetNamespace="http://schemas.microsoft.com/office/2006/metadata/properties" ma:root="true" ma:fieldsID="344065e0b02957207b72c47c875e54d8" ns2:_="" ns3:_="">
    <xsd:import namespace="a80cbf1e-cea3-4864-b8a5-d5ef043fe564"/>
    <xsd:import namespace="de3f867a-cb4d-4019-b391-051af6800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cbf1e-cea3-4864-b8a5-d5ef043fe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3f867a-cb4d-4019-b391-051af6800d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5b69c9-fd54-4db2-aa82-a2a48643a06a}" ma:internalName="TaxCatchAll" ma:showField="CatchAllData" ma:web="de3f867a-cb4d-4019-b391-051af6800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34368-A89A-40BB-8819-317790ADFC0E}">
  <ds:schemaRefs>
    <ds:schemaRef ds:uri="http://www.w3.org/XML/1998/namespace"/>
    <ds:schemaRef ds:uri="http://schemas.microsoft.com/office/infopath/2007/PartnerControls"/>
    <ds:schemaRef ds:uri="http://schemas.microsoft.com/office/2006/documentManagement/types"/>
    <ds:schemaRef ds:uri="a80cbf1e-cea3-4864-b8a5-d5ef043fe564"/>
    <ds:schemaRef ds:uri="http://schemas.openxmlformats.org/package/2006/metadata/core-properties"/>
    <ds:schemaRef ds:uri="http://purl.org/dc/dcmitype/"/>
    <ds:schemaRef ds:uri="http://purl.org/dc/terms/"/>
    <ds:schemaRef ds:uri="de3f867a-cb4d-4019-b391-051af6800de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151BF0D-E822-40B2-B266-ED750B7B74B1}">
  <ds:schemaRefs>
    <ds:schemaRef ds:uri="http://schemas.microsoft.com/sharepoint/v3/contenttype/forms"/>
  </ds:schemaRefs>
</ds:datastoreItem>
</file>

<file path=customXml/itemProps3.xml><?xml version="1.0" encoding="utf-8"?>
<ds:datastoreItem xmlns:ds="http://schemas.openxmlformats.org/officeDocument/2006/customXml" ds:itemID="{5FD9E516-519F-49FE-9357-C220EF52DDE0}">
  <ds:schemaRefs>
    <ds:schemaRef ds:uri="http://schemas.openxmlformats.org/officeDocument/2006/bibliography"/>
  </ds:schemaRefs>
</ds:datastoreItem>
</file>

<file path=customXml/itemProps4.xml><?xml version="1.0" encoding="utf-8"?>
<ds:datastoreItem xmlns:ds="http://schemas.openxmlformats.org/officeDocument/2006/customXml" ds:itemID="{922F3054-F149-4AC2-8CF5-8467D04FE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cbf1e-cea3-4864-b8a5-d5ef043fe564"/>
    <ds:schemaRef ds:uri="de3f867a-cb4d-4019-b391-051af6800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2176</Words>
  <Characters>12881</Characters>
  <Application>Microsoft Office Word</Application>
  <DocSecurity>0</DocSecurity>
  <Lines>107</Lines>
  <Paragraphs>30</Paragraphs>
  <ScaleCrop>false</ScaleCrop>
  <Company>Division of Financial Management</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subject/>
  <dc:creator>Anita Hamann</dc:creator>
  <cp:keywords/>
  <cp:lastModifiedBy>Amanda Harper</cp:lastModifiedBy>
  <cp:revision>11</cp:revision>
  <cp:lastPrinted>2018-08-02T20:03:00Z</cp:lastPrinted>
  <dcterms:created xsi:type="dcterms:W3CDTF">2024-08-26T17:50:00Z</dcterms:created>
  <dcterms:modified xsi:type="dcterms:W3CDTF">2025-06-24T23:09:00Z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0x010100574EE0EE32289844BED2576FF33CB8B8</vt:lpwstr>
  </property>
  <property fmtid="{D5CDD505-2E9C-101B-9397-08002B2CF9AE}" pid="3" name="Order">
    <vt:r8>19066300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