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67CA" w14:textId="77777777" w:rsidR="009A0FAC" w:rsidRPr="00487FCD" w:rsidRDefault="009A0FAC" w:rsidP="009A0FAC">
      <w:pPr>
        <w:pStyle w:val="Heading1"/>
        <w:spacing w:before="0" w:after="60"/>
        <w:rPr>
          <w:rFonts w:ascii="Arial" w:hAnsi="Arial" w:cs="Arial"/>
          <w:i/>
          <w:color w:val="000080"/>
          <w:sz w:val="28"/>
          <w:szCs w:val="24"/>
        </w:rPr>
      </w:pPr>
      <w:r w:rsidRPr="00487FCD">
        <w:rPr>
          <w:rFonts w:ascii="Arial" w:hAnsi="Arial" w:cs="Arial"/>
          <w:i/>
          <w:color w:val="000080"/>
          <w:sz w:val="28"/>
          <w:szCs w:val="24"/>
        </w:rPr>
        <w:t>Part I – Agency Profile</w:t>
      </w:r>
    </w:p>
    <w:p w14:paraId="319F4814" w14:textId="77777777" w:rsidR="00CF737E" w:rsidRDefault="00CF737E" w:rsidP="00934638">
      <w:pPr>
        <w:rPr>
          <w:rFonts w:ascii="Arial" w:hAnsi="Arial" w:cs="Arial"/>
          <w:b/>
        </w:rPr>
      </w:pPr>
    </w:p>
    <w:p w14:paraId="015AAF02" w14:textId="77777777" w:rsidR="00FF26CD" w:rsidRPr="000D6A17" w:rsidRDefault="00FF26CD" w:rsidP="000D6A17">
      <w:pPr>
        <w:spacing w:after="240"/>
        <w:rPr>
          <w:rFonts w:ascii="Arial" w:hAnsi="Arial" w:cs="Arial"/>
          <w:b/>
          <w:sz w:val="24"/>
          <w:szCs w:val="24"/>
        </w:rPr>
      </w:pPr>
      <w:r w:rsidRPr="000D6A17">
        <w:rPr>
          <w:rFonts w:ascii="Arial" w:hAnsi="Arial" w:cs="Arial"/>
          <w:b/>
          <w:sz w:val="24"/>
          <w:szCs w:val="24"/>
        </w:rPr>
        <w:t>Agency Overview</w:t>
      </w:r>
    </w:p>
    <w:p w14:paraId="0EF8A1BE" w14:textId="4E0B9327" w:rsidR="00FF26CD" w:rsidRPr="008C41B1" w:rsidRDefault="00FF26CD" w:rsidP="008C41B1">
      <w:pPr>
        <w:pStyle w:val="BodyText2"/>
        <w:rPr>
          <w:rFonts w:ascii="Arial" w:hAnsi="Arial" w:cs="Arial"/>
        </w:rPr>
      </w:pPr>
      <w:r w:rsidRPr="008C41B1">
        <w:rPr>
          <w:rFonts w:ascii="Arial" w:hAnsi="Arial" w:cs="Arial"/>
        </w:rPr>
        <w:t>The Idaho Division of Vocational Rehab</w:t>
      </w:r>
      <w:r w:rsidR="00B0450E" w:rsidRPr="008C41B1">
        <w:rPr>
          <w:rFonts w:ascii="Arial" w:hAnsi="Arial" w:cs="Arial"/>
        </w:rPr>
        <w:t>ilitation (IDVR) is an agency</w:t>
      </w:r>
      <w:r w:rsidRPr="008C41B1">
        <w:rPr>
          <w:rFonts w:ascii="Arial" w:hAnsi="Arial" w:cs="Arial"/>
        </w:rPr>
        <w:t xml:space="preserve"> under the oversight of the Office of the State Board of Education. </w:t>
      </w:r>
      <w:r w:rsidR="00A11B72">
        <w:rPr>
          <w:rFonts w:ascii="Arial" w:hAnsi="Arial" w:cs="Arial"/>
        </w:rPr>
        <w:t>Judy B. Taylor</w:t>
      </w:r>
      <w:r w:rsidR="00D35BC8" w:rsidRPr="008C41B1">
        <w:rPr>
          <w:rFonts w:ascii="Arial" w:hAnsi="Arial" w:cs="Arial"/>
        </w:rPr>
        <w:t xml:space="preserve"> is the </w:t>
      </w:r>
      <w:r w:rsidR="00A11B72">
        <w:rPr>
          <w:rFonts w:ascii="Arial" w:hAnsi="Arial" w:cs="Arial"/>
        </w:rPr>
        <w:t xml:space="preserve">Interim </w:t>
      </w:r>
      <w:r w:rsidRPr="008C41B1">
        <w:rPr>
          <w:rFonts w:ascii="Arial" w:hAnsi="Arial" w:cs="Arial"/>
        </w:rPr>
        <w:t xml:space="preserve">Administrator </w:t>
      </w:r>
      <w:r w:rsidR="00E10085" w:rsidRPr="008C41B1">
        <w:rPr>
          <w:rFonts w:ascii="Arial" w:hAnsi="Arial" w:cs="Arial"/>
        </w:rPr>
        <w:t>for</w:t>
      </w:r>
      <w:r w:rsidRPr="008C41B1">
        <w:rPr>
          <w:rFonts w:ascii="Arial" w:hAnsi="Arial" w:cs="Arial"/>
        </w:rPr>
        <w:t xml:space="preserve"> the Division. IDVR is charged with </w:t>
      </w:r>
      <w:r w:rsidR="00AE68DE">
        <w:rPr>
          <w:rFonts w:ascii="Arial" w:hAnsi="Arial" w:cs="Arial"/>
        </w:rPr>
        <w:t>m</w:t>
      </w:r>
      <w:r w:rsidRPr="008C41B1">
        <w:rPr>
          <w:rFonts w:ascii="Arial" w:hAnsi="Arial" w:cs="Arial"/>
        </w:rPr>
        <w:t>anagement of the State/Federal Voc</w:t>
      </w:r>
      <w:r w:rsidR="00890AA9" w:rsidRPr="008C41B1">
        <w:rPr>
          <w:rFonts w:ascii="Arial" w:hAnsi="Arial" w:cs="Arial"/>
        </w:rPr>
        <w:t xml:space="preserve">ational Rehabilitation Program </w:t>
      </w:r>
      <w:r w:rsidR="00B0450E" w:rsidRPr="008C41B1">
        <w:rPr>
          <w:rFonts w:ascii="Arial" w:hAnsi="Arial" w:cs="Arial"/>
        </w:rPr>
        <w:t>and the fis</w:t>
      </w:r>
      <w:r w:rsidR="003D33E1" w:rsidRPr="008C41B1">
        <w:rPr>
          <w:rFonts w:ascii="Arial" w:hAnsi="Arial" w:cs="Arial"/>
        </w:rPr>
        <w:t>cal management of the Council for</w:t>
      </w:r>
      <w:r w:rsidR="00B0450E" w:rsidRPr="008C41B1">
        <w:rPr>
          <w:rFonts w:ascii="Arial" w:hAnsi="Arial" w:cs="Arial"/>
        </w:rPr>
        <w:t xml:space="preserve"> the Deaf and Hard of Hearing (CDHH)</w:t>
      </w:r>
      <w:r w:rsidRPr="008C41B1">
        <w:rPr>
          <w:rFonts w:ascii="Arial" w:hAnsi="Arial" w:cs="Arial"/>
        </w:rPr>
        <w:t xml:space="preserve">. </w:t>
      </w:r>
      <w:r w:rsidR="006A6A49">
        <w:rPr>
          <w:rFonts w:ascii="Arial" w:hAnsi="Arial" w:cs="Arial"/>
        </w:rPr>
        <w:t>U</w:t>
      </w:r>
      <w:r w:rsidR="00BB6A74" w:rsidRPr="008C41B1">
        <w:rPr>
          <w:rFonts w:ascii="Arial" w:hAnsi="Arial" w:cs="Arial"/>
        </w:rPr>
        <w:t xml:space="preserve">nder the Federal Vocational Rehabilitation Program, each state </w:t>
      </w:r>
      <w:r w:rsidR="00D37DB9" w:rsidRPr="008C41B1">
        <w:rPr>
          <w:rFonts w:ascii="Arial" w:hAnsi="Arial" w:cs="Arial"/>
        </w:rPr>
        <w:t>can</w:t>
      </w:r>
      <w:r w:rsidR="00BB6A74" w:rsidRPr="008C41B1">
        <w:rPr>
          <w:rFonts w:ascii="Arial" w:hAnsi="Arial" w:cs="Arial"/>
        </w:rPr>
        <w:t xml:space="preserve"> choose a combined or separate agency to serve </w:t>
      </w:r>
      <w:r w:rsidR="006A6A49">
        <w:rPr>
          <w:rFonts w:ascii="Arial" w:hAnsi="Arial" w:cs="Arial"/>
        </w:rPr>
        <w:t xml:space="preserve">individuals who are </w:t>
      </w:r>
      <w:r w:rsidR="00BB6A74" w:rsidRPr="008C41B1">
        <w:rPr>
          <w:rFonts w:ascii="Arial" w:hAnsi="Arial" w:cs="Arial"/>
        </w:rPr>
        <w:t>blind and</w:t>
      </w:r>
      <w:r w:rsidR="006A6A49">
        <w:rPr>
          <w:rFonts w:ascii="Arial" w:hAnsi="Arial" w:cs="Arial"/>
        </w:rPr>
        <w:t>/or</w:t>
      </w:r>
      <w:r w:rsidR="00BB6A74" w:rsidRPr="008C41B1">
        <w:rPr>
          <w:rFonts w:ascii="Arial" w:hAnsi="Arial" w:cs="Arial"/>
        </w:rPr>
        <w:t xml:space="preserve"> visually impaired. In Idaho, a sep</w:t>
      </w:r>
      <w:r w:rsidR="00A17705" w:rsidRPr="008C41B1">
        <w:rPr>
          <w:rFonts w:ascii="Arial" w:hAnsi="Arial" w:cs="Arial"/>
        </w:rPr>
        <w:t>arate state agency</w:t>
      </w:r>
      <w:r w:rsidR="00BB4E8A" w:rsidRPr="008C41B1">
        <w:rPr>
          <w:rFonts w:ascii="Arial" w:hAnsi="Arial" w:cs="Arial"/>
        </w:rPr>
        <w:t xml:space="preserve"> (the Idaho Commission for the Blind and Visually Impaired)</w:t>
      </w:r>
      <w:r w:rsidR="00A17705" w:rsidRPr="008C41B1">
        <w:rPr>
          <w:rFonts w:ascii="Arial" w:hAnsi="Arial" w:cs="Arial"/>
        </w:rPr>
        <w:t xml:space="preserve"> provides vocational rehabilitation</w:t>
      </w:r>
      <w:r w:rsidR="00BB6A74" w:rsidRPr="008C41B1">
        <w:rPr>
          <w:rFonts w:ascii="Arial" w:hAnsi="Arial" w:cs="Arial"/>
        </w:rPr>
        <w:t xml:space="preserve"> services for those who have a primary disability of blind</w:t>
      </w:r>
      <w:r w:rsidR="00906F35">
        <w:rPr>
          <w:rFonts w:ascii="Arial" w:hAnsi="Arial" w:cs="Arial"/>
        </w:rPr>
        <w:t>ness</w:t>
      </w:r>
      <w:r w:rsidR="00BB6A74" w:rsidRPr="008C41B1">
        <w:rPr>
          <w:rFonts w:ascii="Arial" w:hAnsi="Arial" w:cs="Arial"/>
        </w:rPr>
        <w:t xml:space="preserve"> and</w:t>
      </w:r>
      <w:r w:rsidR="006A6A49">
        <w:rPr>
          <w:rFonts w:ascii="Arial" w:hAnsi="Arial" w:cs="Arial"/>
        </w:rPr>
        <w:t>/or</w:t>
      </w:r>
      <w:r w:rsidR="00BB6A74" w:rsidRPr="008C41B1">
        <w:rPr>
          <w:rFonts w:ascii="Arial" w:hAnsi="Arial" w:cs="Arial"/>
        </w:rPr>
        <w:t xml:space="preserve"> visually impaired. </w:t>
      </w:r>
    </w:p>
    <w:p w14:paraId="7361AA79" w14:textId="77777777" w:rsidR="00FF26CD" w:rsidRPr="008C41B1" w:rsidRDefault="00FF26CD" w:rsidP="008C41B1">
      <w:pPr>
        <w:pStyle w:val="BodyText2"/>
        <w:rPr>
          <w:rFonts w:ascii="Arial" w:hAnsi="Arial" w:cs="Arial"/>
        </w:rPr>
      </w:pPr>
    </w:p>
    <w:p w14:paraId="04D5CEFF" w14:textId="1FE94331" w:rsidR="00FF26CD" w:rsidRPr="008C41B1" w:rsidRDefault="00FF26CD" w:rsidP="008C41B1">
      <w:pPr>
        <w:pStyle w:val="BodyText2"/>
        <w:rPr>
          <w:rFonts w:ascii="Arial" w:hAnsi="Arial" w:cs="Arial"/>
        </w:rPr>
      </w:pPr>
      <w:r w:rsidRPr="008C41B1">
        <w:rPr>
          <w:rFonts w:ascii="Arial" w:hAnsi="Arial" w:cs="Arial"/>
          <w:szCs w:val="27"/>
        </w:rPr>
        <w:t xml:space="preserve">The </w:t>
      </w:r>
      <w:r w:rsidR="007B3FCC">
        <w:rPr>
          <w:rFonts w:ascii="Arial" w:hAnsi="Arial" w:cs="Arial"/>
          <w:szCs w:val="27"/>
        </w:rPr>
        <w:t>p</w:t>
      </w:r>
      <w:r w:rsidRPr="008C41B1">
        <w:rPr>
          <w:rFonts w:ascii="Arial" w:hAnsi="Arial" w:cs="Arial"/>
          <w:szCs w:val="27"/>
        </w:rPr>
        <w:t xml:space="preserve">ublic </w:t>
      </w:r>
      <w:r w:rsidRPr="008C41B1">
        <w:rPr>
          <w:rFonts w:ascii="Arial" w:hAnsi="Arial" w:cs="Arial"/>
          <w:color w:val="000000"/>
        </w:rPr>
        <w:t xml:space="preserve">Vocational Rehabilitation program is one of </w:t>
      </w:r>
      <w:r w:rsidR="004F0D94" w:rsidRPr="008C41B1">
        <w:rPr>
          <w:rFonts w:ascii="Arial" w:hAnsi="Arial" w:cs="Arial"/>
          <w:color w:val="000000"/>
        </w:rPr>
        <w:t xml:space="preserve">the oldest and most successful </w:t>
      </w:r>
      <w:r w:rsidR="00DF1050">
        <w:rPr>
          <w:rFonts w:ascii="Arial" w:hAnsi="Arial" w:cs="Arial"/>
          <w:color w:val="000000"/>
        </w:rPr>
        <w:t>State/</w:t>
      </w:r>
      <w:r w:rsidR="004F0D94" w:rsidRPr="008C41B1">
        <w:rPr>
          <w:rFonts w:ascii="Arial" w:hAnsi="Arial" w:cs="Arial"/>
          <w:color w:val="000000"/>
        </w:rPr>
        <w:t>Federal</w:t>
      </w:r>
      <w:r w:rsidR="00B0450E" w:rsidRPr="008C41B1">
        <w:rPr>
          <w:rFonts w:ascii="Arial" w:hAnsi="Arial" w:cs="Arial"/>
          <w:color w:val="000000"/>
        </w:rPr>
        <w:t xml:space="preserve"> programs in the United States</w:t>
      </w:r>
      <w:r w:rsidRPr="008C41B1">
        <w:rPr>
          <w:rFonts w:ascii="Arial" w:hAnsi="Arial" w:cs="Arial"/>
          <w:color w:val="000000"/>
        </w:rPr>
        <w:t>.</w:t>
      </w:r>
      <w:r w:rsidR="001058C0">
        <w:rPr>
          <w:rFonts w:ascii="Arial" w:hAnsi="Arial" w:cs="Arial"/>
          <w:color w:val="000000"/>
        </w:rPr>
        <w:t xml:space="preserve"> </w:t>
      </w:r>
      <w:r w:rsidRPr="008C41B1">
        <w:rPr>
          <w:rFonts w:ascii="Arial" w:hAnsi="Arial" w:cs="Arial"/>
        </w:rPr>
        <w:t xml:space="preserve">Vocational Rehabilitation serves individuals with </w:t>
      </w:r>
      <w:r w:rsidRPr="008C41B1">
        <w:rPr>
          <w:rFonts w:ascii="Arial" w:hAnsi="Arial" w:cs="Arial"/>
          <w:szCs w:val="19"/>
        </w:rPr>
        <w:t xml:space="preserve">severe disabilities that impose significant barriers to </w:t>
      </w:r>
      <w:r w:rsidR="0076137A">
        <w:rPr>
          <w:rFonts w:ascii="Arial" w:hAnsi="Arial" w:cs="Arial"/>
          <w:szCs w:val="19"/>
        </w:rPr>
        <w:t xml:space="preserve">their </w:t>
      </w:r>
      <w:r w:rsidRPr="008C41B1">
        <w:rPr>
          <w:rFonts w:ascii="Arial" w:hAnsi="Arial" w:cs="Arial"/>
          <w:szCs w:val="19"/>
        </w:rPr>
        <w:t>employment</w:t>
      </w:r>
      <w:r w:rsidRPr="00445C93">
        <w:rPr>
          <w:rFonts w:ascii="Arial" w:hAnsi="Arial" w:cs="Arial"/>
          <w:szCs w:val="19"/>
        </w:rPr>
        <w:t xml:space="preserve">. </w:t>
      </w:r>
      <w:r w:rsidR="00D35BC8" w:rsidRPr="00445C93">
        <w:rPr>
          <w:rFonts w:ascii="Arial" w:hAnsi="Arial" w:cs="Arial"/>
        </w:rPr>
        <w:t>In FY20</w:t>
      </w:r>
      <w:r w:rsidR="00510BB4">
        <w:rPr>
          <w:rFonts w:ascii="Arial" w:hAnsi="Arial" w:cs="Arial"/>
        </w:rPr>
        <w:t>24</w:t>
      </w:r>
      <w:r w:rsidR="008658D8" w:rsidRPr="00445C93">
        <w:rPr>
          <w:rFonts w:ascii="Arial" w:hAnsi="Arial" w:cs="Arial"/>
        </w:rPr>
        <w:t>, t</w:t>
      </w:r>
      <w:r w:rsidRPr="00445C93">
        <w:rPr>
          <w:rFonts w:ascii="Arial" w:hAnsi="Arial" w:cs="Arial"/>
        </w:rPr>
        <w:t>he average time needed for a person to complete a rehabilitatio</w:t>
      </w:r>
      <w:r w:rsidR="00CC3642" w:rsidRPr="00445C93">
        <w:rPr>
          <w:rFonts w:ascii="Arial" w:hAnsi="Arial" w:cs="Arial"/>
        </w:rPr>
        <w:t>n plan a</w:t>
      </w:r>
      <w:r w:rsidR="00955EE0" w:rsidRPr="00445C93">
        <w:rPr>
          <w:rFonts w:ascii="Arial" w:hAnsi="Arial" w:cs="Arial"/>
        </w:rPr>
        <w:t xml:space="preserve">nd become employed </w:t>
      </w:r>
      <w:r w:rsidR="008658D8" w:rsidRPr="00445C93">
        <w:rPr>
          <w:rFonts w:ascii="Arial" w:hAnsi="Arial" w:cs="Arial"/>
        </w:rPr>
        <w:t>was</w:t>
      </w:r>
      <w:r w:rsidR="00955EE0" w:rsidRPr="00445C93">
        <w:rPr>
          <w:rFonts w:ascii="Arial" w:hAnsi="Arial" w:cs="Arial"/>
        </w:rPr>
        <w:t xml:space="preserve"> </w:t>
      </w:r>
      <w:r w:rsidR="00C51846" w:rsidRPr="00445C93">
        <w:rPr>
          <w:rFonts w:ascii="Arial" w:hAnsi="Arial" w:cs="Arial"/>
        </w:rPr>
        <w:t>2</w:t>
      </w:r>
      <w:r w:rsidR="00510BB4">
        <w:rPr>
          <w:rFonts w:ascii="Arial" w:hAnsi="Arial" w:cs="Arial"/>
        </w:rPr>
        <w:t>2</w:t>
      </w:r>
      <w:r w:rsidR="003F5CA6" w:rsidRPr="00445C93">
        <w:rPr>
          <w:rFonts w:ascii="Arial" w:hAnsi="Arial" w:cs="Arial"/>
        </w:rPr>
        <w:t xml:space="preserve"> </w:t>
      </w:r>
      <w:r w:rsidR="008658D8" w:rsidRPr="00445C93">
        <w:rPr>
          <w:rFonts w:ascii="Arial" w:hAnsi="Arial" w:cs="Arial"/>
        </w:rPr>
        <w:t>months.</w:t>
      </w:r>
      <w:r w:rsidR="008658D8" w:rsidRPr="007A626B">
        <w:rPr>
          <w:rFonts w:ascii="Arial" w:hAnsi="Arial" w:cs="Arial"/>
        </w:rPr>
        <w:t xml:space="preserve"> Furthermore</w:t>
      </w:r>
      <w:r w:rsidRPr="007A626B">
        <w:rPr>
          <w:rFonts w:ascii="Arial" w:hAnsi="Arial" w:cs="Arial"/>
        </w:rPr>
        <w:t>, employment of individuals wi</w:t>
      </w:r>
      <w:r w:rsidR="00CC3642" w:rsidRPr="007A626B">
        <w:rPr>
          <w:rFonts w:ascii="Arial" w:hAnsi="Arial" w:cs="Arial"/>
        </w:rPr>
        <w:t>t</w:t>
      </w:r>
      <w:r w:rsidR="00955EE0" w:rsidRPr="007A626B">
        <w:rPr>
          <w:rFonts w:ascii="Arial" w:hAnsi="Arial" w:cs="Arial"/>
        </w:rPr>
        <w:t xml:space="preserve">h disabilities </w:t>
      </w:r>
      <w:r w:rsidR="00955EE0" w:rsidRPr="00445C93">
        <w:rPr>
          <w:rFonts w:ascii="Arial" w:hAnsi="Arial" w:cs="Arial"/>
        </w:rPr>
        <w:t>resulted in a</w:t>
      </w:r>
      <w:r w:rsidR="005D08A1" w:rsidRPr="00445C93">
        <w:rPr>
          <w:rFonts w:ascii="Arial" w:hAnsi="Arial" w:cs="Arial"/>
        </w:rPr>
        <w:t xml:space="preserve"> </w:t>
      </w:r>
      <w:r w:rsidR="00510BB4">
        <w:rPr>
          <w:rFonts w:ascii="Arial" w:hAnsi="Arial" w:cs="Arial"/>
        </w:rPr>
        <w:t>511</w:t>
      </w:r>
      <w:r w:rsidR="004D0686" w:rsidRPr="00445C93">
        <w:rPr>
          <w:rFonts w:ascii="Arial" w:hAnsi="Arial" w:cs="Arial"/>
        </w:rPr>
        <w:t>%</w:t>
      </w:r>
      <w:r w:rsidR="004D24EB" w:rsidRPr="00445C93">
        <w:rPr>
          <w:rFonts w:ascii="Arial" w:hAnsi="Arial" w:cs="Arial"/>
        </w:rPr>
        <w:t xml:space="preserve"> </w:t>
      </w:r>
      <w:r w:rsidR="005D08A1" w:rsidRPr="00445C93">
        <w:rPr>
          <w:rFonts w:ascii="Arial" w:hAnsi="Arial" w:cs="Arial"/>
        </w:rPr>
        <w:t>increase in customer</w:t>
      </w:r>
      <w:r w:rsidRPr="00445C93">
        <w:rPr>
          <w:rFonts w:ascii="Arial" w:hAnsi="Arial" w:cs="Arial"/>
        </w:rPr>
        <w:t xml:space="preserve"> weekly earnings and significant</w:t>
      </w:r>
      <w:r w:rsidR="0092122A" w:rsidRPr="00445C93">
        <w:rPr>
          <w:rFonts w:ascii="Arial" w:hAnsi="Arial" w:cs="Arial"/>
        </w:rPr>
        <w:t>ly</w:t>
      </w:r>
      <w:r w:rsidRPr="00445C93">
        <w:rPr>
          <w:rFonts w:ascii="Arial" w:hAnsi="Arial" w:cs="Arial"/>
        </w:rPr>
        <w:t xml:space="preserve"> decreases the need for public support.</w:t>
      </w:r>
    </w:p>
    <w:p w14:paraId="1972BF37" w14:textId="77777777" w:rsidR="00FF26CD" w:rsidRPr="008C41B1" w:rsidRDefault="00FF26CD" w:rsidP="008C41B1">
      <w:pPr>
        <w:pStyle w:val="BodyText2"/>
        <w:rPr>
          <w:rFonts w:ascii="Arial" w:hAnsi="Arial" w:cs="Arial"/>
        </w:rPr>
      </w:pPr>
    </w:p>
    <w:p w14:paraId="621E6BC2" w14:textId="7B7D0091" w:rsidR="00FF26CD" w:rsidRPr="008C41B1" w:rsidRDefault="00FF26CD" w:rsidP="008C41B1">
      <w:pPr>
        <w:autoSpaceDE w:val="0"/>
        <w:autoSpaceDN w:val="0"/>
        <w:adjustRightInd w:val="0"/>
        <w:jc w:val="both"/>
        <w:rPr>
          <w:rFonts w:ascii="Arial" w:hAnsi="Arial" w:cs="Arial"/>
          <w:szCs w:val="16"/>
        </w:rPr>
      </w:pPr>
      <w:r w:rsidRPr="008C41B1">
        <w:rPr>
          <w:rFonts w:ascii="Arial" w:hAnsi="Arial" w:cs="Arial"/>
          <w:szCs w:val="17"/>
        </w:rPr>
        <w:t>The structure of</w:t>
      </w:r>
      <w:r w:rsidR="005D7FF6">
        <w:rPr>
          <w:rFonts w:ascii="Arial" w:hAnsi="Arial" w:cs="Arial"/>
          <w:szCs w:val="17"/>
        </w:rPr>
        <w:t xml:space="preserve"> the Vocational Rehabilitation program</w:t>
      </w:r>
      <w:r w:rsidRPr="008C41B1">
        <w:rPr>
          <w:rFonts w:ascii="Arial" w:hAnsi="Arial" w:cs="Arial"/>
          <w:szCs w:val="17"/>
        </w:rPr>
        <w:t xml:space="preserve"> </w:t>
      </w:r>
      <w:r w:rsidR="00B0450E" w:rsidRPr="008C41B1">
        <w:rPr>
          <w:rFonts w:ascii="Arial" w:hAnsi="Arial" w:cs="Arial"/>
          <w:szCs w:val="17"/>
        </w:rPr>
        <w:t>includes Field Services</w:t>
      </w:r>
      <w:r w:rsidR="00EE15D7">
        <w:rPr>
          <w:rFonts w:ascii="Arial" w:hAnsi="Arial" w:cs="Arial"/>
          <w:szCs w:val="17"/>
        </w:rPr>
        <w:t xml:space="preserve">, </w:t>
      </w:r>
      <w:r w:rsidRPr="008C41B1">
        <w:rPr>
          <w:rFonts w:ascii="Arial" w:hAnsi="Arial" w:cs="Arial"/>
          <w:szCs w:val="17"/>
        </w:rPr>
        <w:t>Planning and Eva</w:t>
      </w:r>
      <w:r w:rsidR="00B0450E" w:rsidRPr="008C41B1">
        <w:rPr>
          <w:rFonts w:ascii="Arial" w:hAnsi="Arial" w:cs="Arial"/>
          <w:szCs w:val="17"/>
        </w:rPr>
        <w:t>luation</w:t>
      </w:r>
      <w:r w:rsidR="00EE15D7">
        <w:rPr>
          <w:rFonts w:ascii="Arial" w:hAnsi="Arial" w:cs="Arial"/>
          <w:szCs w:val="17"/>
        </w:rPr>
        <w:t xml:space="preserve">, </w:t>
      </w:r>
      <w:r w:rsidR="00B0450E" w:rsidRPr="008C41B1">
        <w:rPr>
          <w:rFonts w:ascii="Arial" w:hAnsi="Arial" w:cs="Arial"/>
          <w:szCs w:val="17"/>
        </w:rPr>
        <w:t>Fiscal</w:t>
      </w:r>
      <w:r w:rsidR="00EE15D7">
        <w:rPr>
          <w:rFonts w:ascii="Arial" w:hAnsi="Arial" w:cs="Arial"/>
          <w:szCs w:val="17"/>
        </w:rPr>
        <w:t>, Pre-Employment Transition Services</w:t>
      </w:r>
      <w:r w:rsidR="00A11B72">
        <w:rPr>
          <w:rFonts w:ascii="Arial" w:hAnsi="Arial" w:cs="Arial"/>
          <w:szCs w:val="17"/>
        </w:rPr>
        <w:t xml:space="preserve"> for students</w:t>
      </w:r>
      <w:r w:rsidR="00EE15D7">
        <w:rPr>
          <w:rFonts w:ascii="Arial" w:hAnsi="Arial" w:cs="Arial"/>
          <w:szCs w:val="17"/>
        </w:rPr>
        <w:t xml:space="preserve">, Business Engagement units, as well a general </w:t>
      </w:r>
      <w:r w:rsidR="00445C93">
        <w:rPr>
          <w:rFonts w:ascii="Arial" w:hAnsi="Arial" w:cs="Arial"/>
          <w:szCs w:val="17"/>
        </w:rPr>
        <w:t>administrative</w:t>
      </w:r>
      <w:r w:rsidR="00B0450E" w:rsidRPr="008C41B1">
        <w:rPr>
          <w:rFonts w:ascii="Arial" w:hAnsi="Arial" w:cs="Arial"/>
          <w:szCs w:val="17"/>
        </w:rPr>
        <w:t xml:space="preserve"> unit. Under the Field Services unit, there are </w:t>
      </w:r>
      <w:r w:rsidR="00A11B72">
        <w:rPr>
          <w:rFonts w:ascii="Arial" w:hAnsi="Arial" w:cs="Arial"/>
          <w:szCs w:val="17"/>
        </w:rPr>
        <w:t>four</w:t>
      </w:r>
      <w:r w:rsidR="004F0D94" w:rsidRPr="008C41B1">
        <w:rPr>
          <w:rFonts w:ascii="Arial" w:hAnsi="Arial" w:cs="Arial"/>
          <w:szCs w:val="17"/>
        </w:rPr>
        <w:t xml:space="preserve"> (</w:t>
      </w:r>
      <w:r w:rsidR="00A11B72">
        <w:rPr>
          <w:rFonts w:ascii="Arial" w:hAnsi="Arial" w:cs="Arial"/>
          <w:szCs w:val="17"/>
        </w:rPr>
        <w:t>4</w:t>
      </w:r>
      <w:r w:rsidR="004F0D94" w:rsidRPr="008C41B1">
        <w:rPr>
          <w:rFonts w:ascii="Arial" w:hAnsi="Arial" w:cs="Arial"/>
          <w:szCs w:val="17"/>
        </w:rPr>
        <w:t>)</w:t>
      </w:r>
      <w:r w:rsidR="00CC3642" w:rsidRPr="008C41B1">
        <w:rPr>
          <w:rFonts w:ascii="Arial" w:hAnsi="Arial" w:cs="Arial"/>
          <w:szCs w:val="17"/>
        </w:rPr>
        <w:t xml:space="preserve"> </w:t>
      </w:r>
      <w:r w:rsidR="00A11B72">
        <w:rPr>
          <w:rFonts w:ascii="Arial" w:hAnsi="Arial" w:cs="Arial"/>
          <w:szCs w:val="17"/>
        </w:rPr>
        <w:t>center</w:t>
      </w:r>
      <w:r w:rsidRPr="008C41B1">
        <w:rPr>
          <w:rFonts w:ascii="Arial" w:hAnsi="Arial" w:cs="Arial"/>
          <w:szCs w:val="17"/>
        </w:rPr>
        <w:t xml:space="preserve"> managers who supervise field staff in the following regions: </w:t>
      </w:r>
      <w:r w:rsidR="00B5633A">
        <w:rPr>
          <w:rFonts w:ascii="Arial" w:hAnsi="Arial" w:cs="Arial"/>
          <w:szCs w:val="17"/>
        </w:rPr>
        <w:t xml:space="preserve">Customer </w:t>
      </w:r>
      <w:r w:rsidR="00A11B72">
        <w:rPr>
          <w:rFonts w:ascii="Arial" w:hAnsi="Arial" w:cs="Arial"/>
          <w:szCs w:val="16"/>
        </w:rPr>
        <w:t>Center North,</w:t>
      </w:r>
      <w:r w:rsidR="00B5633A">
        <w:rPr>
          <w:rFonts w:ascii="Arial" w:hAnsi="Arial" w:cs="Arial"/>
          <w:szCs w:val="16"/>
        </w:rPr>
        <w:t xml:space="preserve"> Customer Center </w:t>
      </w:r>
      <w:proofErr w:type="gramStart"/>
      <w:r w:rsidR="00B5633A">
        <w:rPr>
          <w:rFonts w:ascii="Arial" w:hAnsi="Arial" w:cs="Arial"/>
          <w:szCs w:val="16"/>
        </w:rPr>
        <w:t>South West</w:t>
      </w:r>
      <w:proofErr w:type="gramEnd"/>
      <w:r w:rsidR="00B5633A">
        <w:rPr>
          <w:rFonts w:ascii="Arial" w:hAnsi="Arial" w:cs="Arial"/>
          <w:szCs w:val="16"/>
        </w:rPr>
        <w:t xml:space="preserve">, Customer Center South Central, and Customer Center </w:t>
      </w:r>
      <w:proofErr w:type="gramStart"/>
      <w:r w:rsidR="00B5633A">
        <w:rPr>
          <w:rFonts w:ascii="Arial" w:hAnsi="Arial" w:cs="Arial"/>
          <w:szCs w:val="16"/>
        </w:rPr>
        <w:t>South East</w:t>
      </w:r>
      <w:proofErr w:type="gramEnd"/>
      <w:r w:rsidR="00B5633A">
        <w:rPr>
          <w:rFonts w:ascii="Arial" w:hAnsi="Arial" w:cs="Arial"/>
          <w:szCs w:val="16"/>
        </w:rPr>
        <w:t>.</w:t>
      </w:r>
      <w:r w:rsidR="00A11B72">
        <w:rPr>
          <w:rFonts w:ascii="Arial" w:hAnsi="Arial" w:cs="Arial"/>
          <w:szCs w:val="16"/>
        </w:rPr>
        <w:t xml:space="preserve"> </w:t>
      </w:r>
    </w:p>
    <w:p w14:paraId="4418D5F5" w14:textId="77777777" w:rsidR="00FF26CD" w:rsidRPr="008C41B1" w:rsidRDefault="00FF26CD" w:rsidP="008C41B1">
      <w:pPr>
        <w:jc w:val="both"/>
        <w:rPr>
          <w:rFonts w:ascii="Arial" w:hAnsi="Arial" w:cs="Arial"/>
        </w:rPr>
      </w:pPr>
    </w:p>
    <w:p w14:paraId="0CE4B8F3" w14:textId="00D4A833" w:rsidR="00FF26CD" w:rsidRDefault="00F04378" w:rsidP="002B37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4813311"/>
      <w:r w:rsidRPr="00445C93">
        <w:rPr>
          <w:rFonts w:ascii="Arial" w:hAnsi="Arial" w:cs="Arial"/>
          <w:szCs w:val="16"/>
        </w:rPr>
        <w:t>The VR program</w:t>
      </w:r>
      <w:r w:rsidR="00FF26CD" w:rsidRPr="00445C93">
        <w:rPr>
          <w:rFonts w:ascii="Arial" w:hAnsi="Arial" w:cs="Arial"/>
          <w:szCs w:val="16"/>
        </w:rPr>
        <w:t xml:space="preserve"> </w:t>
      </w:r>
      <w:r w:rsidR="00A6535D" w:rsidRPr="00445C93">
        <w:rPr>
          <w:rFonts w:ascii="Arial" w:hAnsi="Arial" w:cs="Arial"/>
          <w:szCs w:val="16"/>
        </w:rPr>
        <w:t xml:space="preserve">has 141.5 FTPs </w:t>
      </w:r>
      <w:r w:rsidR="00C51846" w:rsidRPr="00445C93">
        <w:rPr>
          <w:rFonts w:ascii="Arial" w:hAnsi="Arial" w:cs="Arial"/>
          <w:szCs w:val="16"/>
        </w:rPr>
        <w:t xml:space="preserve">and </w:t>
      </w:r>
      <w:r w:rsidR="00FF26CD" w:rsidRPr="00445C93">
        <w:rPr>
          <w:rFonts w:ascii="Arial" w:hAnsi="Arial" w:cs="Arial"/>
          <w:szCs w:val="16"/>
        </w:rPr>
        <w:t xml:space="preserve">is comprised of </w:t>
      </w:r>
      <w:r w:rsidR="009016FA" w:rsidRPr="00445C93">
        <w:rPr>
          <w:rFonts w:ascii="Arial" w:hAnsi="Arial" w:cs="Arial"/>
          <w:szCs w:val="16"/>
        </w:rPr>
        <w:t>14</w:t>
      </w:r>
      <w:r w:rsidR="00B1795A" w:rsidRPr="00445C93">
        <w:rPr>
          <w:rFonts w:ascii="Arial" w:hAnsi="Arial" w:cs="Arial"/>
          <w:szCs w:val="16"/>
        </w:rPr>
        <w:t>5</w:t>
      </w:r>
      <w:r w:rsidR="002F699E" w:rsidRPr="00445C93">
        <w:rPr>
          <w:rFonts w:ascii="Arial" w:hAnsi="Arial" w:cs="Arial"/>
          <w:szCs w:val="16"/>
        </w:rPr>
        <w:t xml:space="preserve"> employees, of which 1</w:t>
      </w:r>
      <w:r w:rsidR="009016FA" w:rsidRPr="00445C93">
        <w:rPr>
          <w:rFonts w:ascii="Arial" w:hAnsi="Arial" w:cs="Arial"/>
          <w:szCs w:val="16"/>
        </w:rPr>
        <w:t>3</w:t>
      </w:r>
      <w:r w:rsidR="00B1795A" w:rsidRPr="00445C93">
        <w:rPr>
          <w:rFonts w:ascii="Arial" w:hAnsi="Arial" w:cs="Arial"/>
          <w:szCs w:val="16"/>
        </w:rPr>
        <w:t>7</w:t>
      </w:r>
      <w:r w:rsidR="00FF26CD" w:rsidRPr="00445C93">
        <w:rPr>
          <w:rFonts w:ascii="Arial" w:hAnsi="Arial" w:cs="Arial"/>
          <w:szCs w:val="16"/>
        </w:rPr>
        <w:t xml:space="preserve"> are full</w:t>
      </w:r>
      <w:r w:rsidR="00904BB4" w:rsidRPr="00445C93">
        <w:rPr>
          <w:rFonts w:ascii="Arial" w:hAnsi="Arial" w:cs="Arial"/>
          <w:szCs w:val="16"/>
        </w:rPr>
        <w:t>-</w:t>
      </w:r>
      <w:r w:rsidR="00FF26CD" w:rsidRPr="00445C93">
        <w:rPr>
          <w:rFonts w:ascii="Arial" w:hAnsi="Arial" w:cs="Arial"/>
          <w:szCs w:val="16"/>
        </w:rPr>
        <w:t>time positions</w:t>
      </w:r>
      <w:r w:rsidR="00FF26CD" w:rsidRPr="00140BCA">
        <w:rPr>
          <w:rFonts w:ascii="Arial" w:hAnsi="Arial" w:cs="Arial"/>
        </w:rPr>
        <w:t>.</w:t>
      </w:r>
      <w:r w:rsidR="00FF26CD" w:rsidRPr="009016FA">
        <w:rPr>
          <w:rFonts w:ascii="Arial" w:hAnsi="Arial" w:cs="Arial"/>
        </w:rPr>
        <w:t xml:space="preserve"> </w:t>
      </w:r>
      <w:r w:rsidR="001058C0">
        <w:rPr>
          <w:rFonts w:ascii="Arial" w:hAnsi="Arial" w:cs="Arial"/>
        </w:rPr>
        <w:t>There are nineteen (19) offices statewide</w:t>
      </w:r>
      <w:r w:rsidR="00FF26CD" w:rsidRPr="00474E1A">
        <w:rPr>
          <w:rFonts w:ascii="Arial" w:hAnsi="Arial" w:cs="Arial"/>
        </w:rPr>
        <w:t xml:space="preserve"> located </w:t>
      </w:r>
      <w:r w:rsidR="008B655D">
        <w:rPr>
          <w:rFonts w:ascii="Arial" w:hAnsi="Arial" w:cs="Arial"/>
        </w:rPr>
        <w:t xml:space="preserve">in </w:t>
      </w:r>
      <w:r w:rsidR="00FF26CD" w:rsidRPr="00474E1A">
        <w:rPr>
          <w:rFonts w:ascii="Arial" w:hAnsi="Arial" w:cs="Arial"/>
        </w:rPr>
        <w:t>Boise, Meridian, Coeur d’Alene, Sandpoint, Lewiston, Orofino, Twin Falls, Burley, Pocatello, Blackfoot, Preston,</w:t>
      </w:r>
      <w:r w:rsidR="00FF26CD" w:rsidRPr="006A6A49">
        <w:rPr>
          <w:rFonts w:ascii="Arial" w:hAnsi="Arial" w:cs="Arial"/>
          <w:color w:val="FF0000"/>
        </w:rPr>
        <w:t xml:space="preserve"> </w:t>
      </w:r>
      <w:r w:rsidR="00FF26CD" w:rsidRPr="00474E1A">
        <w:rPr>
          <w:rFonts w:ascii="Arial" w:hAnsi="Arial" w:cs="Arial"/>
        </w:rPr>
        <w:t>Rexburg, Nampa</w:t>
      </w:r>
      <w:r w:rsidR="001058C0">
        <w:rPr>
          <w:rFonts w:ascii="Arial" w:hAnsi="Arial" w:cs="Arial"/>
        </w:rPr>
        <w:t>, and</w:t>
      </w:r>
      <w:r w:rsidR="001058C0" w:rsidRPr="001058C0">
        <w:rPr>
          <w:rFonts w:ascii="Arial" w:hAnsi="Arial" w:cs="Arial"/>
        </w:rPr>
        <w:t xml:space="preserve"> </w:t>
      </w:r>
      <w:r w:rsidR="001058C0">
        <w:rPr>
          <w:rFonts w:ascii="Arial" w:hAnsi="Arial" w:cs="Arial"/>
        </w:rPr>
        <w:t xml:space="preserve">two (2) offices in </w:t>
      </w:r>
      <w:r w:rsidR="001058C0" w:rsidRPr="00474E1A">
        <w:rPr>
          <w:rFonts w:ascii="Arial" w:hAnsi="Arial" w:cs="Arial"/>
        </w:rPr>
        <w:t>Idaho Falls</w:t>
      </w:r>
      <w:r w:rsidR="00FF26CD" w:rsidRPr="00474E1A">
        <w:rPr>
          <w:rFonts w:ascii="Arial" w:hAnsi="Arial" w:cs="Arial"/>
        </w:rPr>
        <w:t xml:space="preserve">. </w:t>
      </w:r>
      <w:r w:rsidR="00FF26CD" w:rsidRPr="00B5633A">
        <w:rPr>
          <w:rFonts w:ascii="Arial" w:hAnsi="Arial" w:cs="Arial"/>
        </w:rPr>
        <w:t xml:space="preserve">There is one (1) </w:t>
      </w:r>
      <w:r w:rsidR="00B5633A" w:rsidRPr="0096037D">
        <w:rPr>
          <w:rFonts w:ascii="Arial" w:hAnsi="Arial" w:cs="Arial"/>
        </w:rPr>
        <w:t>Operations Support Center</w:t>
      </w:r>
      <w:r w:rsidR="00FF26CD" w:rsidRPr="00B5633A">
        <w:rPr>
          <w:rFonts w:ascii="Arial" w:hAnsi="Arial" w:cs="Arial"/>
        </w:rPr>
        <w:t xml:space="preserve">, </w:t>
      </w:r>
      <w:r w:rsidR="002F699E" w:rsidRPr="00B5633A">
        <w:rPr>
          <w:rFonts w:ascii="Arial" w:hAnsi="Arial" w:cs="Arial"/>
        </w:rPr>
        <w:t xml:space="preserve">and </w:t>
      </w:r>
      <w:r w:rsidR="002B3775" w:rsidRPr="00B5633A">
        <w:rPr>
          <w:rFonts w:ascii="Arial" w:hAnsi="Arial" w:cs="Arial"/>
        </w:rPr>
        <w:t>three</w:t>
      </w:r>
      <w:r w:rsidR="009016FA" w:rsidRPr="00B5633A">
        <w:rPr>
          <w:rFonts w:ascii="Arial" w:hAnsi="Arial" w:cs="Arial"/>
        </w:rPr>
        <w:t xml:space="preserve"> </w:t>
      </w:r>
      <w:r w:rsidR="002F699E" w:rsidRPr="00B5633A">
        <w:rPr>
          <w:rFonts w:ascii="Arial" w:hAnsi="Arial" w:cs="Arial"/>
        </w:rPr>
        <w:t>(</w:t>
      </w:r>
      <w:r w:rsidR="002B3775" w:rsidRPr="00B5633A">
        <w:rPr>
          <w:rFonts w:ascii="Arial" w:hAnsi="Arial" w:cs="Arial"/>
        </w:rPr>
        <w:t>3</w:t>
      </w:r>
      <w:r w:rsidR="00FF26CD" w:rsidRPr="00B5633A">
        <w:rPr>
          <w:rFonts w:ascii="Arial" w:hAnsi="Arial" w:cs="Arial"/>
        </w:rPr>
        <w:t xml:space="preserve">) </w:t>
      </w:r>
      <w:r w:rsidR="00AE68DE" w:rsidRPr="00B5633A">
        <w:rPr>
          <w:rFonts w:ascii="Arial" w:hAnsi="Arial" w:cs="Arial"/>
        </w:rPr>
        <w:t>c</w:t>
      </w:r>
      <w:r w:rsidR="00FF26CD" w:rsidRPr="00B5633A">
        <w:rPr>
          <w:rFonts w:ascii="Arial" w:hAnsi="Arial" w:cs="Arial"/>
        </w:rPr>
        <w:t xml:space="preserve">orrections </w:t>
      </w:r>
      <w:r w:rsidR="00AE68DE" w:rsidRPr="00B5633A">
        <w:rPr>
          <w:rFonts w:ascii="Arial" w:hAnsi="Arial" w:cs="Arial"/>
        </w:rPr>
        <w:t>s</w:t>
      </w:r>
      <w:r w:rsidR="00FF26CD" w:rsidRPr="00B5633A">
        <w:rPr>
          <w:rFonts w:ascii="Arial" w:hAnsi="Arial" w:cs="Arial"/>
        </w:rPr>
        <w:t>ub-</w:t>
      </w:r>
      <w:r w:rsidR="00AE68DE" w:rsidRPr="00B5633A">
        <w:rPr>
          <w:rFonts w:ascii="Arial" w:hAnsi="Arial" w:cs="Arial"/>
        </w:rPr>
        <w:t>o</w:t>
      </w:r>
      <w:r w:rsidR="00FF26CD" w:rsidRPr="00B5633A">
        <w:rPr>
          <w:rFonts w:ascii="Arial" w:hAnsi="Arial" w:cs="Arial"/>
        </w:rPr>
        <w:t>ffices.</w:t>
      </w:r>
      <w:r w:rsidR="00C41FF9">
        <w:rPr>
          <w:rFonts w:ascii="Arial" w:hAnsi="Arial" w:cs="Arial"/>
        </w:rPr>
        <w:t xml:space="preserve">  </w:t>
      </w:r>
      <w:bookmarkEnd w:id="0"/>
    </w:p>
    <w:p w14:paraId="0FD390EA" w14:textId="77777777" w:rsidR="00563554" w:rsidRPr="008C41B1" w:rsidRDefault="00563554" w:rsidP="002B37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97F8FA" w14:textId="77777777" w:rsidR="00FF26CD" w:rsidRPr="000D6A17" w:rsidRDefault="00FF26CD" w:rsidP="000D6A17">
      <w:pPr>
        <w:spacing w:after="240"/>
        <w:rPr>
          <w:rFonts w:ascii="Arial" w:hAnsi="Arial" w:cs="Arial"/>
          <w:b/>
          <w:i/>
          <w:sz w:val="24"/>
          <w:szCs w:val="24"/>
        </w:rPr>
      </w:pPr>
      <w:r w:rsidRPr="000D6A17">
        <w:rPr>
          <w:rFonts w:ascii="Arial" w:hAnsi="Arial" w:cs="Arial"/>
          <w:b/>
          <w:sz w:val="24"/>
          <w:szCs w:val="24"/>
        </w:rPr>
        <w:t>Core Functions/Idaho Code</w:t>
      </w:r>
    </w:p>
    <w:p w14:paraId="0A37593A" w14:textId="12CDF250" w:rsidR="00FF26CD" w:rsidRPr="008C41B1" w:rsidRDefault="00FF26CD" w:rsidP="008C41B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6"/>
        </w:rPr>
      </w:pPr>
      <w:r w:rsidRPr="000D6A17">
        <w:rPr>
          <w:rStyle w:val="SC31003"/>
          <w:rFonts w:ascii="Arial" w:hAnsi="Arial" w:cs="Arial"/>
          <w:b w:val="0"/>
          <w:bCs/>
          <w:color w:val="auto"/>
          <w:sz w:val="20"/>
          <w:szCs w:val="19"/>
        </w:rPr>
        <w:t>Legal Authority for the Idaho Division of Vocational Rehabilitation is</w:t>
      </w:r>
      <w:r w:rsidRPr="008C41B1">
        <w:rPr>
          <w:rStyle w:val="SC31003"/>
          <w:rFonts w:ascii="Arial" w:hAnsi="Arial" w:cs="Arial"/>
          <w:color w:val="auto"/>
          <w:sz w:val="20"/>
          <w:szCs w:val="19"/>
        </w:rPr>
        <w:t xml:space="preserve"> </w:t>
      </w:r>
      <w:r w:rsidRPr="008C41B1">
        <w:rPr>
          <w:rFonts w:ascii="Arial" w:hAnsi="Arial" w:cs="Arial"/>
        </w:rPr>
        <w:t>Idaho Code</w:t>
      </w:r>
      <w:r w:rsidR="00640FE6">
        <w:rPr>
          <w:rFonts w:ascii="Arial" w:hAnsi="Arial" w:cs="Arial"/>
        </w:rPr>
        <w:t>,</w:t>
      </w:r>
      <w:r w:rsidRPr="008C41B1">
        <w:rPr>
          <w:rFonts w:ascii="Arial" w:hAnsi="Arial" w:cs="Arial"/>
        </w:rPr>
        <w:t xml:space="preserve"> 33-2301</w:t>
      </w:r>
      <w:r w:rsidR="00640FE6">
        <w:rPr>
          <w:rFonts w:ascii="Arial" w:hAnsi="Arial" w:cs="Arial"/>
        </w:rPr>
        <w:t>,</w:t>
      </w:r>
      <w:r w:rsidRPr="008C41B1">
        <w:rPr>
          <w:rFonts w:ascii="Arial" w:hAnsi="Arial" w:cs="Arial"/>
        </w:rPr>
        <w:t xml:space="preserve"> and the Rehabilitation Act of 1973, as amended</w:t>
      </w:r>
      <w:r w:rsidR="00721C17" w:rsidRPr="008C41B1">
        <w:rPr>
          <w:rFonts w:ascii="Arial" w:hAnsi="Arial" w:cs="Arial"/>
        </w:rPr>
        <w:t xml:space="preserve"> by the Workforce Innovation and Opportunity Act (WIOA)</w:t>
      </w:r>
      <w:r w:rsidRPr="008C41B1">
        <w:rPr>
          <w:rFonts w:ascii="Arial" w:hAnsi="Arial" w:cs="Arial"/>
        </w:rPr>
        <w:t xml:space="preserve">, </w:t>
      </w:r>
      <w:r w:rsidR="00126FA1">
        <w:rPr>
          <w:rFonts w:ascii="Arial" w:hAnsi="Arial" w:cs="Arial"/>
        </w:rPr>
        <w:t>Public Law 113</w:t>
      </w:r>
      <w:r w:rsidR="00190976">
        <w:rPr>
          <w:rFonts w:ascii="Arial" w:hAnsi="Arial" w:cs="Arial"/>
        </w:rPr>
        <w:t>-128</w:t>
      </w:r>
      <w:r w:rsidRPr="008C41B1">
        <w:rPr>
          <w:rFonts w:ascii="Arial" w:hAnsi="Arial" w:cs="Arial"/>
          <w:szCs w:val="26"/>
        </w:rPr>
        <w:t xml:space="preserve"> and is augmented by regulations promulgated and set forth </w:t>
      </w:r>
      <w:r w:rsidR="0092122A">
        <w:rPr>
          <w:rFonts w:ascii="Arial" w:hAnsi="Arial" w:cs="Arial"/>
          <w:szCs w:val="26"/>
        </w:rPr>
        <w:t>in</w:t>
      </w:r>
      <w:r w:rsidRPr="008C41B1">
        <w:rPr>
          <w:rFonts w:ascii="Arial" w:hAnsi="Arial" w:cs="Arial"/>
          <w:szCs w:val="26"/>
        </w:rPr>
        <w:t xml:space="preserve"> 34 CFR §</w:t>
      </w:r>
      <w:r w:rsidR="0085303C" w:rsidRPr="008C41B1">
        <w:rPr>
          <w:rFonts w:ascii="Arial" w:hAnsi="Arial" w:cs="Arial"/>
          <w:szCs w:val="26"/>
        </w:rPr>
        <w:t>§</w:t>
      </w:r>
      <w:r w:rsidRPr="008C41B1">
        <w:rPr>
          <w:rFonts w:ascii="Arial" w:hAnsi="Arial" w:cs="Arial"/>
          <w:szCs w:val="26"/>
        </w:rPr>
        <w:t xml:space="preserve"> 361</w:t>
      </w:r>
      <w:r w:rsidR="00190976">
        <w:rPr>
          <w:rFonts w:ascii="Arial" w:hAnsi="Arial" w:cs="Arial"/>
          <w:szCs w:val="26"/>
        </w:rPr>
        <w:t>, 363, and 397</w:t>
      </w:r>
      <w:r w:rsidRPr="008C41B1">
        <w:rPr>
          <w:rFonts w:ascii="Arial" w:hAnsi="Arial" w:cs="Arial"/>
          <w:szCs w:val="26"/>
        </w:rPr>
        <w:t>.</w:t>
      </w:r>
      <w:r w:rsidRPr="008C41B1">
        <w:rPr>
          <w:rFonts w:ascii="Arial" w:hAnsi="Arial" w:cs="Arial"/>
          <w:i/>
          <w:iCs/>
          <w:szCs w:val="26"/>
        </w:rPr>
        <w:t xml:space="preserve"> </w:t>
      </w:r>
    </w:p>
    <w:p w14:paraId="0866C7B6" w14:textId="77777777" w:rsidR="00FF26CD" w:rsidRPr="008C41B1" w:rsidRDefault="00FF26CD" w:rsidP="008C41B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6"/>
        </w:rPr>
      </w:pPr>
    </w:p>
    <w:p w14:paraId="6A084916" w14:textId="770B379B" w:rsidR="00FF26CD" w:rsidRPr="008C41B1" w:rsidRDefault="00FF26CD" w:rsidP="008C41B1">
      <w:pPr>
        <w:pStyle w:val="BodyText2"/>
        <w:rPr>
          <w:rFonts w:ascii="Arial" w:hAnsi="Arial" w:cs="Arial"/>
        </w:rPr>
      </w:pPr>
      <w:r w:rsidRPr="008C41B1">
        <w:rPr>
          <w:rFonts w:ascii="Arial" w:hAnsi="Arial" w:cs="Arial"/>
        </w:rPr>
        <w:t>Services that may be available</w:t>
      </w:r>
      <w:r w:rsidR="007A626B">
        <w:rPr>
          <w:rFonts w:ascii="Arial" w:hAnsi="Arial" w:cs="Arial"/>
        </w:rPr>
        <w:t xml:space="preserve"> to individuals with disabilities</w:t>
      </w:r>
      <w:r w:rsidRPr="008C41B1">
        <w:rPr>
          <w:rFonts w:ascii="Arial" w:hAnsi="Arial" w:cs="Arial"/>
        </w:rPr>
        <w:t xml:space="preserve"> include evaluation of rehabilitation potential, vocational guidance and counseling, physical and mental restoration, vocational, </w:t>
      </w:r>
      <w:r w:rsidR="00173B3A" w:rsidRPr="008C41B1">
        <w:rPr>
          <w:rFonts w:ascii="Arial" w:hAnsi="Arial" w:cs="Arial"/>
        </w:rPr>
        <w:t>academic,</w:t>
      </w:r>
      <w:r w:rsidRPr="008C41B1">
        <w:rPr>
          <w:rFonts w:ascii="Arial" w:hAnsi="Arial" w:cs="Arial"/>
        </w:rPr>
        <w:t xml:space="preserve"> and other </w:t>
      </w:r>
      <w:r w:rsidR="007A626B">
        <w:rPr>
          <w:rFonts w:ascii="Arial" w:hAnsi="Arial" w:cs="Arial"/>
        </w:rPr>
        <w:t xml:space="preserve">related </w:t>
      </w:r>
      <w:r w:rsidRPr="008C41B1">
        <w:rPr>
          <w:rFonts w:ascii="Arial" w:hAnsi="Arial" w:cs="Arial"/>
        </w:rPr>
        <w:t xml:space="preserve">training, </w:t>
      </w:r>
      <w:r w:rsidR="00AE68DE">
        <w:rPr>
          <w:rFonts w:ascii="Arial" w:hAnsi="Arial" w:cs="Arial"/>
        </w:rPr>
        <w:t xml:space="preserve">and </w:t>
      </w:r>
      <w:r w:rsidRPr="008C41B1">
        <w:rPr>
          <w:rFonts w:ascii="Arial" w:hAnsi="Arial" w:cs="Arial"/>
        </w:rPr>
        <w:t xml:space="preserve">job placement and other </w:t>
      </w:r>
      <w:r w:rsidR="007A626B">
        <w:rPr>
          <w:rFonts w:ascii="Arial" w:hAnsi="Arial" w:cs="Arial"/>
        </w:rPr>
        <w:t xml:space="preserve">support </w:t>
      </w:r>
      <w:r w:rsidRPr="008C41B1">
        <w:rPr>
          <w:rFonts w:ascii="Arial" w:hAnsi="Arial" w:cs="Arial"/>
        </w:rPr>
        <w:t xml:space="preserve">services, which can reasonably be expected to benefit the individual in terms of employment. </w:t>
      </w:r>
    </w:p>
    <w:p w14:paraId="5AE8C521" w14:textId="77777777" w:rsidR="00FF26CD" w:rsidRPr="008C41B1" w:rsidRDefault="00FF26CD" w:rsidP="008C41B1">
      <w:pPr>
        <w:jc w:val="both"/>
        <w:rPr>
          <w:rFonts w:ascii="Arial" w:hAnsi="Arial" w:cs="Arial"/>
        </w:rPr>
      </w:pPr>
    </w:p>
    <w:p w14:paraId="23FE2297" w14:textId="42517D6C" w:rsidR="0084158A" w:rsidRPr="003F5CA6" w:rsidRDefault="0084158A" w:rsidP="0084158A">
      <w:pPr>
        <w:jc w:val="both"/>
        <w:rPr>
          <w:rFonts w:ascii="Arial" w:hAnsi="Arial" w:cs="Arial"/>
        </w:rPr>
      </w:pPr>
      <w:bookmarkStart w:id="1" w:name="_Hlk14442320"/>
      <w:r w:rsidRPr="00A44BC8">
        <w:rPr>
          <w:rFonts w:ascii="Arial" w:hAnsi="Arial" w:cs="Arial"/>
        </w:rPr>
        <w:t>Effective July 1, 2022</w:t>
      </w:r>
      <w:r w:rsidR="00A52CA1">
        <w:rPr>
          <w:rFonts w:ascii="Arial" w:hAnsi="Arial" w:cs="Arial"/>
        </w:rPr>
        <w:t xml:space="preserve"> (FY 23)</w:t>
      </w:r>
      <w:r w:rsidRPr="00A44BC8">
        <w:rPr>
          <w:rFonts w:ascii="Arial" w:hAnsi="Arial" w:cs="Arial"/>
        </w:rPr>
        <w:t>, Senate Bill No.</w:t>
      </w:r>
      <w:r w:rsidR="007A626B" w:rsidRPr="00A44BC8">
        <w:rPr>
          <w:rFonts w:ascii="Arial" w:hAnsi="Arial" w:cs="Arial"/>
        </w:rPr>
        <w:t xml:space="preserve"> </w:t>
      </w:r>
      <w:r w:rsidRPr="00A44BC8">
        <w:rPr>
          <w:rFonts w:ascii="Arial" w:hAnsi="Arial" w:cs="Arial"/>
        </w:rPr>
        <w:t xml:space="preserve">1399 transferred the administration of the Extended Employment Services (EES) program from the Idaho Division of Vocational Rehabilitation to the </w:t>
      </w:r>
      <w:r w:rsidR="0085303C" w:rsidRPr="00A44BC8">
        <w:rPr>
          <w:rFonts w:ascii="Arial" w:hAnsi="Arial" w:cs="Arial"/>
        </w:rPr>
        <w:t xml:space="preserve">Idaho </w:t>
      </w:r>
      <w:r w:rsidRPr="00A44BC8">
        <w:rPr>
          <w:rFonts w:ascii="Arial" w:hAnsi="Arial" w:cs="Arial"/>
        </w:rPr>
        <w:t>Department of Health and Welfare.</w:t>
      </w:r>
      <w:r w:rsidR="007A626B" w:rsidRPr="00A44BC8">
        <w:rPr>
          <w:rFonts w:ascii="Arial" w:hAnsi="Arial" w:cs="Arial"/>
        </w:rPr>
        <w:t xml:space="preserve">  The Division will no longer report information </w:t>
      </w:r>
      <w:r w:rsidR="00906F35">
        <w:rPr>
          <w:rFonts w:ascii="Arial" w:hAnsi="Arial" w:cs="Arial"/>
        </w:rPr>
        <w:t>on</w:t>
      </w:r>
      <w:r w:rsidR="007A626B" w:rsidRPr="00A44BC8">
        <w:rPr>
          <w:rFonts w:ascii="Arial" w:hAnsi="Arial" w:cs="Arial"/>
        </w:rPr>
        <w:t xml:space="preserve"> this </w:t>
      </w:r>
      <w:r w:rsidR="0096037D" w:rsidRPr="00A44BC8">
        <w:rPr>
          <w:rFonts w:ascii="Arial" w:hAnsi="Arial" w:cs="Arial"/>
        </w:rPr>
        <w:t>program</w:t>
      </w:r>
      <w:r w:rsidR="0096037D">
        <w:rPr>
          <w:rFonts w:ascii="Arial" w:hAnsi="Arial" w:cs="Arial"/>
        </w:rPr>
        <w:t xml:space="preserve"> but</w:t>
      </w:r>
      <w:r w:rsidR="00A52CA1">
        <w:rPr>
          <w:rFonts w:ascii="Arial" w:hAnsi="Arial" w:cs="Arial"/>
        </w:rPr>
        <w:t xml:space="preserve"> will retain this statement while the period remains reflected in the Performance Management Report.</w:t>
      </w:r>
      <w:r w:rsidR="007A626B" w:rsidRPr="00A44BC8">
        <w:rPr>
          <w:rFonts w:ascii="Arial" w:hAnsi="Arial" w:cs="Arial"/>
        </w:rPr>
        <w:t xml:space="preserve"> </w:t>
      </w:r>
      <w:r w:rsidRPr="00A44BC8">
        <w:rPr>
          <w:rFonts w:ascii="Arial" w:hAnsi="Arial" w:cs="Arial"/>
        </w:rPr>
        <w:t xml:space="preserve">  </w:t>
      </w:r>
    </w:p>
    <w:bookmarkEnd w:id="1"/>
    <w:p w14:paraId="4D181EBC" w14:textId="77777777" w:rsidR="003868DB" w:rsidRPr="008C41B1" w:rsidRDefault="003868DB" w:rsidP="008C41B1">
      <w:pPr>
        <w:jc w:val="both"/>
        <w:rPr>
          <w:rFonts w:ascii="Arial" w:hAnsi="Arial" w:cs="Arial"/>
        </w:rPr>
      </w:pPr>
    </w:p>
    <w:p w14:paraId="6FE226A9" w14:textId="5DB81D28" w:rsidR="00786A42" w:rsidRDefault="00284FC4" w:rsidP="008C41B1">
      <w:pPr>
        <w:jc w:val="both"/>
        <w:rPr>
          <w:rFonts w:ascii="Arial" w:hAnsi="Arial" w:cs="Arial"/>
        </w:rPr>
      </w:pPr>
      <w:r w:rsidRPr="008C41B1">
        <w:rPr>
          <w:rFonts w:ascii="Arial" w:hAnsi="Arial" w:cs="Arial"/>
        </w:rPr>
        <w:t>Council for the Deaf and Hard of Hear</w:t>
      </w:r>
      <w:r>
        <w:rPr>
          <w:rFonts w:ascii="Arial" w:hAnsi="Arial" w:cs="Arial"/>
        </w:rPr>
        <w:t>ing (</w:t>
      </w:r>
      <w:r w:rsidR="003868DB" w:rsidRPr="008C41B1">
        <w:rPr>
          <w:rFonts w:ascii="Arial" w:hAnsi="Arial" w:cs="Arial"/>
        </w:rPr>
        <w:t>CDHH</w:t>
      </w:r>
      <w:r>
        <w:rPr>
          <w:rFonts w:ascii="Arial" w:hAnsi="Arial" w:cs="Arial"/>
        </w:rPr>
        <w:t>)</w:t>
      </w:r>
      <w:r w:rsidR="003868DB" w:rsidRPr="008C41B1">
        <w:rPr>
          <w:rFonts w:ascii="Arial" w:hAnsi="Arial" w:cs="Arial"/>
        </w:rPr>
        <w:t xml:space="preserve"> is an independent agency. This is a flow-through council for budgetary and administrative support purposes only with no direct programmatic implication for IDVR. </w:t>
      </w:r>
      <w:r w:rsidR="005D7FF6">
        <w:rPr>
          <w:rFonts w:ascii="Arial" w:hAnsi="Arial" w:cs="Arial"/>
        </w:rPr>
        <w:t xml:space="preserve">The program </w:t>
      </w:r>
      <w:r w:rsidR="007A626B">
        <w:rPr>
          <w:rFonts w:ascii="Arial" w:hAnsi="Arial" w:cs="Arial"/>
        </w:rPr>
        <w:t xml:space="preserve">has 4.5 FTP, of which </w:t>
      </w:r>
      <w:r w:rsidR="007A626B" w:rsidRPr="00A44BC8">
        <w:rPr>
          <w:rFonts w:ascii="Arial" w:hAnsi="Arial" w:cs="Arial"/>
        </w:rPr>
        <w:t xml:space="preserve">four </w:t>
      </w:r>
      <w:r w:rsidR="007A626B">
        <w:rPr>
          <w:rFonts w:ascii="Arial" w:hAnsi="Arial" w:cs="Arial"/>
        </w:rPr>
        <w:t xml:space="preserve">are </w:t>
      </w:r>
      <w:r w:rsidR="00DC38B2" w:rsidRPr="00A44BC8">
        <w:rPr>
          <w:rFonts w:ascii="Arial" w:hAnsi="Arial" w:cs="Arial"/>
        </w:rPr>
        <w:t xml:space="preserve">full-time </w:t>
      </w:r>
      <w:r w:rsidR="007A626B">
        <w:rPr>
          <w:rFonts w:ascii="Arial" w:hAnsi="Arial" w:cs="Arial"/>
        </w:rPr>
        <w:t>and one is a part-time position</w:t>
      </w:r>
      <w:r w:rsidR="00DC38B2" w:rsidRPr="00445C93">
        <w:rPr>
          <w:rFonts w:ascii="Arial" w:hAnsi="Arial" w:cs="Arial"/>
        </w:rPr>
        <w:t>.</w:t>
      </w:r>
      <w:r w:rsidR="005D7FF6">
        <w:rPr>
          <w:rFonts w:ascii="Arial" w:hAnsi="Arial" w:cs="Arial"/>
        </w:rPr>
        <w:t xml:space="preserve"> </w:t>
      </w:r>
      <w:r w:rsidR="003868DB" w:rsidRPr="008C41B1">
        <w:rPr>
          <w:rFonts w:ascii="Arial" w:hAnsi="Arial" w:cs="Arial"/>
        </w:rPr>
        <w:t xml:space="preserve">The Council’s vision is to ensure that individuals who are deaf, hard of hearing, or hearing impaired have a centralized location to obtain resources and information about </w:t>
      </w:r>
      <w:r>
        <w:rPr>
          <w:rFonts w:ascii="Arial" w:hAnsi="Arial" w:cs="Arial"/>
        </w:rPr>
        <w:t xml:space="preserve">available </w:t>
      </w:r>
      <w:r w:rsidR="003868DB" w:rsidRPr="008C41B1">
        <w:rPr>
          <w:rFonts w:ascii="Arial" w:hAnsi="Arial" w:cs="Arial"/>
        </w:rPr>
        <w:t>services</w:t>
      </w:r>
      <w:r w:rsidR="00317F17" w:rsidRPr="008C41B1">
        <w:rPr>
          <w:rFonts w:ascii="Arial" w:hAnsi="Arial" w:cs="Arial"/>
        </w:rPr>
        <w:t xml:space="preserve"> (Idaho Code, Title 67, Chapter 73, </w:t>
      </w:r>
      <w:r w:rsidR="0025616B" w:rsidRPr="008C41B1">
        <w:rPr>
          <w:rFonts w:ascii="Arial" w:hAnsi="Arial" w:cs="Arial"/>
        </w:rPr>
        <w:t>Idaho State Council for the Deaf and Hard of Hearing 67-7301 – 67-7308)</w:t>
      </w:r>
      <w:r w:rsidR="003868DB" w:rsidRPr="008C41B1">
        <w:rPr>
          <w:rFonts w:ascii="Arial" w:hAnsi="Arial" w:cs="Arial"/>
        </w:rPr>
        <w:t>.</w:t>
      </w:r>
    </w:p>
    <w:p w14:paraId="2464ECA5" w14:textId="77777777" w:rsidR="00786A42" w:rsidRDefault="00786A42" w:rsidP="008C41B1">
      <w:pPr>
        <w:jc w:val="both"/>
        <w:rPr>
          <w:rFonts w:ascii="Arial" w:hAnsi="Arial" w:cs="Arial"/>
        </w:rPr>
      </w:pPr>
    </w:p>
    <w:p w14:paraId="6DA9DD98" w14:textId="77777777" w:rsidR="00786A42" w:rsidRDefault="00786A42" w:rsidP="008C41B1">
      <w:pPr>
        <w:jc w:val="both"/>
        <w:rPr>
          <w:rFonts w:ascii="Arial" w:hAnsi="Arial" w:cs="Arial"/>
        </w:rPr>
      </w:pPr>
    </w:p>
    <w:p w14:paraId="67B5798D" w14:textId="77777777" w:rsidR="004511C6" w:rsidRDefault="004511C6" w:rsidP="00D37DB9">
      <w:pPr>
        <w:rPr>
          <w:rFonts w:ascii="Arial" w:hAnsi="Arial" w:cs="Arial"/>
        </w:rPr>
      </w:pPr>
    </w:p>
    <w:p w14:paraId="48AAC41C" w14:textId="77777777" w:rsidR="0045075A" w:rsidRDefault="0045075A" w:rsidP="008C41B1">
      <w:pPr>
        <w:jc w:val="both"/>
        <w:rPr>
          <w:rFonts w:ascii="Arial" w:hAnsi="Arial" w:cs="Arial"/>
          <w:b/>
          <w:bCs/>
        </w:rPr>
      </w:pPr>
    </w:p>
    <w:p w14:paraId="55753D43" w14:textId="77777777" w:rsidR="00FF26CD" w:rsidRPr="000D6A17" w:rsidRDefault="00240C08" w:rsidP="000D6A17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74104654"/>
      <w:r w:rsidRPr="000D6A17">
        <w:rPr>
          <w:rFonts w:ascii="Arial" w:hAnsi="Arial" w:cs="Arial"/>
          <w:b/>
          <w:bCs/>
          <w:sz w:val="24"/>
          <w:szCs w:val="24"/>
        </w:rPr>
        <w:t>R</w:t>
      </w:r>
      <w:r w:rsidR="00FF26CD" w:rsidRPr="000D6A17">
        <w:rPr>
          <w:rFonts w:ascii="Arial" w:hAnsi="Arial" w:cs="Arial"/>
          <w:b/>
          <w:bCs/>
          <w:sz w:val="24"/>
          <w:szCs w:val="24"/>
        </w:rPr>
        <w:t>evenue and Expenditures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1802"/>
        <w:gridCol w:w="1802"/>
        <w:gridCol w:w="1802"/>
        <w:gridCol w:w="1802"/>
      </w:tblGrid>
      <w:tr w:rsidR="00AF47C3" w:rsidRPr="008C41B1" w14:paraId="41955468" w14:textId="5E6A4C4D" w:rsidTr="00A14F83">
        <w:trPr>
          <w:trHeight w:val="314"/>
        </w:trPr>
        <w:tc>
          <w:tcPr>
            <w:tcW w:w="2862" w:type="dxa"/>
            <w:shd w:val="clear" w:color="auto" w:fill="000080"/>
            <w:hideMark/>
          </w:tcPr>
          <w:p w14:paraId="0DBC03E4" w14:textId="77777777" w:rsidR="00AF47C3" w:rsidRPr="008C41B1" w:rsidRDefault="00AF47C3" w:rsidP="00AF47C3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3" w:name="OLE_LINK10"/>
            <w:bookmarkStart w:id="4" w:name="OLE_LINK9"/>
            <w:r w:rsidRPr="008C41B1">
              <w:rPr>
                <w:rFonts w:ascii="Arial" w:hAnsi="Arial" w:cs="Arial"/>
                <w:b/>
                <w:bCs/>
                <w:color w:val="FFFFFF"/>
              </w:rPr>
              <w:t>Revenue</w:t>
            </w:r>
          </w:p>
        </w:tc>
        <w:tc>
          <w:tcPr>
            <w:tcW w:w="1802" w:type="dxa"/>
            <w:shd w:val="clear" w:color="auto" w:fill="000080"/>
          </w:tcPr>
          <w:p w14:paraId="1A28B91C" w14:textId="54AB2594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 2022</w:t>
            </w:r>
          </w:p>
        </w:tc>
        <w:tc>
          <w:tcPr>
            <w:tcW w:w="1802" w:type="dxa"/>
            <w:shd w:val="clear" w:color="auto" w:fill="000080"/>
          </w:tcPr>
          <w:p w14:paraId="275238FF" w14:textId="1A95989A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 2023</w:t>
            </w:r>
          </w:p>
        </w:tc>
        <w:tc>
          <w:tcPr>
            <w:tcW w:w="1802" w:type="dxa"/>
            <w:shd w:val="clear" w:color="auto" w:fill="000080"/>
          </w:tcPr>
          <w:p w14:paraId="00EDFF6C" w14:textId="0266407A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FY2024</w:t>
            </w:r>
          </w:p>
        </w:tc>
        <w:tc>
          <w:tcPr>
            <w:tcW w:w="1802" w:type="dxa"/>
            <w:shd w:val="clear" w:color="auto" w:fill="000080"/>
          </w:tcPr>
          <w:p w14:paraId="2EFE1817" w14:textId="5D563039" w:rsidR="00AF47C3" w:rsidRDefault="00AF47C3" w:rsidP="00AF47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FY2025</w:t>
            </w:r>
          </w:p>
        </w:tc>
      </w:tr>
      <w:tr w:rsidR="00AF47C3" w:rsidRPr="008C41B1" w14:paraId="0ED83AE5" w14:textId="64EEF655" w:rsidTr="00A14F83">
        <w:trPr>
          <w:trHeight w:val="243"/>
        </w:trPr>
        <w:tc>
          <w:tcPr>
            <w:tcW w:w="2862" w:type="dxa"/>
            <w:vAlign w:val="bottom"/>
            <w:hideMark/>
          </w:tcPr>
          <w:p w14:paraId="18D3E7DC" w14:textId="77777777" w:rsidR="00AF47C3" w:rsidRPr="008C41B1" w:rsidRDefault="00AF47C3" w:rsidP="00AF47C3">
            <w:pPr>
              <w:rPr>
                <w:rFonts w:ascii="Arial" w:hAnsi="Arial" w:cs="Arial"/>
                <w:color w:val="000000"/>
              </w:rPr>
            </w:pPr>
            <w:r w:rsidRPr="008C41B1">
              <w:rPr>
                <w:rFonts w:ascii="Arial" w:hAnsi="Arial" w:cs="Arial"/>
                <w:color w:val="000000"/>
              </w:rPr>
              <w:t>General Fund</w:t>
            </w:r>
          </w:p>
        </w:tc>
        <w:tc>
          <w:tcPr>
            <w:tcW w:w="1802" w:type="dxa"/>
          </w:tcPr>
          <w:p w14:paraId="362652F7" w14:textId="491285F9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$8,207,401</w:t>
            </w:r>
          </w:p>
        </w:tc>
        <w:tc>
          <w:tcPr>
            <w:tcW w:w="1802" w:type="dxa"/>
          </w:tcPr>
          <w:p w14:paraId="774992A9" w14:textId="66AA8D20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$4,987,150</w:t>
            </w:r>
          </w:p>
        </w:tc>
        <w:tc>
          <w:tcPr>
            <w:tcW w:w="1802" w:type="dxa"/>
          </w:tcPr>
          <w:p w14:paraId="1472A0BE" w14:textId="37F50581" w:rsidR="00AF47C3" w:rsidRPr="005371AC" w:rsidRDefault="00AF47C3" w:rsidP="00AF47C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2F7BB4">
              <w:rPr>
                <w:rFonts w:ascii="Arial" w:hAnsi="Arial" w:cs="Arial"/>
                <w:color w:val="000000"/>
              </w:rPr>
              <w:t>4,608,879</w:t>
            </w:r>
          </w:p>
        </w:tc>
        <w:tc>
          <w:tcPr>
            <w:tcW w:w="1802" w:type="dxa"/>
          </w:tcPr>
          <w:p w14:paraId="3E6CFBC3" w14:textId="55137754" w:rsidR="00AF47C3" w:rsidRDefault="00AF47C3" w:rsidP="00AF47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F47C3" w:rsidRPr="008C41B1" w14:paraId="5CA3C785" w14:textId="76033C5B" w:rsidTr="00A14F83">
        <w:tc>
          <w:tcPr>
            <w:tcW w:w="2862" w:type="dxa"/>
            <w:hideMark/>
          </w:tcPr>
          <w:p w14:paraId="18582A87" w14:textId="77777777" w:rsidR="00AF47C3" w:rsidRPr="008C41B1" w:rsidRDefault="00AF47C3" w:rsidP="00AF47C3">
            <w:pPr>
              <w:rPr>
                <w:rFonts w:ascii="Arial" w:hAnsi="Arial" w:cs="Arial"/>
                <w:color w:val="000000"/>
              </w:rPr>
            </w:pPr>
            <w:r w:rsidRPr="008C41B1">
              <w:rPr>
                <w:rFonts w:ascii="Arial" w:hAnsi="Arial" w:cs="Arial"/>
                <w:color w:val="000000"/>
              </w:rPr>
              <w:t>Rehab Rev &amp; Refunds</w:t>
            </w:r>
          </w:p>
        </w:tc>
        <w:tc>
          <w:tcPr>
            <w:tcW w:w="1802" w:type="dxa"/>
          </w:tcPr>
          <w:p w14:paraId="12B508C1" w14:textId="486B9458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$1,243,920</w:t>
            </w:r>
          </w:p>
        </w:tc>
        <w:tc>
          <w:tcPr>
            <w:tcW w:w="1802" w:type="dxa"/>
          </w:tcPr>
          <w:p w14:paraId="461D8CD5" w14:textId="6226C590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$1,008,745</w:t>
            </w:r>
          </w:p>
        </w:tc>
        <w:tc>
          <w:tcPr>
            <w:tcW w:w="1802" w:type="dxa"/>
          </w:tcPr>
          <w:p w14:paraId="09642D86" w14:textId="04761E1A" w:rsidR="00AF47C3" w:rsidRPr="005371AC" w:rsidRDefault="00AF47C3" w:rsidP="00AF47C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2F7BB4">
              <w:rPr>
                <w:rFonts w:ascii="Arial" w:hAnsi="Arial" w:cs="Arial"/>
                <w:color w:val="000000"/>
              </w:rPr>
              <w:t>624,622</w:t>
            </w:r>
          </w:p>
        </w:tc>
        <w:tc>
          <w:tcPr>
            <w:tcW w:w="1802" w:type="dxa"/>
          </w:tcPr>
          <w:p w14:paraId="752F6B10" w14:textId="1C6558F3" w:rsidR="00AF47C3" w:rsidRDefault="00AF47C3" w:rsidP="00AF47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F47C3" w:rsidRPr="008C41B1" w14:paraId="7722A97C" w14:textId="372B3654" w:rsidTr="00A14F83">
        <w:tc>
          <w:tcPr>
            <w:tcW w:w="2862" w:type="dxa"/>
            <w:vAlign w:val="bottom"/>
            <w:hideMark/>
          </w:tcPr>
          <w:p w14:paraId="122A17E1" w14:textId="77777777" w:rsidR="00AF47C3" w:rsidRPr="008C41B1" w:rsidRDefault="00AF47C3" w:rsidP="00AF47C3">
            <w:pPr>
              <w:rPr>
                <w:rFonts w:ascii="Arial" w:hAnsi="Arial" w:cs="Arial"/>
                <w:color w:val="000000"/>
              </w:rPr>
            </w:pPr>
            <w:r w:rsidRPr="008C41B1">
              <w:rPr>
                <w:rFonts w:ascii="Arial" w:hAnsi="Arial" w:cs="Arial"/>
                <w:color w:val="000000"/>
              </w:rPr>
              <w:t>Federal Grant</w:t>
            </w:r>
          </w:p>
        </w:tc>
        <w:tc>
          <w:tcPr>
            <w:tcW w:w="1802" w:type="dxa"/>
          </w:tcPr>
          <w:p w14:paraId="0301C7D2" w14:textId="7C8B8256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$13,608,811</w:t>
            </w:r>
          </w:p>
        </w:tc>
        <w:tc>
          <w:tcPr>
            <w:tcW w:w="1802" w:type="dxa"/>
          </w:tcPr>
          <w:p w14:paraId="765B85BF" w14:textId="0F14131C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$15,992,542</w:t>
            </w:r>
          </w:p>
        </w:tc>
        <w:tc>
          <w:tcPr>
            <w:tcW w:w="1802" w:type="dxa"/>
          </w:tcPr>
          <w:p w14:paraId="73E2DA84" w14:textId="102DC203" w:rsidR="00AF47C3" w:rsidRPr="005371AC" w:rsidRDefault="00AF47C3" w:rsidP="00AF47C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Pr="002F7BB4">
              <w:rPr>
                <w:rFonts w:ascii="Arial" w:hAnsi="Arial" w:cs="Arial"/>
                <w:color w:val="000000"/>
              </w:rPr>
              <w:t>17,512,226</w:t>
            </w:r>
          </w:p>
        </w:tc>
        <w:tc>
          <w:tcPr>
            <w:tcW w:w="1802" w:type="dxa"/>
          </w:tcPr>
          <w:p w14:paraId="0FD0158D" w14:textId="44462692" w:rsidR="00AF47C3" w:rsidRDefault="00AF47C3" w:rsidP="00AF47C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F47C3" w:rsidRPr="008C41B1" w14:paraId="2DADCB86" w14:textId="3CD77E51" w:rsidTr="00A14F83">
        <w:tc>
          <w:tcPr>
            <w:tcW w:w="2862" w:type="dxa"/>
            <w:vAlign w:val="bottom"/>
            <w:hideMark/>
          </w:tcPr>
          <w:p w14:paraId="154DAF76" w14:textId="77777777" w:rsidR="00AF47C3" w:rsidRPr="008C41B1" w:rsidRDefault="00AF47C3" w:rsidP="00AF47C3">
            <w:pPr>
              <w:rPr>
                <w:rFonts w:ascii="Arial" w:hAnsi="Arial" w:cs="Arial"/>
                <w:color w:val="000000"/>
              </w:rPr>
            </w:pPr>
            <w:r w:rsidRPr="008C41B1">
              <w:rPr>
                <w:rFonts w:ascii="Arial" w:hAnsi="Arial" w:cs="Arial"/>
                <w:color w:val="000000"/>
              </w:rPr>
              <w:t>Miscellaneous Revenue</w:t>
            </w:r>
          </w:p>
        </w:tc>
        <w:tc>
          <w:tcPr>
            <w:tcW w:w="1802" w:type="dxa"/>
          </w:tcPr>
          <w:p w14:paraId="3D92797A" w14:textId="1CAC0CBD" w:rsidR="00AF47C3" w:rsidRPr="008C41B1" w:rsidRDefault="00AF47C3" w:rsidP="00AF47C3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$414,596</w:t>
            </w:r>
          </w:p>
        </w:tc>
        <w:tc>
          <w:tcPr>
            <w:tcW w:w="1802" w:type="dxa"/>
          </w:tcPr>
          <w:p w14:paraId="374B0C85" w14:textId="0F716E0E" w:rsidR="00AF47C3" w:rsidRPr="008C41B1" w:rsidRDefault="00AF47C3" w:rsidP="00AF47C3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$368,130</w:t>
            </w:r>
          </w:p>
        </w:tc>
        <w:tc>
          <w:tcPr>
            <w:tcW w:w="1802" w:type="dxa"/>
          </w:tcPr>
          <w:p w14:paraId="6051048D" w14:textId="0D97B5D4" w:rsidR="00AF47C3" w:rsidRPr="005371AC" w:rsidRDefault="00AF47C3" w:rsidP="00AF47C3">
            <w:pPr>
              <w:jc w:val="right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$</w:t>
            </w:r>
            <w:r w:rsidRPr="002F7BB4">
              <w:rPr>
                <w:rFonts w:ascii="Arial" w:hAnsi="Arial" w:cs="Arial"/>
                <w:color w:val="000000"/>
                <w:u w:val="single"/>
              </w:rPr>
              <w:t>365,521</w:t>
            </w:r>
          </w:p>
        </w:tc>
        <w:tc>
          <w:tcPr>
            <w:tcW w:w="1802" w:type="dxa"/>
          </w:tcPr>
          <w:p w14:paraId="3215B6D4" w14:textId="353A15B6" w:rsidR="00AF47C3" w:rsidRDefault="00AF47C3" w:rsidP="00AF47C3">
            <w:pPr>
              <w:jc w:val="right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AF47C3" w:rsidRPr="008C41B1" w14:paraId="190EF568" w14:textId="0613AED9" w:rsidTr="00A14F83">
        <w:trPr>
          <w:trHeight w:val="90"/>
        </w:trPr>
        <w:tc>
          <w:tcPr>
            <w:tcW w:w="2862" w:type="dxa"/>
            <w:hideMark/>
          </w:tcPr>
          <w:p w14:paraId="7F65A56C" w14:textId="77777777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C41B1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802" w:type="dxa"/>
          </w:tcPr>
          <w:p w14:paraId="43333A9C" w14:textId="4B4E4E86" w:rsidR="00AF47C3" w:rsidRPr="008C41B1" w:rsidRDefault="00AF47C3" w:rsidP="00AF47C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>$23,474,728</w:t>
            </w:r>
          </w:p>
        </w:tc>
        <w:tc>
          <w:tcPr>
            <w:tcW w:w="1802" w:type="dxa"/>
          </w:tcPr>
          <w:p w14:paraId="1F5C3FC7" w14:textId="162745F2" w:rsidR="00AF47C3" w:rsidRPr="008C41B1" w:rsidRDefault="00AF47C3" w:rsidP="00AF47C3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>$22,356,567</w:t>
            </w:r>
          </w:p>
        </w:tc>
        <w:tc>
          <w:tcPr>
            <w:tcW w:w="1802" w:type="dxa"/>
          </w:tcPr>
          <w:p w14:paraId="798826F4" w14:textId="7BB31187" w:rsidR="00AF47C3" w:rsidRPr="005371AC" w:rsidRDefault="00AF47C3" w:rsidP="00AF47C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Pr="002F7BB4">
              <w:rPr>
                <w:rFonts w:ascii="Arial" w:hAnsi="Arial" w:cs="Arial"/>
                <w:b/>
                <w:bCs/>
                <w:color w:val="000000"/>
              </w:rPr>
              <w:t>23,111,248</w:t>
            </w:r>
          </w:p>
        </w:tc>
        <w:tc>
          <w:tcPr>
            <w:tcW w:w="1802" w:type="dxa"/>
          </w:tcPr>
          <w:p w14:paraId="3C27676A" w14:textId="0AF3C90C" w:rsidR="00AF47C3" w:rsidRDefault="00AF47C3" w:rsidP="00AF47C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47C3" w:rsidRPr="008C41B1" w14:paraId="3C5A53FB" w14:textId="4EB72A45" w:rsidTr="00A14F83">
        <w:tc>
          <w:tcPr>
            <w:tcW w:w="2862" w:type="dxa"/>
            <w:shd w:val="clear" w:color="auto" w:fill="000080"/>
            <w:hideMark/>
          </w:tcPr>
          <w:p w14:paraId="6DE96262" w14:textId="77777777" w:rsidR="00AF47C3" w:rsidRPr="008C41B1" w:rsidRDefault="00AF47C3" w:rsidP="00AF47C3">
            <w:pPr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8C41B1">
              <w:rPr>
                <w:rFonts w:ascii="Arial" w:hAnsi="Arial" w:cs="Arial"/>
                <w:b/>
                <w:bCs/>
                <w:color w:val="FFFFFF"/>
              </w:rPr>
              <w:t>Expenditure</w:t>
            </w:r>
            <w:r>
              <w:rPr>
                <w:rFonts w:ascii="Arial" w:hAnsi="Arial" w:cs="Arial"/>
                <w:b/>
                <w:bCs/>
                <w:color w:val="FFFFFF"/>
              </w:rPr>
              <w:t>s</w:t>
            </w:r>
          </w:p>
        </w:tc>
        <w:tc>
          <w:tcPr>
            <w:tcW w:w="1802" w:type="dxa"/>
            <w:shd w:val="clear" w:color="auto" w:fill="000080"/>
          </w:tcPr>
          <w:p w14:paraId="120CCFB1" w14:textId="475E53CA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FY 2022</w:t>
            </w:r>
          </w:p>
        </w:tc>
        <w:tc>
          <w:tcPr>
            <w:tcW w:w="1802" w:type="dxa"/>
            <w:shd w:val="clear" w:color="auto" w:fill="000080"/>
          </w:tcPr>
          <w:p w14:paraId="108875EC" w14:textId="7BE33107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FY 2023</w:t>
            </w:r>
          </w:p>
        </w:tc>
        <w:tc>
          <w:tcPr>
            <w:tcW w:w="1802" w:type="dxa"/>
            <w:shd w:val="clear" w:color="auto" w:fill="000080"/>
          </w:tcPr>
          <w:p w14:paraId="2D702E02" w14:textId="14388A89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FY2024</w:t>
            </w:r>
          </w:p>
        </w:tc>
        <w:tc>
          <w:tcPr>
            <w:tcW w:w="1802" w:type="dxa"/>
            <w:shd w:val="clear" w:color="auto" w:fill="000080"/>
          </w:tcPr>
          <w:p w14:paraId="63DD6DF5" w14:textId="5827566D" w:rsidR="00AF47C3" w:rsidRDefault="00AF47C3" w:rsidP="00AF47C3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FY2025</w:t>
            </w:r>
          </w:p>
        </w:tc>
      </w:tr>
      <w:tr w:rsidR="00AF47C3" w:rsidRPr="008C41B1" w14:paraId="4F852759" w14:textId="40D0487D" w:rsidTr="00A14F83">
        <w:tc>
          <w:tcPr>
            <w:tcW w:w="2862" w:type="dxa"/>
            <w:hideMark/>
          </w:tcPr>
          <w:p w14:paraId="70549A6C" w14:textId="77777777" w:rsidR="00AF47C3" w:rsidRPr="008C41B1" w:rsidRDefault="00AF47C3" w:rsidP="00AF47C3">
            <w:pPr>
              <w:jc w:val="both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</w:rPr>
              <w:t>Personnel Costs</w:t>
            </w:r>
          </w:p>
        </w:tc>
        <w:tc>
          <w:tcPr>
            <w:tcW w:w="1802" w:type="dxa"/>
          </w:tcPr>
          <w:p w14:paraId="4C360C39" w14:textId="6AF7ACDA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$10,812,408</w:t>
            </w:r>
          </w:p>
        </w:tc>
        <w:tc>
          <w:tcPr>
            <w:tcW w:w="1802" w:type="dxa"/>
          </w:tcPr>
          <w:p w14:paraId="507FD12E" w14:textId="3AAF224E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$11,332,394</w:t>
            </w:r>
          </w:p>
        </w:tc>
        <w:tc>
          <w:tcPr>
            <w:tcW w:w="1802" w:type="dxa"/>
          </w:tcPr>
          <w:p w14:paraId="78B5240E" w14:textId="6BC3CE98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2F7BB4">
              <w:rPr>
                <w:rFonts w:ascii="Arial" w:hAnsi="Arial" w:cs="Arial"/>
              </w:rPr>
              <w:t>11,399,104</w:t>
            </w:r>
          </w:p>
        </w:tc>
        <w:tc>
          <w:tcPr>
            <w:tcW w:w="1802" w:type="dxa"/>
          </w:tcPr>
          <w:p w14:paraId="1179C040" w14:textId="66D47147" w:rsidR="00AF47C3" w:rsidRDefault="00AF47C3" w:rsidP="00AF47C3">
            <w:pPr>
              <w:jc w:val="right"/>
              <w:rPr>
                <w:rFonts w:ascii="Arial" w:hAnsi="Arial" w:cs="Arial"/>
              </w:rPr>
            </w:pPr>
          </w:p>
        </w:tc>
      </w:tr>
      <w:tr w:rsidR="00AF47C3" w:rsidRPr="008C41B1" w14:paraId="7444FBBC" w14:textId="06D10CC1" w:rsidTr="00A14F83">
        <w:tc>
          <w:tcPr>
            <w:tcW w:w="2862" w:type="dxa"/>
            <w:hideMark/>
          </w:tcPr>
          <w:p w14:paraId="42434E5C" w14:textId="77777777" w:rsidR="00AF47C3" w:rsidRPr="008C41B1" w:rsidRDefault="00AF47C3" w:rsidP="00AF47C3">
            <w:pPr>
              <w:jc w:val="both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</w:rPr>
              <w:t>Operating Expenditures</w:t>
            </w:r>
          </w:p>
        </w:tc>
        <w:tc>
          <w:tcPr>
            <w:tcW w:w="1802" w:type="dxa"/>
          </w:tcPr>
          <w:p w14:paraId="56AAEB59" w14:textId="2173CCD9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$1,788,619</w:t>
            </w:r>
          </w:p>
        </w:tc>
        <w:tc>
          <w:tcPr>
            <w:tcW w:w="1802" w:type="dxa"/>
          </w:tcPr>
          <w:p w14:paraId="761398E9" w14:textId="72865DD2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$2,177,563</w:t>
            </w:r>
          </w:p>
        </w:tc>
        <w:tc>
          <w:tcPr>
            <w:tcW w:w="1802" w:type="dxa"/>
          </w:tcPr>
          <w:p w14:paraId="2B21EEC6" w14:textId="27CA3BF3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 w:rsidRPr="002F7BB4">
              <w:rPr>
                <w:rFonts w:ascii="Arial" w:hAnsi="Arial" w:cs="Arial"/>
              </w:rPr>
              <w:t>  </w:t>
            </w:r>
            <w:r>
              <w:rPr>
                <w:rFonts w:ascii="Arial" w:hAnsi="Arial" w:cs="Arial"/>
              </w:rPr>
              <w:t>$</w:t>
            </w:r>
            <w:r w:rsidRPr="002F7BB4">
              <w:rPr>
                <w:rFonts w:ascii="Arial" w:hAnsi="Arial" w:cs="Arial"/>
              </w:rPr>
              <w:t>2,308,031</w:t>
            </w:r>
          </w:p>
        </w:tc>
        <w:tc>
          <w:tcPr>
            <w:tcW w:w="1802" w:type="dxa"/>
          </w:tcPr>
          <w:p w14:paraId="1CE2EFC1" w14:textId="6010F344" w:rsidR="00AF47C3" w:rsidRDefault="00AF47C3" w:rsidP="00AF47C3">
            <w:pPr>
              <w:jc w:val="right"/>
              <w:rPr>
                <w:rFonts w:ascii="Arial" w:hAnsi="Arial" w:cs="Arial"/>
              </w:rPr>
            </w:pPr>
          </w:p>
        </w:tc>
      </w:tr>
      <w:tr w:rsidR="00AF47C3" w:rsidRPr="008C41B1" w14:paraId="3EA20249" w14:textId="491475F6" w:rsidTr="00A14F83">
        <w:tc>
          <w:tcPr>
            <w:tcW w:w="2862" w:type="dxa"/>
            <w:hideMark/>
          </w:tcPr>
          <w:p w14:paraId="157A5522" w14:textId="77777777" w:rsidR="00AF47C3" w:rsidRPr="008C41B1" w:rsidRDefault="00AF47C3" w:rsidP="00AF47C3">
            <w:pPr>
              <w:jc w:val="both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</w:rPr>
              <w:t>Capital Outlay</w:t>
            </w:r>
          </w:p>
        </w:tc>
        <w:tc>
          <w:tcPr>
            <w:tcW w:w="1802" w:type="dxa"/>
          </w:tcPr>
          <w:p w14:paraId="2A6E21D2" w14:textId="58A642C4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$378,777</w:t>
            </w:r>
          </w:p>
        </w:tc>
        <w:tc>
          <w:tcPr>
            <w:tcW w:w="1802" w:type="dxa"/>
          </w:tcPr>
          <w:p w14:paraId="5E144396" w14:textId="7D5C2DF2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$346,596</w:t>
            </w:r>
          </w:p>
        </w:tc>
        <w:tc>
          <w:tcPr>
            <w:tcW w:w="1802" w:type="dxa"/>
          </w:tcPr>
          <w:p w14:paraId="1120C5B5" w14:textId="545B8776" w:rsidR="00AF47C3" w:rsidRPr="008C41B1" w:rsidRDefault="00AF47C3" w:rsidP="00AF47C3">
            <w:pPr>
              <w:jc w:val="right"/>
              <w:rPr>
                <w:rFonts w:ascii="Arial" w:hAnsi="Arial" w:cs="Arial"/>
              </w:rPr>
            </w:pPr>
            <w:r w:rsidRPr="002F7BB4">
              <w:rPr>
                <w:rFonts w:ascii="Arial" w:hAnsi="Arial" w:cs="Arial"/>
              </w:rPr>
              <w:t>      </w:t>
            </w:r>
            <w:r>
              <w:rPr>
                <w:rFonts w:ascii="Arial" w:hAnsi="Arial" w:cs="Arial"/>
              </w:rPr>
              <w:t>$</w:t>
            </w:r>
            <w:r w:rsidRPr="002F7BB4">
              <w:rPr>
                <w:rFonts w:ascii="Arial" w:hAnsi="Arial" w:cs="Arial"/>
              </w:rPr>
              <w:t>401,444</w:t>
            </w:r>
          </w:p>
        </w:tc>
        <w:tc>
          <w:tcPr>
            <w:tcW w:w="1802" w:type="dxa"/>
          </w:tcPr>
          <w:p w14:paraId="30FE36B5" w14:textId="4EC2F457" w:rsidR="00AF47C3" w:rsidRDefault="00AF47C3" w:rsidP="00AF47C3">
            <w:pPr>
              <w:jc w:val="right"/>
              <w:rPr>
                <w:rFonts w:ascii="Arial" w:hAnsi="Arial" w:cs="Arial"/>
              </w:rPr>
            </w:pPr>
          </w:p>
        </w:tc>
      </w:tr>
      <w:tr w:rsidR="00AF47C3" w:rsidRPr="008C41B1" w14:paraId="2CACD484" w14:textId="23859D84" w:rsidTr="00A14F83">
        <w:tc>
          <w:tcPr>
            <w:tcW w:w="2862" w:type="dxa"/>
            <w:hideMark/>
          </w:tcPr>
          <w:p w14:paraId="683E75AC" w14:textId="77777777" w:rsidR="00AF47C3" w:rsidRPr="008C41B1" w:rsidRDefault="00AF47C3" w:rsidP="00AF47C3">
            <w:pPr>
              <w:jc w:val="both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</w:rPr>
              <w:t>Trustee/Benefit Payments</w:t>
            </w:r>
          </w:p>
        </w:tc>
        <w:tc>
          <w:tcPr>
            <w:tcW w:w="1802" w:type="dxa"/>
          </w:tcPr>
          <w:p w14:paraId="52AF5005" w14:textId="06AC44C6" w:rsidR="00AF47C3" w:rsidRPr="008C41B1" w:rsidRDefault="00AF47C3" w:rsidP="00AF47C3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$10,109,156</w:t>
            </w:r>
          </w:p>
        </w:tc>
        <w:tc>
          <w:tcPr>
            <w:tcW w:w="1802" w:type="dxa"/>
          </w:tcPr>
          <w:p w14:paraId="2A9DA0D1" w14:textId="19D7065F" w:rsidR="00AF47C3" w:rsidRPr="008C41B1" w:rsidRDefault="00AF47C3" w:rsidP="00AF47C3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$9,110,117</w:t>
            </w:r>
          </w:p>
        </w:tc>
        <w:tc>
          <w:tcPr>
            <w:tcW w:w="1802" w:type="dxa"/>
          </w:tcPr>
          <w:p w14:paraId="3F352871" w14:textId="691C24F4" w:rsidR="00AF47C3" w:rsidRPr="00B051F1" w:rsidRDefault="00AF47C3" w:rsidP="00AF47C3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$</w:t>
            </w:r>
            <w:r w:rsidRPr="002F7BB4">
              <w:rPr>
                <w:rFonts w:ascii="Arial" w:hAnsi="Arial" w:cs="Arial"/>
                <w:u w:val="single"/>
              </w:rPr>
              <w:t>11,773,579</w:t>
            </w:r>
          </w:p>
        </w:tc>
        <w:tc>
          <w:tcPr>
            <w:tcW w:w="1802" w:type="dxa"/>
          </w:tcPr>
          <w:p w14:paraId="57F889AC" w14:textId="5FCDBDF8" w:rsidR="00AF47C3" w:rsidRDefault="00AF47C3" w:rsidP="00AF47C3">
            <w:pPr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AF47C3" w:rsidRPr="008C41B1" w14:paraId="6265C676" w14:textId="74C67894" w:rsidTr="00A14F83">
        <w:tc>
          <w:tcPr>
            <w:tcW w:w="2862" w:type="dxa"/>
            <w:hideMark/>
          </w:tcPr>
          <w:p w14:paraId="7D6196F4" w14:textId="77777777" w:rsidR="00AF47C3" w:rsidRPr="008C41B1" w:rsidRDefault="00AF47C3" w:rsidP="00AF47C3">
            <w:pPr>
              <w:ind w:left="240"/>
              <w:jc w:val="right"/>
              <w:rPr>
                <w:rFonts w:ascii="Arial" w:hAnsi="Arial" w:cs="Arial"/>
                <w:b/>
                <w:bCs/>
              </w:rPr>
            </w:pPr>
            <w:r w:rsidRPr="008C41B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802" w:type="dxa"/>
          </w:tcPr>
          <w:p w14:paraId="0817D409" w14:textId="7F635959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$23,088,960</w:t>
            </w:r>
          </w:p>
        </w:tc>
        <w:tc>
          <w:tcPr>
            <w:tcW w:w="1802" w:type="dxa"/>
          </w:tcPr>
          <w:p w14:paraId="152E0330" w14:textId="21679C8D" w:rsidR="00AF47C3" w:rsidRPr="008C41B1" w:rsidRDefault="00AF47C3" w:rsidP="00AF47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$22,966,670</w:t>
            </w:r>
          </w:p>
        </w:tc>
        <w:tc>
          <w:tcPr>
            <w:tcW w:w="1802" w:type="dxa"/>
          </w:tcPr>
          <w:p w14:paraId="23E90807" w14:textId="1EED9262" w:rsidR="00AF47C3" w:rsidRPr="00B051F1" w:rsidRDefault="00AF47C3" w:rsidP="00AF47C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Pr="002F7BB4">
              <w:rPr>
                <w:rFonts w:ascii="Arial" w:hAnsi="Arial" w:cs="Arial"/>
                <w:b/>
                <w:bCs/>
              </w:rPr>
              <w:t>25,882,158</w:t>
            </w:r>
          </w:p>
        </w:tc>
        <w:tc>
          <w:tcPr>
            <w:tcW w:w="1802" w:type="dxa"/>
          </w:tcPr>
          <w:p w14:paraId="7D0CB196" w14:textId="4838A386" w:rsidR="00AF47C3" w:rsidRDefault="00AF47C3" w:rsidP="00AF47C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bookmarkEnd w:id="3"/>
    <w:bookmarkEnd w:id="4"/>
    <w:p w14:paraId="2281999F" w14:textId="2234484C" w:rsidR="00AB6AB8" w:rsidRPr="00CD1012" w:rsidRDefault="00AB6AB8" w:rsidP="00544FEA">
      <w:pPr>
        <w:rPr>
          <w:rFonts w:ascii="Arial" w:hAnsi="Arial" w:cs="Arial"/>
          <w:b/>
          <w:bCs/>
        </w:rPr>
      </w:pPr>
      <w:r w:rsidRPr="00CD1012">
        <w:rPr>
          <w:rFonts w:ascii="Arial" w:hAnsi="Arial" w:cs="Arial"/>
          <w:b/>
          <w:bCs/>
        </w:rPr>
        <w:t>Note</w:t>
      </w:r>
      <w:r w:rsidR="004511C6" w:rsidRPr="00CD1012">
        <w:rPr>
          <w:rFonts w:ascii="Arial" w:hAnsi="Arial" w:cs="Arial"/>
          <w:b/>
          <w:bCs/>
        </w:rPr>
        <w:t>s</w:t>
      </w:r>
      <w:r w:rsidRPr="00CD1012">
        <w:rPr>
          <w:rFonts w:ascii="Arial" w:hAnsi="Arial" w:cs="Arial"/>
          <w:b/>
          <w:bCs/>
        </w:rPr>
        <w:t xml:space="preserve">:  </w:t>
      </w:r>
    </w:p>
    <w:p w14:paraId="0A750CB7" w14:textId="17B221CC" w:rsidR="00AB6AB8" w:rsidRPr="00CD1012" w:rsidRDefault="00AB6AB8" w:rsidP="00544FEA">
      <w:pPr>
        <w:rPr>
          <w:rFonts w:ascii="Arial" w:hAnsi="Arial" w:cs="Arial"/>
          <w:i/>
          <w:iCs/>
        </w:rPr>
      </w:pPr>
      <w:r w:rsidRPr="00CD1012">
        <w:rPr>
          <w:rFonts w:ascii="Arial" w:hAnsi="Arial" w:cs="Arial"/>
          <w:i/>
          <w:iCs/>
        </w:rPr>
        <w:t>The decrease in FY 2023 General Fund revenue is a result of the transfer of the</w:t>
      </w:r>
      <w:r w:rsidR="00544FEA" w:rsidRPr="00CD1012">
        <w:rPr>
          <w:rFonts w:ascii="Arial" w:hAnsi="Arial" w:cs="Arial"/>
          <w:i/>
          <w:iCs/>
        </w:rPr>
        <w:t xml:space="preserve"> Extended Employment Services program</w:t>
      </w:r>
      <w:r w:rsidRPr="00CD1012">
        <w:rPr>
          <w:rFonts w:ascii="Arial" w:hAnsi="Arial" w:cs="Arial"/>
          <w:i/>
          <w:iCs/>
        </w:rPr>
        <w:t>.</w:t>
      </w:r>
    </w:p>
    <w:p w14:paraId="49B465B1" w14:textId="77777777" w:rsidR="00AB6AB8" w:rsidRPr="00CD1012" w:rsidRDefault="00AB6AB8" w:rsidP="00544FEA">
      <w:pPr>
        <w:rPr>
          <w:rFonts w:ascii="Arial" w:hAnsi="Arial" w:cs="Arial"/>
          <w:i/>
          <w:iCs/>
        </w:rPr>
      </w:pPr>
    </w:p>
    <w:p w14:paraId="197D684A" w14:textId="2AC511DD" w:rsidR="007B40DA" w:rsidRPr="00CD1012" w:rsidRDefault="007B40DA" w:rsidP="007B40DA">
      <w:pPr>
        <w:rPr>
          <w:rFonts w:ascii="Arial" w:hAnsi="Arial" w:cs="Arial"/>
          <w:i/>
          <w:iCs/>
        </w:rPr>
      </w:pPr>
      <w:r w:rsidRPr="00CD1012">
        <w:rPr>
          <w:rFonts w:ascii="Arial" w:hAnsi="Arial" w:cs="Arial"/>
          <w:i/>
          <w:iCs/>
        </w:rPr>
        <w:t xml:space="preserve">Portions of previous years’ fund balances in both the Rehab Rev &amp; Refunds and Miscellaneous Revenue Funds were utilized in FY2023 resulting in expenditures exceeding revenue in FY2023.  </w:t>
      </w:r>
    </w:p>
    <w:bookmarkEnd w:id="2"/>
    <w:p w14:paraId="19F5DBD7" w14:textId="77777777" w:rsidR="008374E2" w:rsidRDefault="008374E2" w:rsidP="007B40DA">
      <w:pPr>
        <w:rPr>
          <w:rFonts w:ascii="Arial" w:hAnsi="Arial" w:cs="Arial"/>
          <w:i/>
          <w:iCs/>
        </w:rPr>
      </w:pPr>
    </w:p>
    <w:p w14:paraId="66A056DD" w14:textId="77777777" w:rsidR="008374E2" w:rsidRPr="00A44BC8" w:rsidRDefault="008374E2" w:rsidP="007B40DA">
      <w:pPr>
        <w:rPr>
          <w:rFonts w:ascii="Arial" w:hAnsi="Arial" w:cs="Arial"/>
          <w:i/>
          <w:iCs/>
        </w:rPr>
      </w:pPr>
    </w:p>
    <w:p w14:paraId="48945F16" w14:textId="77777777" w:rsidR="00544FEA" w:rsidRPr="008C41B1" w:rsidRDefault="00544FEA" w:rsidP="008C41B1">
      <w:pPr>
        <w:rPr>
          <w:rFonts w:ascii="Arial" w:hAnsi="Arial" w:cs="Arial"/>
        </w:rPr>
      </w:pPr>
    </w:p>
    <w:p w14:paraId="1F7CAD49" w14:textId="77777777" w:rsidR="00FF26CD" w:rsidRPr="000D6A17" w:rsidRDefault="00FF26CD" w:rsidP="000D6A17">
      <w:pPr>
        <w:spacing w:after="240"/>
        <w:rPr>
          <w:rFonts w:ascii="Arial" w:hAnsi="Arial" w:cs="Arial"/>
          <w:b/>
          <w:i/>
          <w:sz w:val="24"/>
          <w:szCs w:val="24"/>
        </w:rPr>
      </w:pPr>
      <w:r w:rsidRPr="000D6A17">
        <w:rPr>
          <w:rFonts w:ascii="Arial" w:hAnsi="Arial" w:cs="Arial"/>
          <w:b/>
          <w:sz w:val="24"/>
          <w:szCs w:val="24"/>
        </w:rPr>
        <w:t>Profile of Cases Managed and/or Key Services Provided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1536"/>
        <w:gridCol w:w="1536"/>
        <w:gridCol w:w="1467"/>
        <w:gridCol w:w="1467"/>
      </w:tblGrid>
      <w:tr w:rsidR="00AF47C3" w:rsidRPr="00D37DB9" w14:paraId="67299EC3" w14:textId="4910DDAC" w:rsidTr="007955A6">
        <w:tc>
          <w:tcPr>
            <w:tcW w:w="3994" w:type="dxa"/>
            <w:shd w:val="clear" w:color="auto" w:fill="000080"/>
            <w:vAlign w:val="bottom"/>
            <w:hideMark/>
          </w:tcPr>
          <w:p w14:paraId="0D109547" w14:textId="77777777" w:rsidR="00AF47C3" w:rsidRPr="00D37DB9" w:rsidRDefault="00AF47C3" w:rsidP="00AF47C3">
            <w:pP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Cases Managed and/or Key Services Provided</w:t>
            </w:r>
          </w:p>
        </w:tc>
        <w:tc>
          <w:tcPr>
            <w:tcW w:w="1536" w:type="dxa"/>
            <w:shd w:val="clear" w:color="auto" w:fill="000080"/>
            <w:vAlign w:val="bottom"/>
          </w:tcPr>
          <w:p w14:paraId="20B027C1" w14:textId="5A9CFCC4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2022</w:t>
            </w:r>
          </w:p>
        </w:tc>
        <w:tc>
          <w:tcPr>
            <w:tcW w:w="1536" w:type="dxa"/>
            <w:shd w:val="clear" w:color="auto" w:fill="000080"/>
            <w:vAlign w:val="bottom"/>
          </w:tcPr>
          <w:p w14:paraId="20F1CD10" w14:textId="4E0EFE52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2023</w:t>
            </w:r>
          </w:p>
        </w:tc>
        <w:tc>
          <w:tcPr>
            <w:tcW w:w="1467" w:type="dxa"/>
            <w:shd w:val="clear" w:color="auto" w:fill="000080"/>
          </w:tcPr>
          <w:p w14:paraId="0E08BD0A" w14:textId="77777777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</w:p>
          <w:p w14:paraId="503B6A68" w14:textId="0048E734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FY2024</w:t>
            </w:r>
          </w:p>
        </w:tc>
        <w:tc>
          <w:tcPr>
            <w:tcW w:w="1467" w:type="dxa"/>
            <w:shd w:val="clear" w:color="auto" w:fill="000080"/>
          </w:tcPr>
          <w:p w14:paraId="7FFAF018" w14:textId="77777777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</w:p>
          <w:p w14:paraId="2714E5E1" w14:textId="5F2342AD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FY202</w:t>
            </w:r>
            <w: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5</w:t>
            </w:r>
          </w:p>
        </w:tc>
      </w:tr>
      <w:tr w:rsidR="00AF47C3" w:rsidRPr="00D37DB9" w14:paraId="200DCC01" w14:textId="67C3ACC5" w:rsidTr="00A14F83">
        <w:trPr>
          <w:trHeight w:val="530"/>
        </w:trPr>
        <w:tc>
          <w:tcPr>
            <w:tcW w:w="3994" w:type="dxa"/>
            <w:vAlign w:val="center"/>
            <w:hideMark/>
          </w:tcPr>
          <w:p w14:paraId="42BC9F31" w14:textId="2C41FCB0" w:rsidR="00AF47C3" w:rsidRPr="00D37DB9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 xml:space="preserve">Number of Participants Receiving Services by IDVR </w:t>
            </w:r>
          </w:p>
        </w:tc>
        <w:tc>
          <w:tcPr>
            <w:tcW w:w="1536" w:type="dxa"/>
            <w:vAlign w:val="center"/>
          </w:tcPr>
          <w:p w14:paraId="5C777F3D" w14:textId="2D035215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4,479</w:t>
            </w:r>
          </w:p>
        </w:tc>
        <w:tc>
          <w:tcPr>
            <w:tcW w:w="1536" w:type="dxa"/>
            <w:vAlign w:val="center"/>
          </w:tcPr>
          <w:p w14:paraId="6F593826" w14:textId="7370C4F8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4,323</w:t>
            </w:r>
          </w:p>
        </w:tc>
        <w:tc>
          <w:tcPr>
            <w:tcW w:w="1467" w:type="dxa"/>
            <w:vAlign w:val="center"/>
          </w:tcPr>
          <w:p w14:paraId="5933FA68" w14:textId="48415A06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4,979</w:t>
            </w:r>
          </w:p>
        </w:tc>
        <w:tc>
          <w:tcPr>
            <w:tcW w:w="1467" w:type="dxa"/>
            <w:vAlign w:val="center"/>
          </w:tcPr>
          <w:p w14:paraId="58C7FF12" w14:textId="4B8259BB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D37DB9" w14:paraId="74E73AE0" w14:textId="0B9138E6" w:rsidTr="00A14F83">
        <w:trPr>
          <w:trHeight w:val="530"/>
        </w:trPr>
        <w:tc>
          <w:tcPr>
            <w:tcW w:w="3994" w:type="dxa"/>
            <w:vAlign w:val="center"/>
          </w:tcPr>
          <w:p w14:paraId="4C07FFF0" w14:textId="15841C29" w:rsidR="00AF47C3" w:rsidRPr="00D37DB9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Total Number of Individuals Served by IDVR</w:t>
            </w:r>
          </w:p>
        </w:tc>
        <w:tc>
          <w:tcPr>
            <w:tcW w:w="1536" w:type="dxa"/>
            <w:vAlign w:val="center"/>
          </w:tcPr>
          <w:p w14:paraId="152EE428" w14:textId="1CD1DE86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*7,852</w:t>
            </w:r>
          </w:p>
        </w:tc>
        <w:tc>
          <w:tcPr>
            <w:tcW w:w="1536" w:type="dxa"/>
            <w:vAlign w:val="center"/>
          </w:tcPr>
          <w:p w14:paraId="42F39D03" w14:textId="3A526B4F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8,738</w:t>
            </w:r>
          </w:p>
        </w:tc>
        <w:tc>
          <w:tcPr>
            <w:tcW w:w="1467" w:type="dxa"/>
            <w:vAlign w:val="center"/>
          </w:tcPr>
          <w:p w14:paraId="16DB44B3" w14:textId="06EB8B1F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11,848</w:t>
            </w:r>
          </w:p>
        </w:tc>
        <w:tc>
          <w:tcPr>
            <w:tcW w:w="1467" w:type="dxa"/>
            <w:vAlign w:val="center"/>
          </w:tcPr>
          <w:p w14:paraId="5D407D7C" w14:textId="2B6FFBC7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D37DB9" w14:paraId="0BFC1394" w14:textId="0E1AE527" w:rsidTr="00A14F83">
        <w:trPr>
          <w:trHeight w:val="530"/>
        </w:trPr>
        <w:tc>
          <w:tcPr>
            <w:tcW w:w="3994" w:type="dxa"/>
            <w:vAlign w:val="center"/>
            <w:hideMark/>
          </w:tcPr>
          <w:p w14:paraId="4C5800A1" w14:textId="5DEDA4B3" w:rsidR="00AF47C3" w:rsidRPr="00D37DB9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Number of Individuals Who Went to Work After Receiving VR Services</w:t>
            </w:r>
          </w:p>
        </w:tc>
        <w:tc>
          <w:tcPr>
            <w:tcW w:w="1536" w:type="dxa"/>
            <w:vAlign w:val="center"/>
          </w:tcPr>
          <w:p w14:paraId="52D28F20" w14:textId="0D7CBAAE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536" w:type="dxa"/>
            <w:vAlign w:val="center"/>
          </w:tcPr>
          <w:p w14:paraId="72C99E9B" w14:textId="05125D56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467" w:type="dxa"/>
            <w:vAlign w:val="center"/>
          </w:tcPr>
          <w:p w14:paraId="671CF827" w14:textId="2C936198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D37DB9">
              <w:rPr>
                <w:rFonts w:ascii="Aptos Narrow" w:hAnsi="Aptos Narrow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467" w:type="dxa"/>
            <w:vAlign w:val="center"/>
          </w:tcPr>
          <w:p w14:paraId="38D5BA3F" w14:textId="50655097" w:rsidR="00AF47C3" w:rsidRPr="00D37DB9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</w:tbl>
    <w:p w14:paraId="600090FC" w14:textId="1281D2DB" w:rsidR="003F5CA6" w:rsidRPr="00CD1012" w:rsidRDefault="00C51846" w:rsidP="008C41B1">
      <w:pPr>
        <w:rPr>
          <w:rFonts w:ascii="Arial" w:hAnsi="Arial" w:cs="Arial"/>
          <w:b/>
          <w:bCs/>
        </w:rPr>
      </w:pPr>
      <w:bookmarkStart w:id="5" w:name="_Hlk45283122"/>
      <w:r w:rsidRPr="00CD1012">
        <w:rPr>
          <w:rFonts w:ascii="Arial" w:hAnsi="Arial" w:cs="Arial"/>
          <w:b/>
          <w:bCs/>
        </w:rPr>
        <w:t>Note</w:t>
      </w:r>
      <w:r w:rsidR="004511C6" w:rsidRPr="00CD1012">
        <w:rPr>
          <w:rFonts w:ascii="Arial" w:hAnsi="Arial" w:cs="Arial"/>
          <w:b/>
          <w:bCs/>
        </w:rPr>
        <w:t>s</w:t>
      </w:r>
      <w:r w:rsidRPr="00CD1012">
        <w:rPr>
          <w:rFonts w:ascii="Arial" w:hAnsi="Arial" w:cs="Arial"/>
          <w:b/>
          <w:bCs/>
        </w:rPr>
        <w:t>:</w:t>
      </w:r>
    </w:p>
    <w:p w14:paraId="720D0CB3" w14:textId="032D3A91" w:rsidR="005B2F10" w:rsidRDefault="00C51846" w:rsidP="008C41B1">
      <w:pPr>
        <w:rPr>
          <w:rFonts w:ascii="Arial" w:hAnsi="Arial" w:cs="Arial"/>
          <w:i/>
          <w:iCs/>
        </w:rPr>
      </w:pPr>
      <w:r w:rsidRPr="00CD1012">
        <w:rPr>
          <w:rFonts w:ascii="Arial" w:hAnsi="Arial" w:cs="Arial"/>
          <w:i/>
          <w:iCs/>
        </w:rPr>
        <w:t>Total Number of Individuals Served</w:t>
      </w:r>
      <w:r w:rsidR="00AB6AB8" w:rsidRPr="00CD1012">
        <w:rPr>
          <w:rFonts w:ascii="Arial" w:hAnsi="Arial" w:cs="Arial"/>
          <w:i/>
          <w:iCs/>
        </w:rPr>
        <w:t>’</w:t>
      </w:r>
      <w:r w:rsidRPr="00CD1012">
        <w:rPr>
          <w:rFonts w:ascii="Arial" w:hAnsi="Arial" w:cs="Arial"/>
          <w:i/>
          <w:iCs/>
        </w:rPr>
        <w:t xml:space="preserve">: </w:t>
      </w:r>
      <w:r w:rsidR="00CB2896" w:rsidRPr="00CD1012">
        <w:rPr>
          <w:rFonts w:ascii="Arial" w:hAnsi="Arial" w:cs="Arial"/>
          <w:i/>
          <w:iCs/>
        </w:rPr>
        <w:t xml:space="preserve">This includes potentially eligible students who receive a service </w:t>
      </w:r>
      <w:r w:rsidR="00BA3B0F" w:rsidRPr="00CD1012">
        <w:rPr>
          <w:rFonts w:ascii="Arial" w:hAnsi="Arial" w:cs="Arial"/>
          <w:i/>
          <w:iCs/>
        </w:rPr>
        <w:t xml:space="preserve">in the current </w:t>
      </w:r>
      <w:r w:rsidR="00F6066A" w:rsidRPr="00CD1012">
        <w:rPr>
          <w:rFonts w:ascii="Arial" w:hAnsi="Arial" w:cs="Arial"/>
          <w:i/>
          <w:iCs/>
        </w:rPr>
        <w:t xml:space="preserve">year </w:t>
      </w:r>
      <w:r w:rsidR="00BA3B0F" w:rsidRPr="00CD1012">
        <w:rPr>
          <w:rFonts w:ascii="Arial" w:hAnsi="Arial" w:cs="Arial"/>
          <w:i/>
          <w:iCs/>
        </w:rPr>
        <w:t xml:space="preserve">or </w:t>
      </w:r>
      <w:r w:rsidR="00CB2896" w:rsidRPr="00CD1012">
        <w:rPr>
          <w:rFonts w:ascii="Arial" w:hAnsi="Arial" w:cs="Arial"/>
          <w:i/>
          <w:iCs/>
        </w:rPr>
        <w:t xml:space="preserve">any individual who </w:t>
      </w:r>
      <w:r w:rsidR="00974499" w:rsidRPr="00CD1012">
        <w:rPr>
          <w:rFonts w:ascii="Arial" w:hAnsi="Arial" w:cs="Arial"/>
          <w:i/>
          <w:iCs/>
        </w:rPr>
        <w:t xml:space="preserve">has an open VR case </w:t>
      </w:r>
      <w:r w:rsidR="00CB2896" w:rsidRPr="00CD1012">
        <w:rPr>
          <w:rFonts w:ascii="Arial" w:hAnsi="Arial" w:cs="Arial"/>
          <w:i/>
          <w:iCs/>
        </w:rPr>
        <w:t xml:space="preserve">in </w:t>
      </w:r>
      <w:r w:rsidR="00AB6AB8" w:rsidRPr="00CD1012">
        <w:rPr>
          <w:rFonts w:ascii="Arial" w:hAnsi="Arial" w:cs="Arial"/>
          <w:i/>
          <w:iCs/>
        </w:rPr>
        <w:t>the y</w:t>
      </w:r>
      <w:r w:rsidR="00CB2896" w:rsidRPr="00CD1012">
        <w:rPr>
          <w:rFonts w:ascii="Arial" w:hAnsi="Arial" w:cs="Arial"/>
          <w:i/>
          <w:iCs/>
        </w:rPr>
        <w:t xml:space="preserve">ear. </w:t>
      </w:r>
    </w:p>
    <w:p w14:paraId="1BA5D9A1" w14:textId="4A5FC321" w:rsidR="00DF5A30" w:rsidRPr="00CD1012" w:rsidRDefault="00DF5A30" w:rsidP="008C4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</w:t>
      </w:r>
      <w:r w:rsidR="00C53B0E">
        <w:rPr>
          <w:rFonts w:ascii="Arial" w:hAnsi="Arial" w:cs="Arial"/>
          <w:i/>
          <w:iCs/>
        </w:rPr>
        <w:t>SY</w:t>
      </w:r>
      <w:r w:rsidR="003D3A42">
        <w:rPr>
          <w:rFonts w:ascii="Arial" w:hAnsi="Arial" w:cs="Arial"/>
          <w:i/>
          <w:iCs/>
        </w:rPr>
        <w:t xml:space="preserve">2023 is the </w:t>
      </w:r>
      <w:r>
        <w:rPr>
          <w:rFonts w:ascii="Arial" w:hAnsi="Arial" w:cs="Arial"/>
          <w:i/>
          <w:iCs/>
        </w:rPr>
        <w:t>first year the Division included this data element.  Th</w:t>
      </w:r>
      <w:r w:rsidR="00A52CA1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 xml:space="preserve"> data w</w:t>
      </w:r>
      <w:r w:rsidR="003D3A42">
        <w:rPr>
          <w:rFonts w:ascii="Arial" w:hAnsi="Arial" w:cs="Arial"/>
          <w:i/>
          <w:iCs/>
        </w:rPr>
        <w:t>ere</w:t>
      </w:r>
      <w:r>
        <w:rPr>
          <w:rFonts w:ascii="Arial" w:hAnsi="Arial" w:cs="Arial"/>
          <w:i/>
          <w:iCs/>
        </w:rPr>
        <w:t xml:space="preserve"> updated after initial report submission</w:t>
      </w:r>
      <w:r w:rsidR="009D4C25">
        <w:rPr>
          <w:rFonts w:ascii="Arial" w:hAnsi="Arial" w:cs="Arial"/>
          <w:i/>
          <w:iCs/>
        </w:rPr>
        <w:t xml:space="preserve"> for past data to align with the change.</w:t>
      </w:r>
      <w:r>
        <w:rPr>
          <w:rFonts w:ascii="Arial" w:hAnsi="Arial" w:cs="Arial"/>
          <w:i/>
          <w:iCs/>
        </w:rPr>
        <w:t xml:space="preserve"> </w:t>
      </w:r>
    </w:p>
    <w:p w14:paraId="590FFBCE" w14:textId="77777777" w:rsidR="00BE0813" w:rsidRDefault="00BE0813" w:rsidP="003771F6">
      <w:pPr>
        <w:rPr>
          <w:rFonts w:ascii="Arial" w:hAnsi="Arial" w:cs="Arial"/>
          <w:b/>
        </w:rPr>
      </w:pPr>
      <w:bookmarkStart w:id="6" w:name="_Hlk11137127"/>
      <w:bookmarkStart w:id="7" w:name="_Hlk11134680"/>
      <w:bookmarkEnd w:id="5"/>
    </w:p>
    <w:bookmarkEnd w:id="6"/>
    <w:p w14:paraId="5E203C7B" w14:textId="77777777" w:rsidR="00FF2C82" w:rsidRDefault="00FF2C82" w:rsidP="008C41B1">
      <w:pPr>
        <w:rPr>
          <w:rFonts w:ascii="Arial" w:hAnsi="Arial" w:cs="Arial"/>
          <w:b/>
          <w:bCs/>
          <w:sz w:val="24"/>
          <w:szCs w:val="24"/>
        </w:rPr>
      </w:pPr>
    </w:p>
    <w:p w14:paraId="08E1C872" w14:textId="56CDB363" w:rsidR="003B2672" w:rsidRPr="000D6A17" w:rsidRDefault="003B2672" w:rsidP="008C41B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0D6A17">
        <w:rPr>
          <w:rFonts w:ascii="Arial" w:hAnsi="Arial" w:cs="Arial"/>
          <w:b/>
          <w:bCs/>
          <w:sz w:val="24"/>
          <w:szCs w:val="24"/>
        </w:rPr>
        <w:t>FY20</w:t>
      </w:r>
      <w:r w:rsidR="008E616F" w:rsidRPr="000D6A17">
        <w:rPr>
          <w:rFonts w:ascii="Arial" w:hAnsi="Arial" w:cs="Arial"/>
          <w:b/>
          <w:bCs/>
          <w:sz w:val="24"/>
          <w:szCs w:val="24"/>
        </w:rPr>
        <w:t>2</w:t>
      </w:r>
      <w:r w:rsidR="00B53B12">
        <w:rPr>
          <w:rFonts w:ascii="Arial" w:hAnsi="Arial" w:cs="Arial"/>
          <w:b/>
          <w:bCs/>
          <w:sz w:val="24"/>
          <w:szCs w:val="24"/>
        </w:rPr>
        <w:t>4</w:t>
      </w:r>
      <w:r w:rsidRPr="000D6A17">
        <w:rPr>
          <w:rFonts w:ascii="Arial" w:hAnsi="Arial" w:cs="Arial"/>
          <w:b/>
          <w:bCs/>
          <w:sz w:val="24"/>
          <w:szCs w:val="24"/>
        </w:rPr>
        <w:t xml:space="preserve"> Performance Highlights</w:t>
      </w:r>
      <w:bookmarkEnd w:id="7"/>
    </w:p>
    <w:p w14:paraId="42940CF0" w14:textId="77777777" w:rsidR="005944ED" w:rsidRDefault="005944ED" w:rsidP="00FD1B83">
      <w:pPr>
        <w:autoSpaceDE w:val="0"/>
        <w:autoSpaceDN w:val="0"/>
        <w:adjustRightInd w:val="0"/>
        <w:rPr>
          <w:rFonts w:ascii="Arial" w:hAnsi="Arial" w:cs="Arial"/>
          <w:color w:val="2D3439"/>
        </w:rPr>
      </w:pPr>
    </w:p>
    <w:p w14:paraId="67CF8C91" w14:textId="18137654" w:rsidR="00B44AE7" w:rsidRDefault="00356D8D" w:rsidP="00FD1B83">
      <w:pPr>
        <w:autoSpaceDE w:val="0"/>
        <w:autoSpaceDN w:val="0"/>
        <w:adjustRightInd w:val="0"/>
        <w:rPr>
          <w:rFonts w:ascii="Arial" w:hAnsi="Arial" w:cs="Arial"/>
          <w:color w:val="2D3439"/>
        </w:rPr>
      </w:pPr>
      <w:r w:rsidRPr="00FD1B83">
        <w:rPr>
          <w:rFonts w:ascii="Arial" w:hAnsi="Arial" w:cs="Arial"/>
          <w:color w:val="2D3439"/>
        </w:rPr>
        <w:t>The</w:t>
      </w:r>
      <w:r>
        <w:rPr>
          <w:rFonts w:ascii="Arial" w:hAnsi="Arial" w:cs="Arial"/>
          <w:color w:val="2D3439"/>
        </w:rPr>
        <w:t xml:space="preserve"> Division </w:t>
      </w:r>
      <w:r w:rsidR="000D5F5A">
        <w:rPr>
          <w:rFonts w:ascii="Arial" w:hAnsi="Arial" w:cs="Arial"/>
          <w:color w:val="2D3439"/>
        </w:rPr>
        <w:t>utilizes the Primary Performance Indicators</w:t>
      </w:r>
      <w:r w:rsidR="004C731E">
        <w:rPr>
          <w:rFonts w:ascii="Arial" w:hAnsi="Arial" w:cs="Arial"/>
          <w:color w:val="2D3439"/>
        </w:rPr>
        <w:t xml:space="preserve"> (PPI)</w:t>
      </w:r>
      <w:r w:rsidR="000D5F5A">
        <w:rPr>
          <w:rFonts w:ascii="Arial" w:hAnsi="Arial" w:cs="Arial"/>
          <w:color w:val="2D3439"/>
        </w:rPr>
        <w:t xml:space="preserve"> as</w:t>
      </w:r>
      <w:r>
        <w:rPr>
          <w:rFonts w:ascii="Arial" w:hAnsi="Arial" w:cs="Arial"/>
          <w:color w:val="2D3439"/>
        </w:rPr>
        <w:t xml:space="preserve"> required by the Workforce Innovation and Opportunity Act</w:t>
      </w:r>
      <w:r w:rsidR="0016323B">
        <w:rPr>
          <w:rFonts w:ascii="Arial" w:hAnsi="Arial" w:cs="Arial"/>
          <w:color w:val="2D3439"/>
        </w:rPr>
        <w:t xml:space="preserve"> (WIOA)</w:t>
      </w:r>
      <w:r w:rsidR="000D5F5A">
        <w:rPr>
          <w:rFonts w:ascii="Arial" w:hAnsi="Arial" w:cs="Arial"/>
          <w:color w:val="2D3439"/>
        </w:rPr>
        <w:t xml:space="preserve"> as well as other internal measures to gauge </w:t>
      </w:r>
      <w:r w:rsidR="000D5F5A" w:rsidRPr="000D5F5A">
        <w:rPr>
          <w:rFonts w:ascii="Arial" w:hAnsi="Arial" w:cs="Arial"/>
          <w:color w:val="2D3439"/>
        </w:rPr>
        <w:t>performance</w:t>
      </w:r>
      <w:r w:rsidRPr="00A44BC8">
        <w:rPr>
          <w:rFonts w:ascii="Arial" w:hAnsi="Arial" w:cs="Arial"/>
          <w:color w:val="2D3439"/>
        </w:rPr>
        <w:t xml:space="preserve">. </w:t>
      </w:r>
      <w:r w:rsidR="0016323B" w:rsidRPr="00A44BC8">
        <w:rPr>
          <w:rFonts w:ascii="Arial" w:hAnsi="Arial" w:cs="Arial"/>
          <w:color w:val="2D3439"/>
        </w:rPr>
        <w:t xml:space="preserve">The </w:t>
      </w:r>
      <w:r w:rsidR="005318F1" w:rsidRPr="00A44BC8">
        <w:rPr>
          <w:rFonts w:ascii="Arial" w:hAnsi="Arial" w:cs="Arial"/>
          <w:color w:val="2D3439"/>
        </w:rPr>
        <w:t xml:space="preserve">Division </w:t>
      </w:r>
      <w:r w:rsidR="000D5F5A" w:rsidRPr="00A44BC8">
        <w:rPr>
          <w:rFonts w:ascii="Arial" w:hAnsi="Arial" w:cs="Arial"/>
          <w:color w:val="2D3439"/>
        </w:rPr>
        <w:t xml:space="preserve">last </w:t>
      </w:r>
      <w:r w:rsidR="0063421C" w:rsidRPr="00A44BC8">
        <w:rPr>
          <w:rFonts w:ascii="Arial" w:hAnsi="Arial" w:cs="Arial"/>
          <w:color w:val="2D3439"/>
        </w:rPr>
        <w:t xml:space="preserve">negotiated </w:t>
      </w:r>
      <w:r w:rsidR="00B00A00" w:rsidRPr="00A44BC8">
        <w:rPr>
          <w:rFonts w:ascii="Arial" w:hAnsi="Arial" w:cs="Arial"/>
          <w:color w:val="2D3439"/>
        </w:rPr>
        <w:t xml:space="preserve">federal </w:t>
      </w:r>
      <w:r w:rsidR="0063421C" w:rsidRPr="00A44BC8">
        <w:rPr>
          <w:rFonts w:ascii="Arial" w:hAnsi="Arial" w:cs="Arial"/>
          <w:color w:val="2D3439"/>
        </w:rPr>
        <w:t xml:space="preserve">performance targets with Rehabilitation Services Administration (RSA) </w:t>
      </w:r>
      <w:r w:rsidR="00B00A00" w:rsidRPr="00A44BC8">
        <w:rPr>
          <w:rFonts w:ascii="Arial" w:hAnsi="Arial" w:cs="Arial"/>
          <w:color w:val="2D3439"/>
        </w:rPr>
        <w:t>in Spring</w:t>
      </w:r>
      <w:r w:rsidR="0063421C" w:rsidRPr="00A44BC8">
        <w:rPr>
          <w:rFonts w:ascii="Arial" w:hAnsi="Arial" w:cs="Arial"/>
          <w:color w:val="2D3439"/>
        </w:rPr>
        <w:t xml:space="preserve"> 202</w:t>
      </w:r>
      <w:r w:rsidR="00B53B12">
        <w:rPr>
          <w:rFonts w:ascii="Arial" w:hAnsi="Arial" w:cs="Arial"/>
          <w:color w:val="2D3439"/>
        </w:rPr>
        <w:t>4</w:t>
      </w:r>
      <w:r w:rsidR="00FC330F" w:rsidRPr="00A44BC8">
        <w:rPr>
          <w:rFonts w:ascii="Arial" w:hAnsi="Arial" w:cs="Arial"/>
          <w:color w:val="2D3439"/>
        </w:rPr>
        <w:t>.</w:t>
      </w:r>
      <w:r w:rsidR="003136C6">
        <w:rPr>
          <w:rFonts w:ascii="Arial" w:hAnsi="Arial" w:cs="Arial"/>
          <w:color w:val="2D3439"/>
        </w:rPr>
        <w:t xml:space="preserve"> The </w:t>
      </w:r>
      <w:r w:rsidR="00B44AE7">
        <w:rPr>
          <w:rFonts w:ascii="Arial" w:hAnsi="Arial" w:cs="Arial"/>
          <w:color w:val="2D3439"/>
        </w:rPr>
        <w:t xml:space="preserve">negotiated </w:t>
      </w:r>
      <w:r w:rsidR="003136C6">
        <w:rPr>
          <w:rFonts w:ascii="Arial" w:hAnsi="Arial" w:cs="Arial"/>
          <w:color w:val="2D3439"/>
        </w:rPr>
        <w:t>target</w:t>
      </w:r>
      <w:r w:rsidR="0092122A">
        <w:rPr>
          <w:rFonts w:ascii="Arial" w:hAnsi="Arial" w:cs="Arial"/>
          <w:color w:val="2D3439"/>
        </w:rPr>
        <w:t>s</w:t>
      </w:r>
      <w:r w:rsidR="003136C6">
        <w:rPr>
          <w:rFonts w:ascii="Arial" w:hAnsi="Arial" w:cs="Arial"/>
          <w:color w:val="2D3439"/>
        </w:rPr>
        <w:t xml:space="preserve"> </w:t>
      </w:r>
      <w:r w:rsidR="00FC330F">
        <w:rPr>
          <w:rFonts w:ascii="Arial" w:hAnsi="Arial" w:cs="Arial"/>
          <w:color w:val="2D3439"/>
        </w:rPr>
        <w:t>will be adjusted</w:t>
      </w:r>
      <w:r w:rsidR="003136C6">
        <w:rPr>
          <w:rFonts w:ascii="Arial" w:hAnsi="Arial" w:cs="Arial"/>
          <w:color w:val="2D3439"/>
        </w:rPr>
        <w:t xml:space="preserve"> year</w:t>
      </w:r>
      <w:r w:rsidR="006A0A83">
        <w:rPr>
          <w:rFonts w:ascii="Arial" w:hAnsi="Arial" w:cs="Arial"/>
          <w:color w:val="2D3439"/>
        </w:rPr>
        <w:t>-</w:t>
      </w:r>
      <w:r w:rsidR="003136C6">
        <w:rPr>
          <w:rFonts w:ascii="Arial" w:hAnsi="Arial" w:cs="Arial"/>
          <w:color w:val="2D3439"/>
        </w:rPr>
        <w:t>over</w:t>
      </w:r>
      <w:r w:rsidR="006A0A83">
        <w:rPr>
          <w:rFonts w:ascii="Arial" w:hAnsi="Arial" w:cs="Arial"/>
          <w:color w:val="2D3439"/>
        </w:rPr>
        <w:t>-</w:t>
      </w:r>
      <w:r w:rsidR="003136C6">
        <w:rPr>
          <w:rFonts w:ascii="Arial" w:hAnsi="Arial" w:cs="Arial"/>
          <w:color w:val="2D3439"/>
        </w:rPr>
        <w:t xml:space="preserve">year based upon prior year performance and application of the </w:t>
      </w:r>
      <w:r w:rsidR="005B2F10">
        <w:rPr>
          <w:rFonts w:ascii="Arial" w:hAnsi="Arial" w:cs="Arial"/>
          <w:color w:val="2D3439"/>
        </w:rPr>
        <w:t xml:space="preserve">federal </w:t>
      </w:r>
      <w:r w:rsidR="00B44AE7">
        <w:rPr>
          <w:rFonts w:ascii="Arial" w:hAnsi="Arial" w:cs="Arial"/>
          <w:color w:val="2D3439"/>
        </w:rPr>
        <w:t xml:space="preserve">Statistical Adjustment </w:t>
      </w:r>
      <w:r w:rsidR="000D5F5A">
        <w:rPr>
          <w:rFonts w:ascii="Arial" w:hAnsi="Arial" w:cs="Arial"/>
          <w:color w:val="2D3439"/>
        </w:rPr>
        <w:t>Model</w:t>
      </w:r>
      <w:r w:rsidR="00B44AE7">
        <w:rPr>
          <w:rFonts w:ascii="Arial" w:hAnsi="Arial" w:cs="Arial"/>
          <w:color w:val="2D3439"/>
        </w:rPr>
        <w:t xml:space="preserve">, </w:t>
      </w:r>
      <w:r w:rsidR="000D5F5A">
        <w:rPr>
          <w:rFonts w:ascii="Arial" w:hAnsi="Arial" w:cs="Arial"/>
          <w:color w:val="2D3439"/>
        </w:rPr>
        <w:t>per</w:t>
      </w:r>
      <w:r w:rsidR="00B44AE7">
        <w:rPr>
          <w:rFonts w:ascii="Arial" w:hAnsi="Arial" w:cs="Arial"/>
          <w:color w:val="2D3439"/>
        </w:rPr>
        <w:t xml:space="preserve"> the U.S. Departments of </w:t>
      </w:r>
      <w:r w:rsidR="00FC330F">
        <w:rPr>
          <w:rFonts w:ascii="Arial" w:hAnsi="Arial" w:cs="Arial"/>
          <w:color w:val="2D3439"/>
        </w:rPr>
        <w:t xml:space="preserve">Education and </w:t>
      </w:r>
      <w:r w:rsidR="00B44AE7">
        <w:rPr>
          <w:rFonts w:ascii="Arial" w:hAnsi="Arial" w:cs="Arial"/>
          <w:color w:val="2D3439"/>
        </w:rPr>
        <w:t>Labor</w:t>
      </w:r>
      <w:r w:rsidR="00FC330F">
        <w:rPr>
          <w:rFonts w:ascii="Arial" w:hAnsi="Arial" w:cs="Arial"/>
          <w:color w:val="2D3439"/>
        </w:rPr>
        <w:t>.</w:t>
      </w:r>
      <w:r w:rsidR="0016323B">
        <w:rPr>
          <w:rFonts w:ascii="Arial" w:hAnsi="Arial" w:cs="Arial"/>
          <w:color w:val="2D3439"/>
        </w:rPr>
        <w:t xml:space="preserve"> </w:t>
      </w:r>
      <w:r w:rsidR="00786A42">
        <w:rPr>
          <w:rFonts w:ascii="Arial" w:hAnsi="Arial" w:cs="Arial"/>
          <w:color w:val="2D3439"/>
        </w:rPr>
        <w:t xml:space="preserve">The Division continues to outperform established federal targets. </w:t>
      </w:r>
    </w:p>
    <w:p w14:paraId="4D2F3921" w14:textId="4EB44608" w:rsidR="00B44AE7" w:rsidRDefault="00B44AE7" w:rsidP="00FD1B83">
      <w:pPr>
        <w:autoSpaceDE w:val="0"/>
        <w:autoSpaceDN w:val="0"/>
        <w:adjustRightInd w:val="0"/>
        <w:rPr>
          <w:rFonts w:ascii="Arial" w:hAnsi="Arial" w:cs="Arial"/>
          <w:color w:val="2D3439"/>
        </w:rPr>
      </w:pPr>
    </w:p>
    <w:p w14:paraId="421F9E66" w14:textId="79485133" w:rsidR="003B553E" w:rsidRDefault="00B44AE7" w:rsidP="00FD1B83">
      <w:pPr>
        <w:autoSpaceDE w:val="0"/>
        <w:autoSpaceDN w:val="0"/>
        <w:adjustRightInd w:val="0"/>
        <w:rPr>
          <w:rFonts w:ascii="Arial" w:hAnsi="Arial" w:cs="Arial"/>
          <w:color w:val="2D3439"/>
        </w:rPr>
      </w:pPr>
      <w:r>
        <w:rPr>
          <w:rFonts w:ascii="Arial" w:hAnsi="Arial" w:cs="Arial"/>
          <w:color w:val="2D3439"/>
        </w:rPr>
        <w:t xml:space="preserve">  </w:t>
      </w:r>
      <w:r w:rsidR="0016323B">
        <w:rPr>
          <w:rFonts w:ascii="Arial" w:hAnsi="Arial" w:cs="Arial"/>
          <w:color w:val="2D3439"/>
        </w:rPr>
        <w:t xml:space="preserve"> </w:t>
      </w:r>
    </w:p>
    <w:p w14:paraId="442EFEE9" w14:textId="59F5FC9F" w:rsidR="003B553E" w:rsidRDefault="003B553E" w:rsidP="00FD1B83">
      <w:pPr>
        <w:autoSpaceDE w:val="0"/>
        <w:autoSpaceDN w:val="0"/>
        <w:adjustRightInd w:val="0"/>
        <w:rPr>
          <w:rFonts w:ascii="Arial" w:hAnsi="Arial" w:cs="Arial"/>
          <w:color w:val="2D3439"/>
        </w:rPr>
      </w:pPr>
    </w:p>
    <w:p w14:paraId="04440B0B" w14:textId="7D5E0214" w:rsidR="00B56A1E" w:rsidRDefault="00B56A1E" w:rsidP="009A0FAC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6329E1C" w14:textId="78ED1106" w:rsidR="009A0FAC" w:rsidRDefault="009A0FAC" w:rsidP="00A44BC8">
      <w:pPr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56BCA4C4" w14:textId="77777777" w:rsidR="00D46505" w:rsidRDefault="00D46505" w:rsidP="00A44BC8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3307"/>
        <w:gridCol w:w="1008"/>
        <w:gridCol w:w="1009"/>
        <w:gridCol w:w="1009"/>
        <w:gridCol w:w="1009"/>
        <w:gridCol w:w="1009"/>
        <w:gridCol w:w="1009"/>
      </w:tblGrid>
      <w:tr w:rsidR="00AF47C3" w:rsidRPr="00122122" w14:paraId="5629B0A8" w14:textId="77777777" w:rsidTr="00D37DB9">
        <w:trPr>
          <w:trHeight w:val="3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  <w:hideMark/>
          </w:tcPr>
          <w:p w14:paraId="5956A2DB" w14:textId="77777777" w:rsidR="00AF47C3" w:rsidRPr="00D37DB9" w:rsidRDefault="00AF47C3" w:rsidP="00AF47C3">
            <w:pP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Performance Measures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  <w:hideMark/>
          </w:tcPr>
          <w:p w14:paraId="6BB2877E" w14:textId="77777777" w:rsidR="00AF47C3" w:rsidRPr="00D37DB9" w:rsidRDefault="00AF47C3" w:rsidP="00AF47C3">
            <w:pP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  <w:hideMark/>
          </w:tcPr>
          <w:p w14:paraId="3B04E81B" w14:textId="618479CF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  <w:hideMark/>
          </w:tcPr>
          <w:p w14:paraId="46492D0C" w14:textId="273E9DF4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  <w:hideMark/>
          </w:tcPr>
          <w:p w14:paraId="00520C04" w14:textId="7EF24693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noWrap/>
            <w:vAlign w:val="bottom"/>
            <w:hideMark/>
          </w:tcPr>
          <w:p w14:paraId="66A3A315" w14:textId="6FC8764B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80"/>
            <w:noWrap/>
            <w:vAlign w:val="bottom"/>
            <w:hideMark/>
          </w:tcPr>
          <w:p w14:paraId="2EB44E39" w14:textId="72FD1810" w:rsidR="00AF47C3" w:rsidRPr="00D37DB9" w:rsidRDefault="00AF47C3" w:rsidP="00AF47C3">
            <w:pPr>
              <w:jc w:val="center"/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 w:rsidRPr="00D37DB9"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FY 202</w:t>
            </w:r>
            <w: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  <w:t>6</w:t>
            </w:r>
          </w:p>
        </w:tc>
      </w:tr>
      <w:tr w:rsidR="00AF47C3" w:rsidRPr="00122122" w14:paraId="5976C73A" w14:textId="77777777" w:rsidTr="00D37DB9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186AEF9B" w14:textId="77777777" w:rsidR="00AF47C3" w:rsidRPr="00122122" w:rsidRDefault="00AF47C3" w:rsidP="00AF47C3">
            <w:pPr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Goal 1: Maximize the career potential of Idahoans with disabilities engaged with the Division</w:t>
            </w:r>
          </w:p>
        </w:tc>
      </w:tr>
      <w:tr w:rsidR="00AF47C3" w:rsidRPr="00122122" w14:paraId="723199A8" w14:textId="77777777" w:rsidTr="00AF47C3">
        <w:trPr>
          <w:trHeight w:val="440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D843" w14:textId="782D1F3D" w:rsidR="00AF47C3" w:rsidRPr="0089247B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1.1 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Customer Primary Performance Indicator</w:t>
            </w:r>
            <w:proofErr w:type="gramStart"/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:  Median</w:t>
            </w:r>
            <w:proofErr w:type="gramEnd"/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 xml:space="preserve"> Earnings 2nd Quarter after Exit</w:t>
            </w:r>
            <w:r w:rsidRPr="0089247B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  <w:p w14:paraId="3CC5E592" w14:textId="2DDC5A66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89247B">
              <w:rPr>
                <w:rFonts w:ascii="Aptos Narrow" w:hAnsi="Aptos Narrow"/>
                <w:color w:val="000000"/>
                <w:sz w:val="24"/>
                <w:szCs w:val="24"/>
              </w:rPr>
              <w:t>(Goal 1, Objective 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F04E24A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969F8F7" w14:textId="30949CD9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$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4</w:t>
            </w:r>
            <w:r>
              <w:rPr>
                <w:rFonts w:ascii="Aptos Narrow" w:hAnsi="Aptos Narrow"/>
                <w:color w:val="000000"/>
                <w:sz w:val="24"/>
                <w:szCs w:val="24"/>
              </w:rPr>
              <w:t>,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180EB89" w14:textId="5051EF52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$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4</w:t>
            </w:r>
            <w:r>
              <w:rPr>
                <w:rFonts w:ascii="Aptos Narrow" w:hAnsi="Aptos Narrow"/>
                <w:color w:val="000000"/>
                <w:sz w:val="24"/>
                <w:szCs w:val="24"/>
              </w:rPr>
              <w:t>,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9D8850A" w14:textId="7257095B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iCs/>
                <w:color w:val="000000"/>
                <w:sz w:val="24"/>
                <w:szCs w:val="24"/>
              </w:rPr>
              <w:t>$</w:t>
            </w:r>
            <w:r w:rsidRPr="00122122">
              <w:rPr>
                <w:rFonts w:ascii="Aptos Narrow" w:hAnsi="Aptos Narrow"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Aptos Narrow" w:hAnsi="Aptos Narrow"/>
                <w:iCs/>
                <w:color w:val="000000"/>
                <w:sz w:val="24"/>
                <w:szCs w:val="24"/>
              </w:rPr>
              <w:t>,</w:t>
            </w:r>
            <w:r w:rsidRPr="00122122">
              <w:rPr>
                <w:rFonts w:ascii="Aptos Narrow" w:hAnsi="Aptos Narrow"/>
                <w:i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274B929" w14:textId="100EEFD5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F027BF" w14:textId="05D8A671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18542E49" w14:textId="77777777" w:rsidTr="00AF47C3">
        <w:trPr>
          <w:trHeight w:val="300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8F9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FDE8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target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7417" w14:textId="0DC72771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62C9" w14:textId="2C40C164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 xml:space="preserve">$4,499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76FB" w14:textId="4B47DAAA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 xml:space="preserve">$4,500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83B3" w14:textId="1E9C9496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sz w:val="24"/>
                <w:szCs w:val="24"/>
              </w:rPr>
              <w:t xml:space="preserve">$5,000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686E" w14:textId="06827676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1B9738C8" w14:textId="77777777" w:rsidTr="00AF47C3">
        <w:trPr>
          <w:trHeight w:val="422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62D5" w14:textId="65C3E7A2" w:rsidR="00AF47C3" w:rsidRPr="0089247B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1.2 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Customer satisfaction rate as demonstrated by “agree’ and “strongly agree’ responses</w:t>
            </w:r>
            <w:r w:rsidRPr="0089247B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  <w:p w14:paraId="708076B1" w14:textId="7869810A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89247B">
              <w:rPr>
                <w:rFonts w:ascii="Aptos Narrow" w:hAnsi="Aptos Narrow"/>
                <w:color w:val="000000"/>
                <w:sz w:val="24"/>
                <w:szCs w:val="24"/>
              </w:rPr>
              <w:t>(Goal 1, Objective 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564BC8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8A5E54B" w14:textId="3E852123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80.95%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F5A131C" w14:textId="14550838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81.35%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D9C011A" w14:textId="1D291148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iCs/>
                <w:color w:val="000000"/>
                <w:sz w:val="24"/>
                <w:szCs w:val="24"/>
              </w:rPr>
              <w:t>81.25%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4E2F374" w14:textId="4B88AED4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A254AD" w14:textId="3F3C9B67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77AAB381" w14:textId="77777777" w:rsidTr="00AF47C3">
        <w:trPr>
          <w:trHeight w:val="300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285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531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target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093" w14:textId="226149F3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0733" w14:textId="095EAC1F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E34D" w14:textId="0FFDE79F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EE84" w14:textId="1AAB87BF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2D39" w14:textId="55146C9D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5965D090" w14:textId="77777777" w:rsidTr="00AF47C3">
        <w:trPr>
          <w:trHeight w:val="503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6605" w14:textId="6D4E3E18" w:rsidR="00AF47C3" w:rsidRPr="0089247B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1.3 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Of those cases using CRP employment services, the percentage which contributed to successful case closure</w:t>
            </w:r>
            <w:r w:rsidRPr="0089247B"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  <w:p w14:paraId="6AB546DC" w14:textId="45444525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89247B">
              <w:rPr>
                <w:rFonts w:ascii="Aptos Narrow" w:hAnsi="Aptos Narrow"/>
                <w:color w:val="000000"/>
                <w:sz w:val="24"/>
                <w:szCs w:val="24"/>
              </w:rPr>
              <w:t>(Goal 1, Objective 3)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76C4E72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10A542B" w14:textId="673BFE63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51.10%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4BA68D" w14:textId="039B08FD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50.80%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5413A28" w14:textId="6DB49066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48.90%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260B639" w14:textId="431485A0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33B6A32" w14:textId="19ED10D3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02A99C88" w14:textId="77777777" w:rsidTr="00AF47C3">
        <w:trPr>
          <w:trHeight w:val="300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A55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670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target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CC12" w14:textId="7C571C35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B006" w14:textId="34E21EA8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95B8" w14:textId="61BEE12E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8EE2" w14:textId="72D18CDB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422D" w14:textId="466B0503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11AAD97A" w14:textId="77777777" w:rsidTr="00D37DB9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3FE6BB43" w14:textId="77777777" w:rsidR="00AF47C3" w:rsidRPr="00122122" w:rsidRDefault="00AF47C3" w:rsidP="00AF47C3">
            <w:pPr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Goal 2: Expand utilization and improve quality of Pre-Employment Transition Services (Pre-ETS) and similar services for youth.</w:t>
            </w:r>
          </w:p>
        </w:tc>
      </w:tr>
      <w:tr w:rsidR="00AF47C3" w:rsidRPr="00122122" w14:paraId="328F0222" w14:textId="77777777" w:rsidTr="00AF47C3">
        <w:trPr>
          <w:trHeight w:val="413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E985" w14:textId="16A4C58A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2.1 Number of 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Pre-employment transition services</w:t>
            </w: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 provided 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for students and youth</w:t>
            </w: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 (Goal 2, Objective 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BC891A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DE498F7" w14:textId="7CFAF4ED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5CD1293" w14:textId="42931126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74E58E3" w14:textId="1F05ABC2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3B4BAE2" w14:textId="379AF9DC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7722F58" w14:textId="5088371E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316E4AC9" w14:textId="77777777" w:rsidTr="00AF47C3">
        <w:trPr>
          <w:trHeight w:val="300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B0EA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D53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target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B74" w14:textId="1E43DBF3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9D55" w14:textId="2C59BCF0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9A06" w14:textId="09B21DDB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159" w14:textId="113005CC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5CA7" w14:textId="3E0703EA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4A951575" w14:textId="77777777" w:rsidTr="00D37DB9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6F37CBDF" w14:textId="77777777" w:rsidR="00AF47C3" w:rsidRPr="00122122" w:rsidRDefault="00AF47C3" w:rsidP="00AF47C3">
            <w:pPr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b/>
                <w:bCs/>
                <w:color w:val="000000"/>
                <w:sz w:val="24"/>
                <w:szCs w:val="24"/>
              </w:rPr>
              <w:t>Goal 3: Improve outreach and engagement through individualized services to Idaho businesses.</w:t>
            </w:r>
          </w:p>
        </w:tc>
      </w:tr>
      <w:tr w:rsidR="00AF47C3" w:rsidRPr="00122122" w14:paraId="2F78D6C1" w14:textId="77777777" w:rsidTr="00AF47C3">
        <w:trPr>
          <w:trHeight w:val="440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496E" w14:textId="422E4A1F" w:rsidR="00AF47C3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3.1 Number of individualized s</w:t>
            </w: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ervices provided to Idaho businesses</w:t>
            </w:r>
            <w:r>
              <w:rPr>
                <w:rFonts w:ascii="Aptos Narrow" w:hAnsi="Aptos Narrow"/>
                <w:color w:val="000000"/>
                <w:sz w:val="24"/>
                <w:szCs w:val="24"/>
              </w:rPr>
              <w:t xml:space="preserve"> </w:t>
            </w:r>
          </w:p>
          <w:p w14:paraId="546515A0" w14:textId="6DDFCCE4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(Goal 3, Objective 1)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4FB7916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E611249" w14:textId="7AB4FFB7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D077DCB" w14:textId="0CC312D5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371B793" w14:textId="32B638E4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C9C72B8" w14:textId="13B14F8F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8E9E166" w14:textId="67EF9497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  <w:tr w:rsidR="00AF47C3" w:rsidRPr="00122122" w14:paraId="3B50481C" w14:textId="77777777" w:rsidTr="00AF47C3">
        <w:trPr>
          <w:trHeight w:val="300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5A4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203" w14:textId="77777777" w:rsidR="00AF47C3" w:rsidRPr="00122122" w:rsidRDefault="00AF47C3" w:rsidP="00AF47C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122122">
              <w:rPr>
                <w:rFonts w:ascii="Aptos Narrow" w:hAnsi="Aptos Narrow"/>
                <w:color w:val="000000"/>
                <w:sz w:val="22"/>
                <w:szCs w:val="22"/>
              </w:rPr>
              <w:t>target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A55" w14:textId="55F32B45" w:rsidR="00AF47C3" w:rsidRPr="00122122" w:rsidRDefault="00AF47C3" w:rsidP="00AF47C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98A3" w14:textId="6CCFCF74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856C" w14:textId="7B5689BA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62C4" w14:textId="41EE96B0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122122">
              <w:rPr>
                <w:rFonts w:ascii="Aptos Narrow" w:hAnsi="Aptos Narrow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CD92" w14:textId="77ADE6E1" w:rsidR="00AF47C3" w:rsidRPr="00122122" w:rsidRDefault="00AF47C3" w:rsidP="00AF47C3">
            <w:pPr>
              <w:jc w:val="right"/>
              <w:rPr>
                <w:rFonts w:ascii="Aptos Narrow" w:hAnsi="Aptos Narrow"/>
                <w:color w:val="000000"/>
                <w:sz w:val="24"/>
                <w:szCs w:val="24"/>
              </w:rPr>
            </w:pPr>
          </w:p>
        </w:tc>
      </w:tr>
    </w:tbl>
    <w:p w14:paraId="72BB558D" w14:textId="77777777" w:rsidR="00122122" w:rsidRDefault="00122122" w:rsidP="00A44BC8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3EE8874A" w14:textId="1211F39C" w:rsidR="00096EFD" w:rsidRPr="0096037D" w:rsidRDefault="0096037D" w:rsidP="0096037D">
      <w:pPr>
        <w:spacing w:before="240" w:after="240"/>
        <w:jc w:val="both"/>
        <w:rPr>
          <w:rFonts w:ascii="Arial" w:hAnsi="Arial" w:cs="Arial"/>
          <w:b/>
          <w:bCs/>
        </w:rPr>
      </w:pPr>
      <w:r w:rsidRPr="00CD1012">
        <w:rPr>
          <w:rFonts w:ascii="Arial" w:hAnsi="Arial" w:cs="Arial"/>
          <w:b/>
          <w:bCs/>
        </w:rPr>
        <w:t xml:space="preserve">Performance Measures Explanatory Notes: </w:t>
      </w:r>
    </w:p>
    <w:p w14:paraId="60889185" w14:textId="3E98DCF6" w:rsidR="00DA7ABD" w:rsidRPr="0096037D" w:rsidRDefault="00155612" w:rsidP="0096037D">
      <w:pPr>
        <w:jc w:val="both"/>
        <w:rPr>
          <w:rFonts w:ascii="Arial" w:hAnsi="Arial" w:cs="Arial"/>
          <w:i/>
          <w:iCs/>
        </w:rPr>
      </w:pPr>
      <w:bookmarkStart w:id="8" w:name="_Hlk11134253"/>
      <w:r w:rsidRPr="0096037D">
        <w:rPr>
          <w:rFonts w:ascii="Arial" w:hAnsi="Arial" w:cs="Arial"/>
          <w:i/>
          <w:iCs/>
        </w:rPr>
        <w:t>*New Measure</w:t>
      </w:r>
      <w:r w:rsidR="00D37DB9">
        <w:rPr>
          <w:rFonts w:ascii="Arial" w:hAnsi="Arial" w:cs="Arial"/>
          <w:i/>
          <w:iCs/>
        </w:rPr>
        <w:t xml:space="preserve"> or </w:t>
      </w:r>
      <w:r w:rsidRPr="0096037D">
        <w:rPr>
          <w:rFonts w:ascii="Arial" w:hAnsi="Arial" w:cs="Arial"/>
          <w:i/>
          <w:iCs/>
        </w:rPr>
        <w:t>Negotiated targets were not in</w:t>
      </w:r>
      <w:r w:rsidR="00D37DB9">
        <w:rPr>
          <w:rFonts w:ascii="Arial" w:hAnsi="Arial" w:cs="Arial"/>
          <w:i/>
          <w:iCs/>
        </w:rPr>
        <w:t xml:space="preserve"> effect</w:t>
      </w:r>
      <w:r w:rsidRPr="0096037D">
        <w:rPr>
          <w:rFonts w:ascii="Arial" w:hAnsi="Arial" w:cs="Arial"/>
          <w:i/>
          <w:iCs/>
        </w:rPr>
        <w:t xml:space="preserve"> prior to IFY therefore historical data is not presented.</w:t>
      </w:r>
    </w:p>
    <w:bookmarkEnd w:id="8"/>
    <w:p w14:paraId="7C6EDF71" w14:textId="77777777" w:rsidR="0096037D" w:rsidRDefault="0096037D" w:rsidP="003A7A7A">
      <w:pPr>
        <w:jc w:val="both"/>
        <w:rPr>
          <w:rFonts w:ascii="Arial" w:hAnsi="Arial" w:cs="Arial"/>
          <w:i/>
          <w:iCs/>
        </w:rPr>
      </w:pPr>
    </w:p>
    <w:p w14:paraId="0E19B229" w14:textId="01999B9C" w:rsidR="003A7A7A" w:rsidRPr="00CD1012" w:rsidRDefault="003A7A7A" w:rsidP="003A7A7A">
      <w:pPr>
        <w:jc w:val="both"/>
        <w:rPr>
          <w:rFonts w:ascii="Arial" w:hAnsi="Arial" w:cs="Arial"/>
          <w:i/>
          <w:iCs/>
        </w:rPr>
      </w:pPr>
      <w:r w:rsidRPr="00CD1012">
        <w:rPr>
          <w:rFonts w:ascii="Arial" w:hAnsi="Arial" w:cs="Arial"/>
          <w:i/>
          <w:iCs/>
        </w:rPr>
        <w:t>Performance measure one (1</w:t>
      </w:r>
      <w:r w:rsidR="00D37DB9">
        <w:rPr>
          <w:rFonts w:ascii="Arial" w:hAnsi="Arial" w:cs="Arial"/>
          <w:i/>
          <w:iCs/>
        </w:rPr>
        <w:t>.2</w:t>
      </w:r>
      <w:r w:rsidRPr="00CD1012">
        <w:rPr>
          <w:rFonts w:ascii="Arial" w:hAnsi="Arial" w:cs="Arial"/>
          <w:i/>
          <w:iCs/>
        </w:rPr>
        <w:t>) includes services purchased from vendors and services provided by VR counselors.</w:t>
      </w:r>
    </w:p>
    <w:p w14:paraId="7232D127" w14:textId="77777777" w:rsidR="003A7A7A" w:rsidRPr="00CD1012" w:rsidRDefault="003A7A7A" w:rsidP="00897538">
      <w:pPr>
        <w:jc w:val="both"/>
        <w:rPr>
          <w:rFonts w:ascii="Arial" w:hAnsi="Arial" w:cs="Arial"/>
          <w:i/>
          <w:iCs/>
        </w:rPr>
      </w:pPr>
    </w:p>
    <w:p w14:paraId="5310E9B1" w14:textId="77777777" w:rsidR="003A7A7A" w:rsidRPr="00897538" w:rsidRDefault="003A7A7A" w:rsidP="00897538">
      <w:pPr>
        <w:jc w:val="both"/>
        <w:rPr>
          <w:rFonts w:ascii="Arial" w:hAnsi="Arial" w:cs="Arial"/>
        </w:rPr>
      </w:pPr>
    </w:p>
    <w:p w14:paraId="0D2E62FB" w14:textId="77777777" w:rsidR="001D6AB5" w:rsidRPr="007454AB" w:rsidRDefault="001D6AB5" w:rsidP="00F41B7A">
      <w:pPr>
        <w:jc w:val="both"/>
        <w:rPr>
          <w:rFonts w:ascii="Arial" w:hAnsi="Arial" w:cs="Arial"/>
          <w:sz w:val="18"/>
          <w:szCs w:val="18"/>
        </w:rPr>
      </w:pPr>
    </w:p>
    <w:p w14:paraId="75166BE3" w14:textId="77777777" w:rsidR="008C41B1" w:rsidRPr="008C41B1" w:rsidRDefault="008C41B1" w:rsidP="008C41B1">
      <w:pPr>
        <w:jc w:val="both"/>
        <w:rPr>
          <w:rFonts w:ascii="Arial" w:hAnsi="Arial" w:cs="Arial"/>
        </w:rPr>
      </w:pPr>
    </w:p>
    <w:p w14:paraId="4B7B0CD3" w14:textId="77777777" w:rsidR="00CE305E" w:rsidRDefault="00CE305E" w:rsidP="009A0FAC">
      <w:pPr>
        <w:tabs>
          <w:tab w:val="left" w:pos="8295"/>
        </w:tabs>
        <w:rPr>
          <w:rFonts w:ascii="Arial" w:hAnsi="Arial" w:cs="Arial"/>
        </w:rPr>
      </w:pPr>
    </w:p>
    <w:p w14:paraId="0C620596" w14:textId="77777777" w:rsidR="00F01EEE" w:rsidRDefault="00F01EEE" w:rsidP="00F01EEE">
      <w:pPr>
        <w:tabs>
          <w:tab w:val="left" w:pos="8295"/>
        </w:tabs>
        <w:rPr>
          <w:rFonts w:ascii="Arial" w:hAnsi="Arial" w:cs="Arial"/>
        </w:rPr>
      </w:pPr>
    </w:p>
    <w:p w14:paraId="0145A228" w14:textId="77777777" w:rsidR="00F01EEE" w:rsidRDefault="00F01EEE" w:rsidP="00F01EEE">
      <w:pPr>
        <w:tabs>
          <w:tab w:val="left" w:pos="8295"/>
        </w:tabs>
        <w:rPr>
          <w:rFonts w:ascii="Arial" w:hAnsi="Arial" w:cs="Arial"/>
        </w:rPr>
      </w:pPr>
    </w:p>
    <w:p w14:paraId="7F5305D5" w14:textId="77777777" w:rsidR="00F01EEE" w:rsidRDefault="00F01EEE" w:rsidP="00F01EEE">
      <w:pPr>
        <w:tabs>
          <w:tab w:val="left" w:pos="8295"/>
        </w:tabs>
        <w:rPr>
          <w:rFonts w:ascii="Arial" w:hAnsi="Arial" w:cs="Arial"/>
        </w:rPr>
      </w:pPr>
    </w:p>
    <w:p w14:paraId="15815598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7" w:rightFromText="187" w:vertAnchor="page" w:horzAnchor="margin" w:tblpXSpec="center" w:tblpY="3271"/>
        <w:tblW w:w="0" w:type="auto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4A0" w:firstRow="1" w:lastRow="0" w:firstColumn="1" w:lastColumn="0" w:noHBand="0" w:noVBand="1"/>
      </w:tblPr>
      <w:tblGrid>
        <w:gridCol w:w="7680"/>
      </w:tblGrid>
      <w:tr w:rsidR="00C042B2" w:rsidRPr="008C41B1" w14:paraId="700C0AD5" w14:textId="77777777" w:rsidTr="00914B28">
        <w:tc>
          <w:tcPr>
            <w:tcW w:w="768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  <w:hideMark/>
          </w:tcPr>
          <w:p w14:paraId="2219C22E" w14:textId="77777777" w:rsidR="00C042B2" w:rsidRPr="008C41B1" w:rsidRDefault="00C042B2" w:rsidP="00914B2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41B1">
              <w:rPr>
                <w:rFonts w:ascii="Arial" w:hAnsi="Arial" w:cs="Arial"/>
                <w:b/>
                <w:bCs/>
              </w:rPr>
              <w:t>For More Information Contact</w:t>
            </w:r>
          </w:p>
          <w:p w14:paraId="513B2E5C" w14:textId="77777777" w:rsidR="00C042B2" w:rsidRPr="008C41B1" w:rsidRDefault="00C042B2" w:rsidP="00914B28">
            <w:pPr>
              <w:rPr>
                <w:rFonts w:ascii="Arial" w:hAnsi="Arial" w:cs="Arial"/>
              </w:rPr>
            </w:pPr>
          </w:p>
          <w:p w14:paraId="666E5C7B" w14:textId="5CBD060C" w:rsidR="00C042B2" w:rsidRPr="008C41B1" w:rsidRDefault="00C042B2" w:rsidP="00914B28">
            <w:pPr>
              <w:ind w:left="25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Judy B. Taylor, Interim Administrator</w:t>
            </w:r>
          </w:p>
          <w:p w14:paraId="32DECB74" w14:textId="77777777" w:rsidR="00C042B2" w:rsidRPr="008C41B1" w:rsidRDefault="00C042B2" w:rsidP="00914B28">
            <w:pPr>
              <w:ind w:left="252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  <w:noProof/>
              </w:rPr>
              <w:t>Idaho Division of Vocational Rehabilitation</w:t>
            </w:r>
          </w:p>
          <w:p w14:paraId="282FE2C8" w14:textId="77777777" w:rsidR="00C042B2" w:rsidRPr="008C41B1" w:rsidRDefault="00C042B2" w:rsidP="00914B28">
            <w:pPr>
              <w:ind w:left="252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  <w:noProof/>
              </w:rPr>
              <w:t>650 W State St., Rm. 150</w:t>
            </w:r>
          </w:p>
          <w:p w14:paraId="501BCAA1" w14:textId="77777777" w:rsidR="00C042B2" w:rsidRPr="008C41B1" w:rsidRDefault="00C042B2" w:rsidP="00914B28">
            <w:pPr>
              <w:ind w:left="252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  <w:noProof/>
              </w:rPr>
              <w:t>PO Box 83720</w:t>
            </w:r>
          </w:p>
          <w:p w14:paraId="55395043" w14:textId="77777777" w:rsidR="00C042B2" w:rsidRPr="008C41B1" w:rsidRDefault="00C042B2" w:rsidP="00914B28">
            <w:pPr>
              <w:ind w:left="252"/>
              <w:rPr>
                <w:rFonts w:ascii="Arial" w:hAnsi="Arial" w:cs="Arial"/>
              </w:rPr>
            </w:pPr>
            <w:r w:rsidRPr="008C41B1">
              <w:rPr>
                <w:rFonts w:ascii="Arial" w:hAnsi="Arial" w:cs="Arial"/>
                <w:noProof/>
              </w:rPr>
              <w:t>Boise</w:t>
            </w:r>
            <w:r w:rsidRPr="008C41B1">
              <w:rPr>
                <w:rFonts w:ascii="Arial" w:hAnsi="Arial" w:cs="Arial"/>
              </w:rPr>
              <w:t xml:space="preserve">, </w:t>
            </w:r>
            <w:r w:rsidRPr="008C41B1">
              <w:rPr>
                <w:rFonts w:ascii="Arial" w:hAnsi="Arial" w:cs="Arial"/>
                <w:noProof/>
              </w:rPr>
              <w:t>ID</w:t>
            </w:r>
            <w:r w:rsidRPr="008C41B1">
              <w:rPr>
                <w:rFonts w:ascii="Arial" w:hAnsi="Arial" w:cs="Arial"/>
              </w:rPr>
              <w:t xml:space="preserve">  </w:t>
            </w:r>
            <w:r w:rsidRPr="008C41B1">
              <w:rPr>
                <w:rFonts w:ascii="Arial" w:hAnsi="Arial" w:cs="Arial"/>
                <w:noProof/>
              </w:rPr>
              <w:t>83720-0096</w:t>
            </w:r>
          </w:p>
          <w:p w14:paraId="12C90903" w14:textId="77777777" w:rsidR="00C042B2" w:rsidRPr="008C41B1" w:rsidRDefault="00C042B2" w:rsidP="00914B28">
            <w:pPr>
              <w:ind w:left="252"/>
              <w:rPr>
                <w:rFonts w:ascii="Arial" w:hAnsi="Arial" w:cs="Arial"/>
                <w:szCs w:val="17"/>
              </w:rPr>
            </w:pPr>
            <w:r w:rsidRPr="008C41B1">
              <w:rPr>
                <w:rFonts w:ascii="Arial" w:hAnsi="Arial" w:cs="Arial"/>
              </w:rPr>
              <w:t>Phone: (208) 287-64</w:t>
            </w:r>
            <w:r>
              <w:rPr>
                <w:rFonts w:ascii="Arial" w:hAnsi="Arial" w:cs="Arial"/>
              </w:rPr>
              <w:t>77</w:t>
            </w:r>
          </w:p>
          <w:p w14:paraId="456B766E" w14:textId="0D4AF420" w:rsidR="00C042B2" w:rsidRDefault="00C042B2" w:rsidP="00914B28">
            <w:pPr>
              <w:ind w:left="252"/>
              <w:rPr>
                <w:rStyle w:val="Hyperlink"/>
                <w:rFonts w:ascii="Arial" w:hAnsi="Arial" w:cs="Arial"/>
                <w:szCs w:val="17"/>
                <w:lang w:val="fr-FR"/>
              </w:rPr>
            </w:pPr>
            <w:proofErr w:type="gramStart"/>
            <w:r w:rsidRPr="008C41B1">
              <w:rPr>
                <w:rFonts w:ascii="Arial" w:hAnsi="Arial" w:cs="Arial"/>
                <w:szCs w:val="17"/>
                <w:lang w:val="fr-FR"/>
              </w:rPr>
              <w:t>E-mail:</w:t>
            </w:r>
            <w:proofErr w:type="gramEnd"/>
            <w:r w:rsidRPr="008C41B1">
              <w:rPr>
                <w:rFonts w:ascii="Arial" w:hAnsi="Arial" w:cs="Arial"/>
                <w:szCs w:val="17"/>
                <w:lang w:val="fr-FR"/>
              </w:rPr>
              <w:t xml:space="preserve"> </w:t>
            </w:r>
            <w:hyperlink r:id="rId8" w:history="1">
              <w:r w:rsidRPr="001E6069">
                <w:rPr>
                  <w:rStyle w:val="Hyperlink"/>
                  <w:rFonts w:ascii="Arial" w:hAnsi="Arial" w:cs="Arial"/>
                  <w:szCs w:val="17"/>
                  <w:lang w:val="fr-FR"/>
                </w:rPr>
                <w:t>judy.taylor@vr.idaho.gov</w:t>
              </w:r>
            </w:hyperlink>
          </w:p>
          <w:p w14:paraId="46AB3898" w14:textId="77777777" w:rsidR="00C042B2" w:rsidRDefault="00C042B2" w:rsidP="00914B28">
            <w:pPr>
              <w:ind w:left="252"/>
              <w:rPr>
                <w:rFonts w:ascii="Arial" w:hAnsi="Arial" w:cs="Arial"/>
                <w:szCs w:val="17"/>
                <w:lang w:val="fr-FR"/>
              </w:rPr>
            </w:pPr>
          </w:p>
          <w:p w14:paraId="31A708DE" w14:textId="77777777" w:rsidR="00C042B2" w:rsidRPr="008C41B1" w:rsidRDefault="00C042B2" w:rsidP="00914B28">
            <w:pPr>
              <w:ind w:left="252"/>
              <w:rPr>
                <w:rFonts w:ascii="Arial" w:hAnsi="Arial" w:cs="Arial"/>
                <w:lang w:val="fr-FR"/>
              </w:rPr>
            </w:pPr>
          </w:p>
        </w:tc>
      </w:tr>
    </w:tbl>
    <w:p w14:paraId="051D25B6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08CF920B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298DFC47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5ABA853A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54A01796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0130E043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76BE3249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74CE1C1F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61617B78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3DD3EAA4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18C387AB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3185B7BB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2E37E3F7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489DE3B7" w14:textId="77777777" w:rsidR="00C042B2" w:rsidRDefault="00C042B2" w:rsidP="00F01EEE">
      <w:pPr>
        <w:tabs>
          <w:tab w:val="left" w:pos="8295"/>
        </w:tabs>
        <w:rPr>
          <w:rFonts w:ascii="Arial" w:hAnsi="Arial" w:cs="Arial"/>
          <w:b/>
          <w:bCs/>
          <w:sz w:val="24"/>
          <w:szCs w:val="24"/>
        </w:rPr>
      </w:pPr>
    </w:p>
    <w:p w14:paraId="02A2FA86" w14:textId="77777777" w:rsidR="00F01EEE" w:rsidRPr="0077772B" w:rsidRDefault="00F01EEE" w:rsidP="00F01EEE">
      <w:pPr>
        <w:tabs>
          <w:tab w:val="left" w:pos="8295"/>
        </w:tabs>
        <w:rPr>
          <w:rFonts w:ascii="Arial" w:hAnsi="Arial" w:cs="Arial"/>
          <w:sz w:val="24"/>
          <w:szCs w:val="24"/>
        </w:rPr>
      </w:pPr>
    </w:p>
    <w:p w14:paraId="1BCA28B9" w14:textId="77777777" w:rsidR="000D6A17" w:rsidRDefault="000D6A17" w:rsidP="0089247B">
      <w:pPr>
        <w:rPr>
          <w:rFonts w:ascii="Arial" w:hAnsi="Arial" w:cs="Arial"/>
          <w:sz w:val="24"/>
          <w:szCs w:val="24"/>
        </w:rPr>
      </w:pPr>
    </w:p>
    <w:p w14:paraId="527A7FA1" w14:textId="77777777" w:rsidR="00C042B2" w:rsidRDefault="00C042B2" w:rsidP="0089247B">
      <w:pPr>
        <w:rPr>
          <w:rFonts w:ascii="Arial" w:hAnsi="Arial" w:cs="Arial"/>
          <w:sz w:val="24"/>
          <w:szCs w:val="24"/>
        </w:rPr>
      </w:pPr>
    </w:p>
    <w:p w14:paraId="2CD217A5" w14:textId="77777777" w:rsidR="00C042B2" w:rsidRDefault="00C042B2" w:rsidP="0089247B">
      <w:pPr>
        <w:rPr>
          <w:rFonts w:ascii="Arial" w:hAnsi="Arial" w:cs="Arial"/>
          <w:sz w:val="24"/>
          <w:szCs w:val="24"/>
        </w:rPr>
      </w:pPr>
    </w:p>
    <w:p w14:paraId="7FB7CA27" w14:textId="77777777" w:rsidR="00C042B2" w:rsidRDefault="00C042B2" w:rsidP="0089247B">
      <w:pPr>
        <w:rPr>
          <w:rFonts w:ascii="Arial" w:hAnsi="Arial" w:cs="Arial"/>
          <w:sz w:val="24"/>
          <w:szCs w:val="24"/>
        </w:rPr>
      </w:pPr>
    </w:p>
    <w:p w14:paraId="6B53562B" w14:textId="77777777" w:rsidR="00C042B2" w:rsidRDefault="00C042B2" w:rsidP="0089247B">
      <w:pPr>
        <w:rPr>
          <w:rFonts w:ascii="Arial" w:hAnsi="Arial" w:cs="Arial"/>
          <w:sz w:val="24"/>
          <w:szCs w:val="24"/>
        </w:rPr>
      </w:pPr>
    </w:p>
    <w:p w14:paraId="47BB7129" w14:textId="77777777" w:rsidR="00C042B2" w:rsidRPr="0077772B" w:rsidRDefault="00C042B2" w:rsidP="0089247B">
      <w:pPr>
        <w:rPr>
          <w:rFonts w:ascii="Arial" w:hAnsi="Arial" w:cs="Arial"/>
          <w:sz w:val="24"/>
          <w:szCs w:val="24"/>
        </w:rPr>
      </w:pPr>
    </w:p>
    <w:sectPr w:rsidR="00C042B2" w:rsidRPr="0077772B" w:rsidSect="000400B6">
      <w:headerReference w:type="default" r:id="rId9"/>
      <w:footerReference w:type="default" r:id="rId10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8EFEE" w14:textId="77777777" w:rsidR="00026FE8" w:rsidRDefault="00026FE8">
      <w:r>
        <w:separator/>
      </w:r>
    </w:p>
  </w:endnote>
  <w:endnote w:type="continuationSeparator" w:id="0">
    <w:p w14:paraId="745C5F5D" w14:textId="77777777" w:rsidR="00026FE8" w:rsidRDefault="000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673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6A60C" w14:textId="7D2F01F6" w:rsidR="00191056" w:rsidRPr="009F776F" w:rsidRDefault="00191056" w:rsidP="009F776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</w:rPr>
        </w:pPr>
        <w:r>
          <w:rPr>
            <w:rFonts w:ascii="Arial" w:hAnsi="Arial" w:cs="Arial"/>
          </w:rPr>
          <w:t>State of Idaho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7B7345">
          <w:rPr>
            <w:rFonts w:ascii="Arial" w:hAnsi="Arial" w:cs="Arial"/>
            <w:noProof/>
          </w:rPr>
          <w:t>4</w:t>
        </w:r>
        <w:r>
          <w:rPr>
            <w:rFonts w:ascii="Arial" w:hAnsi="Arial" w:cs="Arial"/>
            <w:noProof/>
          </w:rPr>
          <w:fldChar w:fldCharType="end"/>
        </w:r>
      </w:p>
    </w:sdtContent>
  </w:sdt>
  <w:p w14:paraId="086CD016" w14:textId="77777777" w:rsidR="00191056" w:rsidRDefault="00191056">
    <w:pPr>
      <w:pStyle w:val="Footer"/>
      <w:tabs>
        <w:tab w:val="clear" w:pos="4320"/>
        <w:tab w:val="clear" w:pos="8640"/>
        <w:tab w:val="center" w:pos="4680"/>
        <w:tab w:val="right" w:pos="1008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615A" w14:textId="77777777" w:rsidR="00026FE8" w:rsidRDefault="00026FE8">
      <w:r>
        <w:separator/>
      </w:r>
    </w:p>
  </w:footnote>
  <w:footnote w:type="continuationSeparator" w:id="0">
    <w:p w14:paraId="468EBC6A" w14:textId="77777777" w:rsidR="00026FE8" w:rsidRDefault="0002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191056" w14:paraId="2BEF2EB9" w14:textId="77777777" w:rsidTr="00AE53FA">
      <w:tc>
        <w:tcPr>
          <w:tcW w:w="10080" w:type="dxa"/>
          <w:shd w:val="clear" w:color="auto" w:fill="000080"/>
        </w:tcPr>
        <w:p w14:paraId="521FE05D" w14:textId="48AD0B82" w:rsidR="00191056" w:rsidRPr="000D6A17" w:rsidRDefault="00191056" w:rsidP="00CF737E">
          <w:pPr>
            <w:tabs>
              <w:tab w:val="right" w:pos="9852"/>
            </w:tabs>
            <w:rPr>
              <w:rFonts w:ascii="Arial" w:hAnsi="Arial" w:cs="Arial"/>
              <w:color w:val="FFFFFF"/>
              <w:sz w:val="24"/>
              <w:szCs w:val="24"/>
            </w:rPr>
          </w:pPr>
          <w:r w:rsidRPr="000D6A17">
            <w:rPr>
              <w:rFonts w:ascii="Arial" w:hAnsi="Arial" w:cs="Arial"/>
              <w:b/>
              <w:bCs/>
              <w:noProof/>
              <w:color w:val="FFFFFF"/>
              <w:sz w:val="24"/>
              <w:szCs w:val="24"/>
            </w:rPr>
            <w:t>Vocational Rehabilitation, Idaho Division of</w:t>
          </w:r>
          <w:r w:rsidRPr="000D6A17">
            <w:rPr>
              <w:rFonts w:ascii="Arial" w:hAnsi="Arial" w:cs="Arial"/>
              <w:b/>
              <w:bCs/>
              <w:color w:val="FFFFFF"/>
              <w:sz w:val="24"/>
              <w:szCs w:val="24"/>
            </w:rPr>
            <w:tab/>
          </w:r>
          <w:r w:rsidRPr="000D6A17">
            <w:rPr>
              <w:rFonts w:ascii="Arial" w:hAnsi="Arial" w:cs="Arial"/>
              <w:color w:val="FFFFFF"/>
              <w:sz w:val="24"/>
              <w:szCs w:val="24"/>
            </w:rPr>
            <w:t>Performance Report</w:t>
          </w:r>
        </w:p>
      </w:tc>
    </w:tr>
    <w:tr w:rsidR="00191056" w14:paraId="5F6B7C10" w14:textId="77777777" w:rsidTr="00AE53FA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11E02801" w14:textId="77777777" w:rsidR="00191056" w:rsidRDefault="00191056" w:rsidP="00191056"/>
      </w:tc>
    </w:tr>
    <w:tr w:rsidR="00191056" w14:paraId="7F0DDF69" w14:textId="77777777" w:rsidTr="00AE53FA">
      <w:tc>
        <w:tcPr>
          <w:tcW w:w="10080" w:type="dxa"/>
          <w:tcBorders>
            <w:bottom w:val="nil"/>
          </w:tcBorders>
          <w:shd w:val="clear" w:color="auto" w:fill="000080"/>
        </w:tcPr>
        <w:p w14:paraId="39835984" w14:textId="77777777" w:rsidR="00191056" w:rsidRDefault="00191056" w:rsidP="00191056"/>
      </w:tc>
    </w:tr>
  </w:tbl>
  <w:p w14:paraId="5240C3C4" w14:textId="77777777" w:rsidR="00191056" w:rsidRDefault="00191056" w:rsidP="00D04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3F5"/>
    <w:multiLevelType w:val="hybridMultilevel"/>
    <w:tmpl w:val="E22E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B06"/>
    <w:multiLevelType w:val="hybridMultilevel"/>
    <w:tmpl w:val="4A0E819C"/>
    <w:lvl w:ilvl="0" w:tplc="740EC8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76669"/>
    <w:multiLevelType w:val="hybridMultilevel"/>
    <w:tmpl w:val="7EF04FDE"/>
    <w:lvl w:ilvl="0" w:tplc="B08437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F38DA"/>
    <w:multiLevelType w:val="hybridMultilevel"/>
    <w:tmpl w:val="7F541C54"/>
    <w:lvl w:ilvl="0" w:tplc="301E67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9614DC8"/>
    <w:multiLevelType w:val="hybridMultilevel"/>
    <w:tmpl w:val="8C3C596C"/>
    <w:lvl w:ilvl="0" w:tplc="B7D263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ADC101A"/>
    <w:multiLevelType w:val="hybridMultilevel"/>
    <w:tmpl w:val="6DC80C64"/>
    <w:lvl w:ilvl="0" w:tplc="8AD48840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1983"/>
    <w:multiLevelType w:val="hybridMultilevel"/>
    <w:tmpl w:val="B7D86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7755EF3"/>
    <w:multiLevelType w:val="hybridMultilevel"/>
    <w:tmpl w:val="E22E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106"/>
    <w:multiLevelType w:val="hybridMultilevel"/>
    <w:tmpl w:val="E354BCD4"/>
    <w:lvl w:ilvl="0" w:tplc="50FC2D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2D87"/>
    <w:multiLevelType w:val="hybridMultilevel"/>
    <w:tmpl w:val="7BB8E0F4"/>
    <w:lvl w:ilvl="0" w:tplc="B08437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583EDB"/>
    <w:multiLevelType w:val="hybridMultilevel"/>
    <w:tmpl w:val="42260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36B35"/>
    <w:multiLevelType w:val="hybridMultilevel"/>
    <w:tmpl w:val="4080DB04"/>
    <w:lvl w:ilvl="0" w:tplc="D182F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529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369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623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F07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5A4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E6EA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1CA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24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2C09C6"/>
    <w:multiLevelType w:val="hybridMultilevel"/>
    <w:tmpl w:val="3E326B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E11343C"/>
    <w:multiLevelType w:val="hybridMultilevel"/>
    <w:tmpl w:val="455A0294"/>
    <w:lvl w:ilvl="0" w:tplc="B08437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CF0CDF"/>
    <w:multiLevelType w:val="hybridMultilevel"/>
    <w:tmpl w:val="9AB2435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802075B"/>
    <w:multiLevelType w:val="hybridMultilevel"/>
    <w:tmpl w:val="D55A6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023C3B"/>
    <w:multiLevelType w:val="hybridMultilevel"/>
    <w:tmpl w:val="3C18C3B8"/>
    <w:lvl w:ilvl="0" w:tplc="030ADE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5945F9"/>
    <w:multiLevelType w:val="hybridMultilevel"/>
    <w:tmpl w:val="5D366F54"/>
    <w:lvl w:ilvl="0" w:tplc="8788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A66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47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84F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A26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01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32D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03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688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3965602">
    <w:abstractNumId w:val="11"/>
  </w:num>
  <w:num w:numId="2" w16cid:durableId="1041326757">
    <w:abstractNumId w:val="17"/>
  </w:num>
  <w:num w:numId="3" w16cid:durableId="242537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018205">
    <w:abstractNumId w:val="13"/>
  </w:num>
  <w:num w:numId="5" w16cid:durableId="1233540493">
    <w:abstractNumId w:val="2"/>
  </w:num>
  <w:num w:numId="6" w16cid:durableId="537280418">
    <w:abstractNumId w:val="1"/>
  </w:num>
  <w:num w:numId="7" w16cid:durableId="1053697953">
    <w:abstractNumId w:val="9"/>
  </w:num>
  <w:num w:numId="8" w16cid:durableId="1021123203">
    <w:abstractNumId w:val="6"/>
  </w:num>
  <w:num w:numId="9" w16cid:durableId="700204917">
    <w:abstractNumId w:val="12"/>
  </w:num>
  <w:num w:numId="10" w16cid:durableId="339625996">
    <w:abstractNumId w:val="14"/>
  </w:num>
  <w:num w:numId="11" w16cid:durableId="1244484934">
    <w:abstractNumId w:val="4"/>
  </w:num>
  <w:num w:numId="12" w16cid:durableId="1681663403">
    <w:abstractNumId w:val="8"/>
  </w:num>
  <w:num w:numId="13" w16cid:durableId="2086418242">
    <w:abstractNumId w:val="7"/>
  </w:num>
  <w:num w:numId="14" w16cid:durableId="1119448597">
    <w:abstractNumId w:val="16"/>
  </w:num>
  <w:num w:numId="15" w16cid:durableId="1096748108">
    <w:abstractNumId w:val="0"/>
  </w:num>
  <w:num w:numId="16" w16cid:durableId="1943806646">
    <w:abstractNumId w:val="3"/>
  </w:num>
  <w:num w:numId="17" w16cid:durableId="501314483">
    <w:abstractNumId w:val="10"/>
  </w:num>
  <w:num w:numId="18" w16cid:durableId="2029137876">
    <w:abstractNumId w:val="15"/>
  </w:num>
  <w:num w:numId="19" w16cid:durableId="130596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FF"/>
    <w:rsid w:val="000057B7"/>
    <w:rsid w:val="00010927"/>
    <w:rsid w:val="000111FF"/>
    <w:rsid w:val="000137BA"/>
    <w:rsid w:val="00013CAF"/>
    <w:rsid w:val="000143BC"/>
    <w:rsid w:val="00016644"/>
    <w:rsid w:val="00020647"/>
    <w:rsid w:val="0002187E"/>
    <w:rsid w:val="000233A0"/>
    <w:rsid w:val="00026758"/>
    <w:rsid w:val="00026FE8"/>
    <w:rsid w:val="000310CB"/>
    <w:rsid w:val="000400B6"/>
    <w:rsid w:val="00044CC1"/>
    <w:rsid w:val="00046246"/>
    <w:rsid w:val="00053E6A"/>
    <w:rsid w:val="00057A7E"/>
    <w:rsid w:val="0006077F"/>
    <w:rsid w:val="00060FB0"/>
    <w:rsid w:val="00065456"/>
    <w:rsid w:val="00066C6B"/>
    <w:rsid w:val="00066D40"/>
    <w:rsid w:val="00070489"/>
    <w:rsid w:val="0008344B"/>
    <w:rsid w:val="000862CE"/>
    <w:rsid w:val="00087F09"/>
    <w:rsid w:val="00090A5C"/>
    <w:rsid w:val="00091855"/>
    <w:rsid w:val="0009204B"/>
    <w:rsid w:val="00096EFD"/>
    <w:rsid w:val="00097BF6"/>
    <w:rsid w:val="000A1FBC"/>
    <w:rsid w:val="000B0A06"/>
    <w:rsid w:val="000B0EB8"/>
    <w:rsid w:val="000B3689"/>
    <w:rsid w:val="000B58E0"/>
    <w:rsid w:val="000B63E5"/>
    <w:rsid w:val="000C078B"/>
    <w:rsid w:val="000C25E6"/>
    <w:rsid w:val="000C2FC5"/>
    <w:rsid w:val="000C64A0"/>
    <w:rsid w:val="000C6D9F"/>
    <w:rsid w:val="000C710A"/>
    <w:rsid w:val="000D0FB3"/>
    <w:rsid w:val="000D1F1F"/>
    <w:rsid w:val="000D25FF"/>
    <w:rsid w:val="000D5F5A"/>
    <w:rsid w:val="000D6A17"/>
    <w:rsid w:val="000D6B74"/>
    <w:rsid w:val="000E24F3"/>
    <w:rsid w:val="000F0187"/>
    <w:rsid w:val="000F6315"/>
    <w:rsid w:val="001019BB"/>
    <w:rsid w:val="00102AA8"/>
    <w:rsid w:val="001058C0"/>
    <w:rsid w:val="001113DD"/>
    <w:rsid w:val="0011289A"/>
    <w:rsid w:val="00112AA4"/>
    <w:rsid w:val="0011631B"/>
    <w:rsid w:val="00120CFF"/>
    <w:rsid w:val="00121117"/>
    <w:rsid w:val="00122122"/>
    <w:rsid w:val="00122388"/>
    <w:rsid w:val="00122C2E"/>
    <w:rsid w:val="00126FA1"/>
    <w:rsid w:val="001306CA"/>
    <w:rsid w:val="00131DD2"/>
    <w:rsid w:val="00134765"/>
    <w:rsid w:val="00140BCA"/>
    <w:rsid w:val="001411E8"/>
    <w:rsid w:val="00143E67"/>
    <w:rsid w:val="00152178"/>
    <w:rsid w:val="00152308"/>
    <w:rsid w:val="00155612"/>
    <w:rsid w:val="00161B7F"/>
    <w:rsid w:val="0016261D"/>
    <w:rsid w:val="0016323B"/>
    <w:rsid w:val="0016522B"/>
    <w:rsid w:val="00166BA2"/>
    <w:rsid w:val="00171AB4"/>
    <w:rsid w:val="00171B18"/>
    <w:rsid w:val="00172CD6"/>
    <w:rsid w:val="0017371E"/>
    <w:rsid w:val="00173B3A"/>
    <w:rsid w:val="00182912"/>
    <w:rsid w:val="00190976"/>
    <w:rsid w:val="00191056"/>
    <w:rsid w:val="001A47E5"/>
    <w:rsid w:val="001A63D6"/>
    <w:rsid w:val="001B0538"/>
    <w:rsid w:val="001B06DA"/>
    <w:rsid w:val="001B656E"/>
    <w:rsid w:val="001B74FA"/>
    <w:rsid w:val="001C4A44"/>
    <w:rsid w:val="001D1E26"/>
    <w:rsid w:val="001D3193"/>
    <w:rsid w:val="001D6AB5"/>
    <w:rsid w:val="001D78ED"/>
    <w:rsid w:val="001E5CF7"/>
    <w:rsid w:val="001F46AE"/>
    <w:rsid w:val="001F6749"/>
    <w:rsid w:val="001F695D"/>
    <w:rsid w:val="002039FC"/>
    <w:rsid w:val="00203BED"/>
    <w:rsid w:val="0020443F"/>
    <w:rsid w:val="00205828"/>
    <w:rsid w:val="002118E3"/>
    <w:rsid w:val="00211C08"/>
    <w:rsid w:val="00214B69"/>
    <w:rsid w:val="00216696"/>
    <w:rsid w:val="00220C79"/>
    <w:rsid w:val="00223BEE"/>
    <w:rsid w:val="0022640F"/>
    <w:rsid w:val="0023638F"/>
    <w:rsid w:val="00240C08"/>
    <w:rsid w:val="00243642"/>
    <w:rsid w:val="00243DDA"/>
    <w:rsid w:val="00244E26"/>
    <w:rsid w:val="00246765"/>
    <w:rsid w:val="002525CD"/>
    <w:rsid w:val="002558E0"/>
    <w:rsid w:val="0025616B"/>
    <w:rsid w:val="002563D7"/>
    <w:rsid w:val="00256ED9"/>
    <w:rsid w:val="00262ADC"/>
    <w:rsid w:val="00264819"/>
    <w:rsid w:val="00271471"/>
    <w:rsid w:val="00277C55"/>
    <w:rsid w:val="0028111A"/>
    <w:rsid w:val="00281477"/>
    <w:rsid w:val="00282333"/>
    <w:rsid w:val="00284F3C"/>
    <w:rsid w:val="00284FC4"/>
    <w:rsid w:val="0028655A"/>
    <w:rsid w:val="00290ED8"/>
    <w:rsid w:val="00291984"/>
    <w:rsid w:val="00291D9C"/>
    <w:rsid w:val="00292B02"/>
    <w:rsid w:val="0029441D"/>
    <w:rsid w:val="0029579A"/>
    <w:rsid w:val="00297EE1"/>
    <w:rsid w:val="002A16D8"/>
    <w:rsid w:val="002A2003"/>
    <w:rsid w:val="002A2A29"/>
    <w:rsid w:val="002A3447"/>
    <w:rsid w:val="002B0D85"/>
    <w:rsid w:val="002B3775"/>
    <w:rsid w:val="002B7E5F"/>
    <w:rsid w:val="002C122C"/>
    <w:rsid w:val="002C1895"/>
    <w:rsid w:val="002C2079"/>
    <w:rsid w:val="002C53D8"/>
    <w:rsid w:val="002D39F0"/>
    <w:rsid w:val="002D6930"/>
    <w:rsid w:val="002E0AC1"/>
    <w:rsid w:val="002E6AB0"/>
    <w:rsid w:val="002E6E03"/>
    <w:rsid w:val="002E6E3F"/>
    <w:rsid w:val="002F0438"/>
    <w:rsid w:val="002F1705"/>
    <w:rsid w:val="002F33D6"/>
    <w:rsid w:val="002F699E"/>
    <w:rsid w:val="002F7A8B"/>
    <w:rsid w:val="002F7BB4"/>
    <w:rsid w:val="0030123C"/>
    <w:rsid w:val="00302F17"/>
    <w:rsid w:val="0030353B"/>
    <w:rsid w:val="0030390B"/>
    <w:rsid w:val="00312A8D"/>
    <w:rsid w:val="003136C6"/>
    <w:rsid w:val="00313782"/>
    <w:rsid w:val="00317F17"/>
    <w:rsid w:val="00323E2F"/>
    <w:rsid w:val="00324F8F"/>
    <w:rsid w:val="00325DFF"/>
    <w:rsid w:val="00327652"/>
    <w:rsid w:val="003324AA"/>
    <w:rsid w:val="003378FA"/>
    <w:rsid w:val="00345258"/>
    <w:rsid w:val="00345BCE"/>
    <w:rsid w:val="00353D81"/>
    <w:rsid w:val="00356D8D"/>
    <w:rsid w:val="00360233"/>
    <w:rsid w:val="00360CA1"/>
    <w:rsid w:val="0036144F"/>
    <w:rsid w:val="003654D8"/>
    <w:rsid w:val="0037198D"/>
    <w:rsid w:val="003771F6"/>
    <w:rsid w:val="003778F8"/>
    <w:rsid w:val="003814FA"/>
    <w:rsid w:val="00381EAF"/>
    <w:rsid w:val="00385E0C"/>
    <w:rsid w:val="003868DB"/>
    <w:rsid w:val="003873B8"/>
    <w:rsid w:val="00390C46"/>
    <w:rsid w:val="00390F8A"/>
    <w:rsid w:val="003965CF"/>
    <w:rsid w:val="00397442"/>
    <w:rsid w:val="003A5405"/>
    <w:rsid w:val="003A7A7A"/>
    <w:rsid w:val="003B22D5"/>
    <w:rsid w:val="003B2672"/>
    <w:rsid w:val="003B4580"/>
    <w:rsid w:val="003B47EA"/>
    <w:rsid w:val="003B553E"/>
    <w:rsid w:val="003C5889"/>
    <w:rsid w:val="003C70A4"/>
    <w:rsid w:val="003D33E1"/>
    <w:rsid w:val="003D3A42"/>
    <w:rsid w:val="003D5081"/>
    <w:rsid w:val="003E002D"/>
    <w:rsid w:val="003E0033"/>
    <w:rsid w:val="003E22DA"/>
    <w:rsid w:val="003E607F"/>
    <w:rsid w:val="003F35E3"/>
    <w:rsid w:val="003F5CA6"/>
    <w:rsid w:val="003F731D"/>
    <w:rsid w:val="00402C8C"/>
    <w:rsid w:val="0041028E"/>
    <w:rsid w:val="0041384E"/>
    <w:rsid w:val="004215F8"/>
    <w:rsid w:val="004217B4"/>
    <w:rsid w:val="00423684"/>
    <w:rsid w:val="00430212"/>
    <w:rsid w:val="00435D7E"/>
    <w:rsid w:val="00437569"/>
    <w:rsid w:val="00441224"/>
    <w:rsid w:val="00441859"/>
    <w:rsid w:val="00443E2C"/>
    <w:rsid w:val="00445C93"/>
    <w:rsid w:val="00445D43"/>
    <w:rsid w:val="004462AC"/>
    <w:rsid w:val="00446915"/>
    <w:rsid w:val="00446C6C"/>
    <w:rsid w:val="0045075A"/>
    <w:rsid w:val="004511C6"/>
    <w:rsid w:val="00453450"/>
    <w:rsid w:val="004548C3"/>
    <w:rsid w:val="00463217"/>
    <w:rsid w:val="00463F98"/>
    <w:rsid w:val="004661FB"/>
    <w:rsid w:val="004724B1"/>
    <w:rsid w:val="00473899"/>
    <w:rsid w:val="00474E1A"/>
    <w:rsid w:val="00477D3D"/>
    <w:rsid w:val="00487CFB"/>
    <w:rsid w:val="00492EB1"/>
    <w:rsid w:val="004943E0"/>
    <w:rsid w:val="004A4617"/>
    <w:rsid w:val="004B2792"/>
    <w:rsid w:val="004B679F"/>
    <w:rsid w:val="004C2762"/>
    <w:rsid w:val="004C2C4D"/>
    <w:rsid w:val="004C3FDF"/>
    <w:rsid w:val="004C4D89"/>
    <w:rsid w:val="004C60F1"/>
    <w:rsid w:val="004C6B86"/>
    <w:rsid w:val="004C731E"/>
    <w:rsid w:val="004D0686"/>
    <w:rsid w:val="004D24EB"/>
    <w:rsid w:val="004D3B3F"/>
    <w:rsid w:val="004D5132"/>
    <w:rsid w:val="004E05BF"/>
    <w:rsid w:val="004E0DC3"/>
    <w:rsid w:val="004E377C"/>
    <w:rsid w:val="004E50C9"/>
    <w:rsid w:val="004F0D94"/>
    <w:rsid w:val="00503D92"/>
    <w:rsid w:val="00504632"/>
    <w:rsid w:val="00504788"/>
    <w:rsid w:val="00506D08"/>
    <w:rsid w:val="005105CB"/>
    <w:rsid w:val="00510BB4"/>
    <w:rsid w:val="00510C5A"/>
    <w:rsid w:val="005238F3"/>
    <w:rsid w:val="005318F1"/>
    <w:rsid w:val="00534383"/>
    <w:rsid w:val="005353BF"/>
    <w:rsid w:val="0053613D"/>
    <w:rsid w:val="00536530"/>
    <w:rsid w:val="00536753"/>
    <w:rsid w:val="005368B3"/>
    <w:rsid w:val="005371AC"/>
    <w:rsid w:val="00537813"/>
    <w:rsid w:val="005434C0"/>
    <w:rsid w:val="00544FEA"/>
    <w:rsid w:val="00546BE7"/>
    <w:rsid w:val="00563554"/>
    <w:rsid w:val="00566A06"/>
    <w:rsid w:val="0056716D"/>
    <w:rsid w:val="00574621"/>
    <w:rsid w:val="005766C9"/>
    <w:rsid w:val="00583763"/>
    <w:rsid w:val="00584C95"/>
    <w:rsid w:val="00590074"/>
    <w:rsid w:val="005925A6"/>
    <w:rsid w:val="005930CA"/>
    <w:rsid w:val="005944ED"/>
    <w:rsid w:val="00596BBB"/>
    <w:rsid w:val="00596C37"/>
    <w:rsid w:val="005A0003"/>
    <w:rsid w:val="005A62F2"/>
    <w:rsid w:val="005A73F9"/>
    <w:rsid w:val="005B2BC0"/>
    <w:rsid w:val="005B2F10"/>
    <w:rsid w:val="005B3D09"/>
    <w:rsid w:val="005B5227"/>
    <w:rsid w:val="005B535F"/>
    <w:rsid w:val="005B5F98"/>
    <w:rsid w:val="005B74A1"/>
    <w:rsid w:val="005C2EE2"/>
    <w:rsid w:val="005C3B1E"/>
    <w:rsid w:val="005C4D76"/>
    <w:rsid w:val="005C5ACD"/>
    <w:rsid w:val="005C73F1"/>
    <w:rsid w:val="005D08A1"/>
    <w:rsid w:val="005D3469"/>
    <w:rsid w:val="005D3C50"/>
    <w:rsid w:val="005D7FF6"/>
    <w:rsid w:val="005E0AD2"/>
    <w:rsid w:val="005E1D96"/>
    <w:rsid w:val="005F2326"/>
    <w:rsid w:val="005F4C4C"/>
    <w:rsid w:val="005F78B4"/>
    <w:rsid w:val="006009C2"/>
    <w:rsid w:val="00610D62"/>
    <w:rsid w:val="00614B0D"/>
    <w:rsid w:val="00623141"/>
    <w:rsid w:val="00630298"/>
    <w:rsid w:val="00630505"/>
    <w:rsid w:val="006318FA"/>
    <w:rsid w:val="006330DB"/>
    <w:rsid w:val="0063421C"/>
    <w:rsid w:val="00635447"/>
    <w:rsid w:val="00636B39"/>
    <w:rsid w:val="00637220"/>
    <w:rsid w:val="0063757E"/>
    <w:rsid w:val="00640FE6"/>
    <w:rsid w:val="00643E73"/>
    <w:rsid w:val="0064610E"/>
    <w:rsid w:val="00646451"/>
    <w:rsid w:val="0065201B"/>
    <w:rsid w:val="00652227"/>
    <w:rsid w:val="006536AC"/>
    <w:rsid w:val="006574B7"/>
    <w:rsid w:val="00660655"/>
    <w:rsid w:val="00663A74"/>
    <w:rsid w:val="00663AD6"/>
    <w:rsid w:val="0066710F"/>
    <w:rsid w:val="00680009"/>
    <w:rsid w:val="0068195A"/>
    <w:rsid w:val="00682C1E"/>
    <w:rsid w:val="006834EF"/>
    <w:rsid w:val="00693977"/>
    <w:rsid w:val="006A0A83"/>
    <w:rsid w:val="006A2DCF"/>
    <w:rsid w:val="006A4941"/>
    <w:rsid w:val="006A5687"/>
    <w:rsid w:val="006A6A49"/>
    <w:rsid w:val="006B00A2"/>
    <w:rsid w:val="006B0826"/>
    <w:rsid w:val="006B2659"/>
    <w:rsid w:val="006B39BD"/>
    <w:rsid w:val="006B4F13"/>
    <w:rsid w:val="006B5733"/>
    <w:rsid w:val="006B77AC"/>
    <w:rsid w:val="006B7D20"/>
    <w:rsid w:val="006C36B7"/>
    <w:rsid w:val="006C44C1"/>
    <w:rsid w:val="006C657D"/>
    <w:rsid w:val="006D2759"/>
    <w:rsid w:val="006D3221"/>
    <w:rsid w:val="006D3C2A"/>
    <w:rsid w:val="006D41AC"/>
    <w:rsid w:val="006D60F5"/>
    <w:rsid w:val="006E16C8"/>
    <w:rsid w:val="006E256D"/>
    <w:rsid w:val="006E401A"/>
    <w:rsid w:val="006E7DCB"/>
    <w:rsid w:val="006F7DF7"/>
    <w:rsid w:val="00701FF3"/>
    <w:rsid w:val="00703519"/>
    <w:rsid w:val="00706BA5"/>
    <w:rsid w:val="007103CE"/>
    <w:rsid w:val="00710DBA"/>
    <w:rsid w:val="00712367"/>
    <w:rsid w:val="00712B81"/>
    <w:rsid w:val="00714FCC"/>
    <w:rsid w:val="0072070F"/>
    <w:rsid w:val="00721C17"/>
    <w:rsid w:val="00735804"/>
    <w:rsid w:val="00741FBC"/>
    <w:rsid w:val="00743EE3"/>
    <w:rsid w:val="007454AB"/>
    <w:rsid w:val="00750DA1"/>
    <w:rsid w:val="007527C5"/>
    <w:rsid w:val="007564AA"/>
    <w:rsid w:val="00757BC7"/>
    <w:rsid w:val="00757EFD"/>
    <w:rsid w:val="0076136F"/>
    <w:rsid w:val="0076137A"/>
    <w:rsid w:val="0077224F"/>
    <w:rsid w:val="0077234A"/>
    <w:rsid w:val="00772ED6"/>
    <w:rsid w:val="00776CC3"/>
    <w:rsid w:val="0077772B"/>
    <w:rsid w:val="007803D2"/>
    <w:rsid w:val="00781D8C"/>
    <w:rsid w:val="00783D5C"/>
    <w:rsid w:val="007840AF"/>
    <w:rsid w:val="00786A42"/>
    <w:rsid w:val="00790EC9"/>
    <w:rsid w:val="00791427"/>
    <w:rsid w:val="0079516D"/>
    <w:rsid w:val="00797A49"/>
    <w:rsid w:val="007A1BE7"/>
    <w:rsid w:val="007A5E84"/>
    <w:rsid w:val="007A626B"/>
    <w:rsid w:val="007B3DB4"/>
    <w:rsid w:val="007B3FCC"/>
    <w:rsid w:val="007B40DA"/>
    <w:rsid w:val="007B4D98"/>
    <w:rsid w:val="007B7345"/>
    <w:rsid w:val="007C194E"/>
    <w:rsid w:val="007C2E7A"/>
    <w:rsid w:val="007C4893"/>
    <w:rsid w:val="007C55BD"/>
    <w:rsid w:val="007C7FD7"/>
    <w:rsid w:val="007D1559"/>
    <w:rsid w:val="007D2818"/>
    <w:rsid w:val="007D5BDC"/>
    <w:rsid w:val="007E0930"/>
    <w:rsid w:val="007E32CE"/>
    <w:rsid w:val="007E3F92"/>
    <w:rsid w:val="007E6F37"/>
    <w:rsid w:val="007E7680"/>
    <w:rsid w:val="007F23C3"/>
    <w:rsid w:val="007F6D3D"/>
    <w:rsid w:val="008042E7"/>
    <w:rsid w:val="00804B5C"/>
    <w:rsid w:val="00805CBF"/>
    <w:rsid w:val="00810538"/>
    <w:rsid w:val="00811BA8"/>
    <w:rsid w:val="00813701"/>
    <w:rsid w:val="00814DAB"/>
    <w:rsid w:val="0081612C"/>
    <w:rsid w:val="0081615D"/>
    <w:rsid w:val="00816990"/>
    <w:rsid w:val="00817689"/>
    <w:rsid w:val="00821FB9"/>
    <w:rsid w:val="00826562"/>
    <w:rsid w:val="00827B36"/>
    <w:rsid w:val="00831C0F"/>
    <w:rsid w:val="00831C61"/>
    <w:rsid w:val="00833FDD"/>
    <w:rsid w:val="00835C3A"/>
    <w:rsid w:val="008374E2"/>
    <w:rsid w:val="0084158A"/>
    <w:rsid w:val="008455B3"/>
    <w:rsid w:val="008477B2"/>
    <w:rsid w:val="0085303C"/>
    <w:rsid w:val="00855A09"/>
    <w:rsid w:val="008568A1"/>
    <w:rsid w:val="00856946"/>
    <w:rsid w:val="00856B37"/>
    <w:rsid w:val="00861707"/>
    <w:rsid w:val="0086288A"/>
    <w:rsid w:val="00862F06"/>
    <w:rsid w:val="008630E5"/>
    <w:rsid w:val="00864936"/>
    <w:rsid w:val="008658D8"/>
    <w:rsid w:val="00865953"/>
    <w:rsid w:val="00872FD4"/>
    <w:rsid w:val="00875288"/>
    <w:rsid w:val="00881FAE"/>
    <w:rsid w:val="0088378E"/>
    <w:rsid w:val="00885FB1"/>
    <w:rsid w:val="00890AA9"/>
    <w:rsid w:val="00892103"/>
    <w:rsid w:val="0089247B"/>
    <w:rsid w:val="00893206"/>
    <w:rsid w:val="00896792"/>
    <w:rsid w:val="00897538"/>
    <w:rsid w:val="008A43D6"/>
    <w:rsid w:val="008B1769"/>
    <w:rsid w:val="008B25C2"/>
    <w:rsid w:val="008B4A6B"/>
    <w:rsid w:val="008B5386"/>
    <w:rsid w:val="008B655D"/>
    <w:rsid w:val="008C1FE1"/>
    <w:rsid w:val="008C3666"/>
    <w:rsid w:val="008C41B1"/>
    <w:rsid w:val="008C4824"/>
    <w:rsid w:val="008C6BB8"/>
    <w:rsid w:val="008D6EBA"/>
    <w:rsid w:val="008E5385"/>
    <w:rsid w:val="008E616F"/>
    <w:rsid w:val="008F2CBA"/>
    <w:rsid w:val="008F5ADE"/>
    <w:rsid w:val="008F5DDA"/>
    <w:rsid w:val="008F6E63"/>
    <w:rsid w:val="009004FB"/>
    <w:rsid w:val="00900862"/>
    <w:rsid w:val="009009EF"/>
    <w:rsid w:val="009016FA"/>
    <w:rsid w:val="009040D8"/>
    <w:rsid w:val="00904BB4"/>
    <w:rsid w:val="009069A0"/>
    <w:rsid w:val="00906C07"/>
    <w:rsid w:val="00906F35"/>
    <w:rsid w:val="0092122A"/>
    <w:rsid w:val="00922DD7"/>
    <w:rsid w:val="00924572"/>
    <w:rsid w:val="00934638"/>
    <w:rsid w:val="009347F4"/>
    <w:rsid w:val="0093703B"/>
    <w:rsid w:val="0094797D"/>
    <w:rsid w:val="00951781"/>
    <w:rsid w:val="00952B3C"/>
    <w:rsid w:val="00955EE0"/>
    <w:rsid w:val="0095765A"/>
    <w:rsid w:val="0096037D"/>
    <w:rsid w:val="0096392B"/>
    <w:rsid w:val="00974499"/>
    <w:rsid w:val="009759ED"/>
    <w:rsid w:val="0098205E"/>
    <w:rsid w:val="009848F3"/>
    <w:rsid w:val="00985B84"/>
    <w:rsid w:val="00985C08"/>
    <w:rsid w:val="00990E7B"/>
    <w:rsid w:val="0099398E"/>
    <w:rsid w:val="00997604"/>
    <w:rsid w:val="00997DF4"/>
    <w:rsid w:val="009A0FAC"/>
    <w:rsid w:val="009A498C"/>
    <w:rsid w:val="009B3014"/>
    <w:rsid w:val="009B4C1E"/>
    <w:rsid w:val="009C2793"/>
    <w:rsid w:val="009C3813"/>
    <w:rsid w:val="009D01BB"/>
    <w:rsid w:val="009D1D9C"/>
    <w:rsid w:val="009D22F6"/>
    <w:rsid w:val="009D30D0"/>
    <w:rsid w:val="009D37C9"/>
    <w:rsid w:val="009D4C25"/>
    <w:rsid w:val="009D7189"/>
    <w:rsid w:val="009E0FDC"/>
    <w:rsid w:val="009E6A11"/>
    <w:rsid w:val="009F1DA6"/>
    <w:rsid w:val="009F3CFB"/>
    <w:rsid w:val="009F4B6E"/>
    <w:rsid w:val="009F776F"/>
    <w:rsid w:val="00A017C9"/>
    <w:rsid w:val="00A017E3"/>
    <w:rsid w:val="00A019FF"/>
    <w:rsid w:val="00A0261B"/>
    <w:rsid w:val="00A07461"/>
    <w:rsid w:val="00A10D50"/>
    <w:rsid w:val="00A114D7"/>
    <w:rsid w:val="00A11B72"/>
    <w:rsid w:val="00A140C4"/>
    <w:rsid w:val="00A14F83"/>
    <w:rsid w:val="00A153C3"/>
    <w:rsid w:val="00A17705"/>
    <w:rsid w:val="00A25957"/>
    <w:rsid w:val="00A308BD"/>
    <w:rsid w:val="00A31CD8"/>
    <w:rsid w:val="00A3292F"/>
    <w:rsid w:val="00A32CDF"/>
    <w:rsid w:val="00A33DF0"/>
    <w:rsid w:val="00A44561"/>
    <w:rsid w:val="00A44BC8"/>
    <w:rsid w:val="00A45418"/>
    <w:rsid w:val="00A502D6"/>
    <w:rsid w:val="00A52CA1"/>
    <w:rsid w:val="00A60E40"/>
    <w:rsid w:val="00A6246C"/>
    <w:rsid w:val="00A6301A"/>
    <w:rsid w:val="00A6535D"/>
    <w:rsid w:val="00A65C00"/>
    <w:rsid w:val="00A66A2B"/>
    <w:rsid w:val="00A67A01"/>
    <w:rsid w:val="00A7583D"/>
    <w:rsid w:val="00A80808"/>
    <w:rsid w:val="00A8452E"/>
    <w:rsid w:val="00A87995"/>
    <w:rsid w:val="00A9111F"/>
    <w:rsid w:val="00A9137F"/>
    <w:rsid w:val="00A919DC"/>
    <w:rsid w:val="00A94AB7"/>
    <w:rsid w:val="00A97CD0"/>
    <w:rsid w:val="00AA3D05"/>
    <w:rsid w:val="00AB036D"/>
    <w:rsid w:val="00AB169E"/>
    <w:rsid w:val="00AB55C0"/>
    <w:rsid w:val="00AB6AB8"/>
    <w:rsid w:val="00AC1B00"/>
    <w:rsid w:val="00AC26BD"/>
    <w:rsid w:val="00AC3E1C"/>
    <w:rsid w:val="00AC43C5"/>
    <w:rsid w:val="00AC52BE"/>
    <w:rsid w:val="00AC5659"/>
    <w:rsid w:val="00AD19C6"/>
    <w:rsid w:val="00AD6BAB"/>
    <w:rsid w:val="00AD775F"/>
    <w:rsid w:val="00AE2F04"/>
    <w:rsid w:val="00AE53FA"/>
    <w:rsid w:val="00AE68DE"/>
    <w:rsid w:val="00AF47C3"/>
    <w:rsid w:val="00AF6FAB"/>
    <w:rsid w:val="00B00A00"/>
    <w:rsid w:val="00B01841"/>
    <w:rsid w:val="00B02C1E"/>
    <w:rsid w:val="00B0450E"/>
    <w:rsid w:val="00B051F1"/>
    <w:rsid w:val="00B10EFA"/>
    <w:rsid w:val="00B1795A"/>
    <w:rsid w:val="00B219FB"/>
    <w:rsid w:val="00B22405"/>
    <w:rsid w:val="00B2324A"/>
    <w:rsid w:val="00B24208"/>
    <w:rsid w:val="00B30CF4"/>
    <w:rsid w:val="00B32A90"/>
    <w:rsid w:val="00B33B21"/>
    <w:rsid w:val="00B35976"/>
    <w:rsid w:val="00B36A47"/>
    <w:rsid w:val="00B40616"/>
    <w:rsid w:val="00B439F1"/>
    <w:rsid w:val="00B44AE7"/>
    <w:rsid w:val="00B53B12"/>
    <w:rsid w:val="00B5633A"/>
    <w:rsid w:val="00B56A1E"/>
    <w:rsid w:val="00B61B91"/>
    <w:rsid w:val="00B63134"/>
    <w:rsid w:val="00B67F0E"/>
    <w:rsid w:val="00B71A3C"/>
    <w:rsid w:val="00B813DE"/>
    <w:rsid w:val="00B83734"/>
    <w:rsid w:val="00B87869"/>
    <w:rsid w:val="00B9478D"/>
    <w:rsid w:val="00BA1113"/>
    <w:rsid w:val="00BA21F2"/>
    <w:rsid w:val="00BA2C52"/>
    <w:rsid w:val="00BA3B0F"/>
    <w:rsid w:val="00BB031F"/>
    <w:rsid w:val="00BB0906"/>
    <w:rsid w:val="00BB20ED"/>
    <w:rsid w:val="00BB24A5"/>
    <w:rsid w:val="00BB4E8A"/>
    <w:rsid w:val="00BB6A74"/>
    <w:rsid w:val="00BC03FA"/>
    <w:rsid w:val="00BC5FE1"/>
    <w:rsid w:val="00BC5FE9"/>
    <w:rsid w:val="00BD178E"/>
    <w:rsid w:val="00BD6589"/>
    <w:rsid w:val="00BE0813"/>
    <w:rsid w:val="00BE17EE"/>
    <w:rsid w:val="00BE57FF"/>
    <w:rsid w:val="00BE5D4E"/>
    <w:rsid w:val="00BE78E5"/>
    <w:rsid w:val="00BF26C9"/>
    <w:rsid w:val="00BF3ADB"/>
    <w:rsid w:val="00C042B2"/>
    <w:rsid w:val="00C16F92"/>
    <w:rsid w:val="00C17356"/>
    <w:rsid w:val="00C21310"/>
    <w:rsid w:val="00C23A72"/>
    <w:rsid w:val="00C26F0B"/>
    <w:rsid w:val="00C31112"/>
    <w:rsid w:val="00C35755"/>
    <w:rsid w:val="00C40B10"/>
    <w:rsid w:val="00C412AE"/>
    <w:rsid w:val="00C41FF9"/>
    <w:rsid w:val="00C420B0"/>
    <w:rsid w:val="00C44025"/>
    <w:rsid w:val="00C5164A"/>
    <w:rsid w:val="00C51846"/>
    <w:rsid w:val="00C5324B"/>
    <w:rsid w:val="00C53B0E"/>
    <w:rsid w:val="00C56866"/>
    <w:rsid w:val="00C61AC1"/>
    <w:rsid w:val="00C67097"/>
    <w:rsid w:val="00C70579"/>
    <w:rsid w:val="00C7133B"/>
    <w:rsid w:val="00C733C5"/>
    <w:rsid w:val="00C83933"/>
    <w:rsid w:val="00C90DC9"/>
    <w:rsid w:val="00C91017"/>
    <w:rsid w:val="00C912FF"/>
    <w:rsid w:val="00CA397F"/>
    <w:rsid w:val="00CB1231"/>
    <w:rsid w:val="00CB23DC"/>
    <w:rsid w:val="00CB2896"/>
    <w:rsid w:val="00CB36B1"/>
    <w:rsid w:val="00CC0899"/>
    <w:rsid w:val="00CC1438"/>
    <w:rsid w:val="00CC2DDE"/>
    <w:rsid w:val="00CC3642"/>
    <w:rsid w:val="00CC3B53"/>
    <w:rsid w:val="00CC42A1"/>
    <w:rsid w:val="00CD1012"/>
    <w:rsid w:val="00CD1C7D"/>
    <w:rsid w:val="00CD1D0D"/>
    <w:rsid w:val="00CD348A"/>
    <w:rsid w:val="00CD4536"/>
    <w:rsid w:val="00CD7B05"/>
    <w:rsid w:val="00CE0721"/>
    <w:rsid w:val="00CE305E"/>
    <w:rsid w:val="00CE4A7E"/>
    <w:rsid w:val="00CE5900"/>
    <w:rsid w:val="00CE5FB0"/>
    <w:rsid w:val="00CF1B50"/>
    <w:rsid w:val="00CF4AAB"/>
    <w:rsid w:val="00CF737E"/>
    <w:rsid w:val="00D0027D"/>
    <w:rsid w:val="00D02385"/>
    <w:rsid w:val="00D026BA"/>
    <w:rsid w:val="00D02EF2"/>
    <w:rsid w:val="00D03C49"/>
    <w:rsid w:val="00D03EB9"/>
    <w:rsid w:val="00D04A7F"/>
    <w:rsid w:val="00D04B77"/>
    <w:rsid w:val="00D06C1D"/>
    <w:rsid w:val="00D07243"/>
    <w:rsid w:val="00D109A7"/>
    <w:rsid w:val="00D1224D"/>
    <w:rsid w:val="00D13F5C"/>
    <w:rsid w:val="00D16804"/>
    <w:rsid w:val="00D22CE5"/>
    <w:rsid w:val="00D25FF4"/>
    <w:rsid w:val="00D26A02"/>
    <w:rsid w:val="00D31629"/>
    <w:rsid w:val="00D35BC8"/>
    <w:rsid w:val="00D37DB9"/>
    <w:rsid w:val="00D41382"/>
    <w:rsid w:val="00D43A57"/>
    <w:rsid w:val="00D46505"/>
    <w:rsid w:val="00D476EA"/>
    <w:rsid w:val="00D51D96"/>
    <w:rsid w:val="00D5382B"/>
    <w:rsid w:val="00D56ED6"/>
    <w:rsid w:val="00D67394"/>
    <w:rsid w:val="00D70036"/>
    <w:rsid w:val="00D71721"/>
    <w:rsid w:val="00D7370A"/>
    <w:rsid w:val="00D74C58"/>
    <w:rsid w:val="00D76BC7"/>
    <w:rsid w:val="00D81A8F"/>
    <w:rsid w:val="00D85A20"/>
    <w:rsid w:val="00D91B57"/>
    <w:rsid w:val="00D92874"/>
    <w:rsid w:val="00DA493F"/>
    <w:rsid w:val="00DA7ABD"/>
    <w:rsid w:val="00DB1D18"/>
    <w:rsid w:val="00DB5C33"/>
    <w:rsid w:val="00DC11B7"/>
    <w:rsid w:val="00DC16B4"/>
    <w:rsid w:val="00DC38B2"/>
    <w:rsid w:val="00DC3A8E"/>
    <w:rsid w:val="00DC54AD"/>
    <w:rsid w:val="00DC5DD5"/>
    <w:rsid w:val="00DD0889"/>
    <w:rsid w:val="00DD18F3"/>
    <w:rsid w:val="00DD3583"/>
    <w:rsid w:val="00DD369B"/>
    <w:rsid w:val="00DD4528"/>
    <w:rsid w:val="00DD53CD"/>
    <w:rsid w:val="00DD5DDC"/>
    <w:rsid w:val="00DD7415"/>
    <w:rsid w:val="00DE0827"/>
    <w:rsid w:val="00DE2D9C"/>
    <w:rsid w:val="00DF1050"/>
    <w:rsid w:val="00DF335D"/>
    <w:rsid w:val="00DF5A30"/>
    <w:rsid w:val="00DF65F3"/>
    <w:rsid w:val="00DF668C"/>
    <w:rsid w:val="00E00C49"/>
    <w:rsid w:val="00E074F5"/>
    <w:rsid w:val="00E07C54"/>
    <w:rsid w:val="00E10085"/>
    <w:rsid w:val="00E1429A"/>
    <w:rsid w:val="00E152C3"/>
    <w:rsid w:val="00E16C0D"/>
    <w:rsid w:val="00E20795"/>
    <w:rsid w:val="00E244C2"/>
    <w:rsid w:val="00E26492"/>
    <w:rsid w:val="00E264AD"/>
    <w:rsid w:val="00E313EA"/>
    <w:rsid w:val="00E31C74"/>
    <w:rsid w:val="00E41341"/>
    <w:rsid w:val="00E44950"/>
    <w:rsid w:val="00E50A26"/>
    <w:rsid w:val="00E57073"/>
    <w:rsid w:val="00E6044E"/>
    <w:rsid w:val="00E63839"/>
    <w:rsid w:val="00E65A19"/>
    <w:rsid w:val="00E679DB"/>
    <w:rsid w:val="00E67C94"/>
    <w:rsid w:val="00E7242F"/>
    <w:rsid w:val="00E72FE2"/>
    <w:rsid w:val="00E73A3B"/>
    <w:rsid w:val="00E748CC"/>
    <w:rsid w:val="00E75154"/>
    <w:rsid w:val="00E75451"/>
    <w:rsid w:val="00E75E35"/>
    <w:rsid w:val="00E76EA2"/>
    <w:rsid w:val="00E82EF6"/>
    <w:rsid w:val="00E8364F"/>
    <w:rsid w:val="00E84159"/>
    <w:rsid w:val="00E87AA1"/>
    <w:rsid w:val="00E90AA9"/>
    <w:rsid w:val="00E951C7"/>
    <w:rsid w:val="00EA066F"/>
    <w:rsid w:val="00EA0DE0"/>
    <w:rsid w:val="00EA1514"/>
    <w:rsid w:val="00EA1C17"/>
    <w:rsid w:val="00EA265B"/>
    <w:rsid w:val="00EA6EB2"/>
    <w:rsid w:val="00EB16CD"/>
    <w:rsid w:val="00EB28DC"/>
    <w:rsid w:val="00EB5588"/>
    <w:rsid w:val="00EC0F27"/>
    <w:rsid w:val="00EC260D"/>
    <w:rsid w:val="00EC43A0"/>
    <w:rsid w:val="00EC6FAF"/>
    <w:rsid w:val="00EC7C83"/>
    <w:rsid w:val="00ED4FB1"/>
    <w:rsid w:val="00ED6805"/>
    <w:rsid w:val="00ED6DA6"/>
    <w:rsid w:val="00EE0BBB"/>
    <w:rsid w:val="00EE15D7"/>
    <w:rsid w:val="00EE4DA4"/>
    <w:rsid w:val="00EE5576"/>
    <w:rsid w:val="00EE7E8E"/>
    <w:rsid w:val="00EF51C6"/>
    <w:rsid w:val="00F01EEE"/>
    <w:rsid w:val="00F0229B"/>
    <w:rsid w:val="00F04378"/>
    <w:rsid w:val="00F1169E"/>
    <w:rsid w:val="00F12243"/>
    <w:rsid w:val="00F12DBF"/>
    <w:rsid w:val="00F140AE"/>
    <w:rsid w:val="00F1529F"/>
    <w:rsid w:val="00F161B9"/>
    <w:rsid w:val="00F21485"/>
    <w:rsid w:val="00F25D68"/>
    <w:rsid w:val="00F27ABE"/>
    <w:rsid w:val="00F300DD"/>
    <w:rsid w:val="00F343D8"/>
    <w:rsid w:val="00F349DD"/>
    <w:rsid w:val="00F41B7A"/>
    <w:rsid w:val="00F43862"/>
    <w:rsid w:val="00F44155"/>
    <w:rsid w:val="00F55E7E"/>
    <w:rsid w:val="00F5775F"/>
    <w:rsid w:val="00F60096"/>
    <w:rsid w:val="00F6066A"/>
    <w:rsid w:val="00F62A42"/>
    <w:rsid w:val="00F64534"/>
    <w:rsid w:val="00F6703F"/>
    <w:rsid w:val="00F71116"/>
    <w:rsid w:val="00F71CD6"/>
    <w:rsid w:val="00F73EB3"/>
    <w:rsid w:val="00F7486B"/>
    <w:rsid w:val="00F807E9"/>
    <w:rsid w:val="00F86BB8"/>
    <w:rsid w:val="00F87752"/>
    <w:rsid w:val="00F90204"/>
    <w:rsid w:val="00F91068"/>
    <w:rsid w:val="00FA3421"/>
    <w:rsid w:val="00FA3F20"/>
    <w:rsid w:val="00FA4CCA"/>
    <w:rsid w:val="00FB2579"/>
    <w:rsid w:val="00FB62F3"/>
    <w:rsid w:val="00FB6E80"/>
    <w:rsid w:val="00FC330F"/>
    <w:rsid w:val="00FC4709"/>
    <w:rsid w:val="00FC525D"/>
    <w:rsid w:val="00FD019B"/>
    <w:rsid w:val="00FD164C"/>
    <w:rsid w:val="00FD1B83"/>
    <w:rsid w:val="00FD2684"/>
    <w:rsid w:val="00FE2283"/>
    <w:rsid w:val="00FE5477"/>
    <w:rsid w:val="00FE5CC5"/>
    <w:rsid w:val="00FE79CA"/>
    <w:rsid w:val="00FF25B5"/>
    <w:rsid w:val="00FF26CD"/>
    <w:rsid w:val="00FF2A64"/>
    <w:rsid w:val="00FF2C82"/>
    <w:rsid w:val="00FF4196"/>
    <w:rsid w:val="00FF4E3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78199"/>
  <w15:docId w15:val="{D453F65F-73F9-4309-BE9C-1E178DA4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9E"/>
  </w:style>
  <w:style w:type="paragraph" w:styleId="Heading1">
    <w:name w:val="heading 1"/>
    <w:basedOn w:val="Normal"/>
    <w:next w:val="Normal"/>
    <w:link w:val="Heading1Char"/>
    <w:uiPriority w:val="99"/>
    <w:qFormat/>
    <w:rsid w:val="00855A09"/>
    <w:pPr>
      <w:keepNext/>
      <w:widowControl w:val="0"/>
      <w:tabs>
        <w:tab w:val="center" w:pos="5400"/>
      </w:tabs>
      <w:autoSpaceDE w:val="0"/>
      <w:autoSpaceDN w:val="0"/>
      <w:adjustRightInd w:val="0"/>
      <w:spacing w:before="258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5A0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5A0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5A09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27A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27A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F27AB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F27ABE"/>
    <w:rPr>
      <w:rFonts w:ascii="Calibri" w:hAnsi="Calibri" w:cs="Times New Roman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rsid w:val="00855A09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uiPriority w:val="99"/>
    <w:rsid w:val="00855A0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27AB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5A0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66A06"/>
    <w:rPr>
      <w:rFonts w:cs="Times New Roman"/>
      <w:sz w:val="24"/>
      <w:szCs w:val="24"/>
    </w:rPr>
  </w:style>
  <w:style w:type="character" w:styleId="PageNumber">
    <w:name w:val="page number"/>
    <w:uiPriority w:val="99"/>
    <w:rsid w:val="00855A0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5A09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F27AB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55A09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F27ABE"/>
    <w:rPr>
      <w:rFonts w:cs="Times New Roman"/>
      <w:sz w:val="24"/>
      <w:szCs w:val="24"/>
    </w:rPr>
  </w:style>
  <w:style w:type="character" w:customStyle="1" w:styleId="SC31003">
    <w:name w:val="SC.3.1003"/>
    <w:uiPriority w:val="99"/>
    <w:rsid w:val="00855A09"/>
    <w:rPr>
      <w:b/>
      <w:color w:val="000000"/>
      <w:sz w:val="19"/>
    </w:rPr>
  </w:style>
  <w:style w:type="paragraph" w:styleId="BodyText3">
    <w:name w:val="Body Text 3"/>
    <w:basedOn w:val="Normal"/>
    <w:link w:val="BodyText3Char"/>
    <w:uiPriority w:val="99"/>
    <w:rsid w:val="00855A09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27ABE"/>
    <w:rPr>
      <w:rFonts w:cs="Times New Roman"/>
      <w:sz w:val="16"/>
      <w:szCs w:val="16"/>
    </w:rPr>
  </w:style>
  <w:style w:type="character" w:styleId="Hyperlink">
    <w:name w:val="Hyperlink"/>
    <w:uiPriority w:val="99"/>
    <w:rsid w:val="00855A09"/>
    <w:rPr>
      <w:rFonts w:cs="Times New Roman"/>
      <w:color w:val="0000FF"/>
      <w:u w:val="single"/>
    </w:rPr>
  </w:style>
  <w:style w:type="paragraph" w:customStyle="1" w:styleId="WPNormal">
    <w:name w:val="WP_Normal"/>
    <w:basedOn w:val="Normal"/>
    <w:uiPriority w:val="99"/>
    <w:rsid w:val="008455B3"/>
    <w:pPr>
      <w:widowControl w:val="0"/>
    </w:pPr>
    <w:rPr>
      <w:rFonts w:ascii="Chicago" w:hAnsi="Chicago"/>
    </w:rPr>
  </w:style>
  <w:style w:type="paragraph" w:styleId="BalloonText">
    <w:name w:val="Balloon Text"/>
    <w:basedOn w:val="Normal"/>
    <w:link w:val="BalloonTextChar"/>
    <w:uiPriority w:val="99"/>
    <w:semiHidden/>
    <w:rsid w:val="00F1169E"/>
  </w:style>
  <w:style w:type="character" w:customStyle="1" w:styleId="BalloonTextChar">
    <w:name w:val="Balloon Text Char"/>
    <w:link w:val="BalloonText"/>
    <w:uiPriority w:val="99"/>
    <w:semiHidden/>
    <w:locked/>
    <w:rsid w:val="00F1169E"/>
  </w:style>
  <w:style w:type="paragraph" w:styleId="ListParagraph">
    <w:name w:val="List Paragraph"/>
    <w:basedOn w:val="Normal"/>
    <w:uiPriority w:val="34"/>
    <w:qFormat/>
    <w:rsid w:val="008C41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3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2CE"/>
  </w:style>
  <w:style w:type="character" w:customStyle="1" w:styleId="CommentTextChar">
    <w:name w:val="Comment Text Char"/>
    <w:basedOn w:val="DefaultParagraphFont"/>
    <w:link w:val="CommentText"/>
    <w:uiPriority w:val="99"/>
    <w:rsid w:val="007E32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2CE"/>
    <w:rPr>
      <w:b/>
      <w:bCs/>
    </w:rPr>
  </w:style>
  <w:style w:type="paragraph" w:styleId="Revision">
    <w:name w:val="Revision"/>
    <w:hidden/>
    <w:uiPriority w:val="99"/>
    <w:semiHidden/>
    <w:rsid w:val="007E32C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60D"/>
    <w:rPr>
      <w:color w:val="808080"/>
      <w:shd w:val="clear" w:color="auto" w:fill="E6E6E6"/>
    </w:rPr>
  </w:style>
  <w:style w:type="paragraph" w:customStyle="1" w:styleId="Default">
    <w:name w:val="Default"/>
    <w:rsid w:val="000B0E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locked/>
    <w:rsid w:val="00D4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7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taylor@vr.idah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5175-048B-44EB-83A5-FEC49A98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6850</Characters>
  <Application>Microsoft Office Word</Application>
  <DocSecurity>0</DocSecurity>
  <Lines>326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7767</CharactersWithSpaces>
  <SharedDoc>false</SharedDoc>
  <HLinks>
    <vt:vector size="6" baseType="variant"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mailto:michael.graham@vr.idaho.gov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Christopher Davis</cp:lastModifiedBy>
  <cp:revision>3</cp:revision>
  <cp:lastPrinted>2024-08-12T19:59:00Z</cp:lastPrinted>
  <dcterms:created xsi:type="dcterms:W3CDTF">2024-08-22T17:42:00Z</dcterms:created>
  <dcterms:modified xsi:type="dcterms:W3CDTF">2025-06-24T21:15:00Z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aef28b36-86d8-4d86-9f7e-4eb09ccdbd19</vt:lpwstr>
  </property>
</Properties>
</file>